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608"/>
        <w:gridCol w:w="3164"/>
      </w:tblGrid>
      <w:tr w:rsidR="00050340" w14:paraId="0635F82D" w14:textId="77777777" w:rsidTr="00047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bottom w:val="none" w:sz="0" w:space="0" w:color="auto"/>
            </w:tcBorders>
            <w:tcMar>
              <w:left w:w="0" w:type="dxa"/>
            </w:tcMar>
          </w:tcPr>
          <w:p w14:paraId="19D4DC0D" w14:textId="79F16406" w:rsidR="00050340" w:rsidRDefault="004F5A70" w:rsidP="004F5A70">
            <w:pPr>
              <w:pStyle w:val="Title"/>
              <w:rPr>
                <w:b w:val="0"/>
                <w:bCs/>
              </w:rPr>
            </w:pPr>
            <w:r>
              <w:t>Rights and duties of a rooming house resident</w:t>
            </w:r>
          </w:p>
          <w:p w14:paraId="6A8BF7DA" w14:textId="12D49FCF" w:rsidR="000477E9" w:rsidRPr="000477E9" w:rsidRDefault="000477E9" w:rsidP="000477E9">
            <w:r w:rsidRPr="000477E9">
              <w:rPr>
                <w:i/>
                <w:iCs/>
              </w:rPr>
              <w:t>Residential Tenancies Act 1997</w:t>
            </w:r>
            <w:r>
              <w:t xml:space="preserve"> </w:t>
            </w:r>
            <w:r w:rsidRPr="000477E9">
              <w:rPr>
                <w:b w:val="0"/>
                <w:bCs w:val="0"/>
              </w:rPr>
              <w:t>Section 124</w:t>
            </w:r>
          </w:p>
        </w:tc>
        <w:tc>
          <w:tcPr>
            <w:tcW w:w="3112" w:type="dxa"/>
            <w:tcBorders>
              <w:bottom w:val="none" w:sz="0" w:space="0" w:color="auto"/>
            </w:tcBorders>
          </w:tcPr>
          <w:p w14:paraId="16B0583E" w14:textId="77777777" w:rsidR="00050340" w:rsidRDefault="00050340" w:rsidP="00A158B4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F7E8BEB" wp14:editId="14CAB1B5">
                  <wp:extent cx="1872000" cy="514440"/>
                  <wp:effectExtent l="0" t="0" r="0" b="0"/>
                  <wp:docPr id="10" name="Picture 10" descr="Consumer Affairs Vic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umer Affairs Vict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51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4AF54D" w14:textId="154ECC68" w:rsidR="000C22FE" w:rsidRDefault="000C22FE" w:rsidP="000C22FE">
      <w:pPr>
        <w:pStyle w:val="spacer"/>
      </w:pPr>
    </w:p>
    <w:p w14:paraId="3A71D433" w14:textId="7E633551" w:rsidR="000C22FE" w:rsidRDefault="000C22FE" w:rsidP="000C22FE">
      <w:pPr>
        <w:pStyle w:val="spacer"/>
      </w:pPr>
    </w:p>
    <w:p w14:paraId="31C35A58" w14:textId="3D69545E" w:rsidR="000C22FE" w:rsidRPr="000C22FE" w:rsidRDefault="000C22FE" w:rsidP="000C22FE">
      <w:pPr>
        <w:pStyle w:val="spacer"/>
        <w:sectPr w:rsidR="000C22FE" w:rsidRPr="000C22FE" w:rsidSect="000F1CE6">
          <w:headerReference w:type="default" r:id="rId12"/>
          <w:footerReference w:type="default" r:id="rId13"/>
          <w:pgSz w:w="11906" w:h="16838"/>
          <w:pgMar w:top="567" w:right="567" w:bottom="567" w:left="567" w:header="454" w:footer="397" w:gutter="0"/>
          <w:cols w:space="454"/>
          <w:docGrid w:linePitch="360"/>
        </w:sectPr>
      </w:pPr>
    </w:p>
    <w:p w14:paraId="17454358" w14:textId="764EA5AD" w:rsidR="00E94D6C" w:rsidRDefault="000477E9" w:rsidP="000477E9">
      <w:pPr>
        <w:pStyle w:val="Listparagraphtext"/>
        <w:spacing w:line="230" w:lineRule="exact"/>
      </w:pPr>
      <w:r w:rsidRPr="00D147C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D09A58" wp14:editId="119EC83B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84022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5DA0B" id="Straight Connector 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87.4pt,.3pt" to="102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" strokeweight="1pt">
                <v:shadow opacity="24903f" origin=",.5" offset="0,.55556mm"/>
                <w10:wrap anchorx="margin"/>
              </v:line>
            </w:pict>
          </mc:Fallback>
        </mc:AlternateContent>
      </w:r>
      <w:r w:rsidR="00A815E5">
        <w:t xml:space="preserve">The rooming house operator must display this </w:t>
      </w:r>
      <w:r w:rsidR="009277AE">
        <w:t>statement</w:t>
      </w:r>
      <w:r w:rsidR="00A815E5">
        <w:t xml:space="preserve"> in each</w:t>
      </w:r>
      <w:r w:rsidR="00137D94">
        <w:t xml:space="preserve"> room.</w:t>
      </w:r>
      <w:r w:rsidR="00A815E5">
        <w:t xml:space="preserve"> </w:t>
      </w:r>
      <w:r w:rsidR="006B3D0D">
        <w:t>They must also give the resident a copy of</w:t>
      </w:r>
      <w:r w:rsidR="00A75963">
        <w:rPr>
          <w:i/>
          <w:iCs/>
        </w:rPr>
        <w:t xml:space="preserve"> Rooming House Residents Guide</w:t>
      </w:r>
      <w:r w:rsidR="003B5BC9">
        <w:t xml:space="preserve"> and a copy of the house rules (if applicable)</w:t>
      </w:r>
      <w:r w:rsidR="006B3D0D">
        <w:rPr>
          <w:i/>
          <w:iCs/>
        </w:rPr>
        <w:t>.</w:t>
      </w:r>
      <w:r w:rsidR="00A815E5">
        <w:t xml:space="preserve"> </w:t>
      </w:r>
      <w:r w:rsidRPr="00854601">
        <w:rPr>
          <w:rFonts w:eastAsia="Calibri" w:cs="Times New Roman"/>
          <w:lang w:val="en-US"/>
        </w:rPr>
        <w:t xml:space="preserve">For further information, visit the </w:t>
      </w:r>
      <w:r w:rsidR="000F400C">
        <w:rPr>
          <w:rFonts w:eastAsia="Calibri" w:cs="Times New Roman"/>
          <w:lang w:val="en-US"/>
        </w:rPr>
        <w:t>r</w:t>
      </w:r>
      <w:r w:rsidRPr="00854601">
        <w:rPr>
          <w:rFonts w:eastAsia="Calibri" w:cs="Times New Roman"/>
          <w:lang w:val="en-US"/>
        </w:rPr>
        <w:t xml:space="preserve">enting section – Consumer Affairs Victoria website at </w:t>
      </w:r>
      <w:hyperlink r:id="rId14" w:history="1">
        <w:r w:rsidRPr="00EC7ECB">
          <w:rPr>
            <w:rStyle w:val="Hyperlink"/>
            <w:rFonts w:eastAsia="Calibri" w:cs="Times New Roman"/>
            <w:lang w:val="en-US"/>
          </w:rPr>
          <w:t>consumer.vic.gov.au/renting</w:t>
        </w:r>
      </w:hyperlink>
      <w:r>
        <w:rPr>
          <w:rFonts w:eastAsia="Calibri" w:cs="Times New Roman"/>
          <w:lang w:val="en-US"/>
        </w:rPr>
        <w:t xml:space="preserve"> </w:t>
      </w:r>
      <w:r w:rsidRPr="00854601">
        <w:rPr>
          <w:rFonts w:eastAsia="Calibri" w:cs="Times New Roman"/>
          <w:lang w:val="en-US"/>
        </w:rPr>
        <w:t xml:space="preserve">or call the Consumer Affairs Victoria Helpline on </w:t>
      </w:r>
      <w:r w:rsidRPr="00854601">
        <w:rPr>
          <w:rFonts w:eastAsia="Calibri" w:cs="Times New Roman"/>
          <w:b/>
          <w:bCs/>
          <w:lang w:val="en-US"/>
        </w:rPr>
        <w:t>1300 55 81 81</w:t>
      </w:r>
      <w:r w:rsidR="0040742B">
        <w:rPr>
          <w:rFonts w:eastAsia="Calibri" w:cs="Times New Roman"/>
          <w:b/>
          <w:bCs/>
          <w:lang w:val="en-US"/>
        </w:rPr>
        <w:t xml:space="preserve">. </w:t>
      </w:r>
    </w:p>
    <w:p w14:paraId="7472AB7F" w14:textId="5683BF0D" w:rsidR="00027B1D" w:rsidRDefault="00027B1D" w:rsidP="004F5A70">
      <w:pPr>
        <w:pStyle w:val="Listparagraphtext"/>
        <w:ind w:right="1133"/>
        <w:sectPr w:rsidR="00027B1D" w:rsidSect="004F5A70">
          <w:type w:val="continuous"/>
          <w:pgSz w:w="11906" w:h="16838"/>
          <w:pgMar w:top="567" w:right="567" w:bottom="567" w:left="567" w:header="454" w:footer="397" w:gutter="0"/>
          <w:cols w:space="454"/>
          <w:docGrid w:linePitch="360"/>
        </w:sectPr>
      </w:pPr>
    </w:p>
    <w:p w14:paraId="3B215DD1" w14:textId="1EDBAB82" w:rsidR="004F5A70" w:rsidRDefault="004F5A70" w:rsidP="00A815E5">
      <w:pPr>
        <w:pStyle w:val="Heading1"/>
      </w:pPr>
      <w:r>
        <w:t xml:space="preserve">A resident has a right to: </w:t>
      </w:r>
    </w:p>
    <w:tbl>
      <w:tblPr>
        <w:tblStyle w:val="ListTable1Light-Accent5"/>
        <w:tblW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00" w:firstRow="0" w:lastRow="0" w:firstColumn="0" w:lastColumn="0" w:noHBand="0" w:noVBand="1"/>
      </w:tblPr>
      <w:tblGrid>
        <w:gridCol w:w="5245"/>
      </w:tblGrid>
      <w:tr w:rsidR="00701994" w14:paraId="20CA7B2E" w14:textId="77777777" w:rsidTr="002A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  <w:shd w:val="clear" w:color="auto" w:fill="auto"/>
          </w:tcPr>
          <w:p w14:paraId="7A90D1B8" w14:textId="70901A33" w:rsidR="00701994" w:rsidRPr="00AD5A81" w:rsidRDefault="00AD5A81" w:rsidP="009B551B">
            <w:pPr>
              <w:pStyle w:val="ListBullet"/>
            </w:pPr>
            <w:r w:rsidRPr="00AD5A81">
              <w:t xml:space="preserve">live in a rooming house that meets </w:t>
            </w:r>
            <w:r w:rsidR="006B3D0D">
              <w:t>the required</w:t>
            </w:r>
            <w:r w:rsidRPr="00AD5A81">
              <w:t xml:space="preserve"> standards </w:t>
            </w:r>
            <w:r w:rsidRPr="006B3D0D">
              <w:t>for rooms, services and facilities</w:t>
            </w:r>
            <w:r w:rsidR="006B3D0D" w:rsidRPr="006B3D0D">
              <w:t>. For further information</w:t>
            </w:r>
            <w:r w:rsidR="000F400C">
              <w:t>,</w:t>
            </w:r>
            <w:r w:rsidR="006B3D0D" w:rsidRPr="006B3D0D">
              <w:t xml:space="preserve"> please see </w:t>
            </w:r>
            <w:r w:rsidR="00EB3ECE">
              <w:t>‘</w:t>
            </w:r>
            <w:r w:rsidR="00B521AB" w:rsidRPr="00B521AB">
              <w:rPr>
                <w:rFonts w:eastAsiaTheme="majorEastAsia"/>
              </w:rPr>
              <w:t>Minimum standards in rooming houses</w:t>
            </w:r>
            <w:r w:rsidR="00EB3ECE">
              <w:rPr>
                <w:rFonts w:eastAsiaTheme="majorEastAsia"/>
              </w:rPr>
              <w:t>’</w:t>
            </w:r>
            <w:r w:rsidR="00B521AB" w:rsidRPr="00B521AB">
              <w:rPr>
                <w:rFonts w:eastAsiaTheme="majorEastAsia"/>
              </w:rPr>
              <w:t xml:space="preserve"> </w:t>
            </w:r>
            <w:r w:rsidR="00B521AB">
              <w:rPr>
                <w:rFonts w:eastAsiaTheme="majorEastAsia"/>
              </w:rPr>
              <w:t>at</w:t>
            </w:r>
            <w:r w:rsidR="00B521AB" w:rsidRPr="00B521AB">
              <w:rPr>
                <w:rFonts w:eastAsiaTheme="majorEastAsia"/>
              </w:rPr>
              <w:t xml:space="preserve"> </w:t>
            </w:r>
            <w:hyperlink r:id="rId15" w:history="1">
              <w:r w:rsidR="00EB3ECE" w:rsidRPr="00EC7ECB">
                <w:rPr>
                  <w:rStyle w:val="Hyperlink"/>
                  <w:rFonts w:eastAsia="Calibri" w:cs="Times New Roman"/>
                  <w:lang w:val="en-US"/>
                </w:rPr>
                <w:t>consumer.vic.gov.au/renting</w:t>
              </w:r>
            </w:hyperlink>
            <w:r w:rsidR="00EB3ECE">
              <w:rPr>
                <w:rStyle w:val="Hyperlink"/>
                <w:rFonts w:eastAsia="Calibri" w:cs="Times New Roman"/>
                <w:lang w:val="en-US"/>
              </w:rPr>
              <w:t>.</w:t>
            </w:r>
          </w:p>
        </w:tc>
      </w:tr>
      <w:tr w:rsidR="00701994" w14:paraId="5A74CF25" w14:textId="77777777" w:rsidTr="002A5619">
        <w:tc>
          <w:tcPr>
            <w:tcW w:w="5245" w:type="dxa"/>
            <w:shd w:val="clear" w:color="auto" w:fill="auto"/>
          </w:tcPr>
          <w:p w14:paraId="12E44697" w14:textId="03B7ACF9" w:rsidR="00701994" w:rsidRPr="00AD5A81" w:rsidRDefault="006B3D0D" w:rsidP="009B551B">
            <w:pPr>
              <w:pStyle w:val="ListBullet"/>
            </w:pPr>
            <w:r w:rsidRPr="006B3D0D">
              <w:t>written notice at the start of the residency confirming whether they will be sharing a room. The operator can only increase the capacity of a room with the resident's consent</w:t>
            </w:r>
          </w:p>
        </w:tc>
      </w:tr>
      <w:tr w:rsidR="0036108E" w14:paraId="5CC432ED" w14:textId="77777777" w:rsidTr="002A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  <w:shd w:val="clear" w:color="auto" w:fill="auto"/>
          </w:tcPr>
          <w:p w14:paraId="37FF6B4D" w14:textId="08A354D7" w:rsidR="0036108E" w:rsidRDefault="0036108E" w:rsidP="009B551B">
            <w:pPr>
              <w:pStyle w:val="ListBullet"/>
            </w:pPr>
            <w:r>
              <w:t xml:space="preserve">have their rent reduced if they agree to have more people in their room </w:t>
            </w:r>
            <w:r w:rsidR="009E18E6">
              <w:t xml:space="preserve"> </w:t>
            </w:r>
          </w:p>
        </w:tc>
      </w:tr>
      <w:tr w:rsidR="00701994" w14:paraId="5E6D9DEA" w14:textId="77777777" w:rsidTr="002A5619">
        <w:tc>
          <w:tcPr>
            <w:tcW w:w="5245" w:type="dxa"/>
            <w:shd w:val="clear" w:color="auto" w:fill="auto"/>
          </w:tcPr>
          <w:p w14:paraId="4E3B926F" w14:textId="52F981D2" w:rsidR="00701994" w:rsidRPr="00AD5A81" w:rsidRDefault="00AD5A81" w:rsidP="009B551B">
            <w:pPr>
              <w:pStyle w:val="ListBullet"/>
            </w:pPr>
            <w:r w:rsidRPr="00AD5A81">
              <w:t xml:space="preserve">the rooming house operator’s or agent’s contact details, including their name, address and emergency phone number </w:t>
            </w:r>
          </w:p>
        </w:tc>
      </w:tr>
      <w:tr w:rsidR="00701994" w14:paraId="48246CF5" w14:textId="77777777" w:rsidTr="002A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  <w:shd w:val="clear" w:color="auto" w:fill="auto"/>
          </w:tcPr>
          <w:p w14:paraId="613EFAB2" w14:textId="72EE668F" w:rsidR="00701994" w:rsidRDefault="006B3D0D" w:rsidP="009B551B">
            <w:pPr>
              <w:pStyle w:val="ListBullet"/>
            </w:pPr>
            <w:r>
              <w:t>receive</w:t>
            </w:r>
            <w:r w:rsidR="00AD5A81">
              <w:t xml:space="preserve"> two copies of a condition report for the room they are renting</w:t>
            </w:r>
            <w:r w:rsidR="009E18E6">
              <w:t xml:space="preserve"> (or one copy if sent via email)</w:t>
            </w:r>
            <w:r w:rsidR="00AD5A81">
              <w:t>. The report must show the state of repair and general condition of the room before the resident moves in</w:t>
            </w:r>
          </w:p>
        </w:tc>
      </w:tr>
      <w:tr w:rsidR="00701994" w14:paraId="760B334F" w14:textId="77777777" w:rsidTr="002A5619">
        <w:tc>
          <w:tcPr>
            <w:tcW w:w="5245" w:type="dxa"/>
            <w:shd w:val="clear" w:color="auto" w:fill="auto"/>
          </w:tcPr>
          <w:p w14:paraId="3874DB3B" w14:textId="1AD80FEA" w:rsidR="00701994" w:rsidRDefault="00BD1B52" w:rsidP="009B551B">
            <w:pPr>
              <w:pStyle w:val="ListBullet"/>
            </w:pPr>
            <w:r>
              <w:t xml:space="preserve">not have the rent increased more than once in a 12-month period. The </w:t>
            </w:r>
            <w:r w:rsidR="009277AE">
              <w:t>operator</w:t>
            </w:r>
            <w:r>
              <w:t xml:space="preserve"> must give the resident a valid 60-day notice of any rent increase</w:t>
            </w:r>
          </w:p>
        </w:tc>
      </w:tr>
      <w:tr w:rsidR="00701994" w14:paraId="1FC222D4" w14:textId="77777777" w:rsidTr="002A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  <w:shd w:val="clear" w:color="auto" w:fill="auto"/>
          </w:tcPr>
          <w:p w14:paraId="26BC457A" w14:textId="4BC0FDF0" w:rsidR="00701994" w:rsidRDefault="00BD1B52" w:rsidP="009B551B">
            <w:pPr>
              <w:pStyle w:val="ListBullet"/>
            </w:pPr>
            <w:r>
              <w:t xml:space="preserve">not pay more than </w:t>
            </w:r>
            <w:r w:rsidRPr="003A2210">
              <w:rPr>
                <w:b/>
              </w:rPr>
              <w:t>14 days</w:t>
            </w:r>
            <w:r>
              <w:t xml:space="preserve">’ </w:t>
            </w:r>
            <w:r w:rsidRPr="006B3D0D">
              <w:t>rent in advance</w:t>
            </w:r>
            <w:r w:rsidR="006B3D0D" w:rsidRPr="006B3D0D">
              <w:t>. They must also be offered a fee</w:t>
            </w:r>
            <w:r w:rsidR="005C6198">
              <w:t>-</w:t>
            </w:r>
            <w:r w:rsidR="006B3D0D" w:rsidRPr="006B3D0D">
              <w:t>free payment option and payment by Centrepay</w:t>
            </w:r>
          </w:p>
        </w:tc>
      </w:tr>
      <w:tr w:rsidR="00701994" w14:paraId="35B4D0E7" w14:textId="77777777" w:rsidTr="002A5619">
        <w:trPr>
          <w:trHeight w:val="340"/>
        </w:trPr>
        <w:tc>
          <w:tcPr>
            <w:tcW w:w="5245" w:type="dxa"/>
            <w:shd w:val="clear" w:color="auto" w:fill="auto"/>
          </w:tcPr>
          <w:p w14:paraId="75BED9C2" w14:textId="41E974E4" w:rsidR="00701994" w:rsidRDefault="00BD1B52" w:rsidP="009B551B">
            <w:pPr>
              <w:pStyle w:val="ListBullet"/>
            </w:pPr>
            <w:r>
              <w:t>get a receipt for each rent payment</w:t>
            </w:r>
          </w:p>
        </w:tc>
      </w:tr>
      <w:tr w:rsidR="00701994" w14:paraId="034EC587" w14:textId="77777777" w:rsidTr="002A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  <w:shd w:val="clear" w:color="auto" w:fill="auto"/>
          </w:tcPr>
          <w:p w14:paraId="57C6DE66" w14:textId="12E7CB2D" w:rsidR="00701994" w:rsidRDefault="00BD1B52" w:rsidP="009B551B">
            <w:pPr>
              <w:pStyle w:val="ListBullet"/>
            </w:pPr>
            <w:r>
              <w:t xml:space="preserve">not to have their goods </w:t>
            </w:r>
            <w:r w:rsidR="0036108E">
              <w:t>taken by the operator</w:t>
            </w:r>
            <w:r>
              <w:t xml:space="preserve"> if they owe rent </w:t>
            </w:r>
          </w:p>
        </w:tc>
      </w:tr>
      <w:tr w:rsidR="00701994" w14:paraId="127BBC9A" w14:textId="77777777" w:rsidTr="002A5619">
        <w:tc>
          <w:tcPr>
            <w:tcW w:w="5245" w:type="dxa"/>
            <w:shd w:val="clear" w:color="auto" w:fill="auto"/>
          </w:tcPr>
          <w:p w14:paraId="7FFC70AE" w14:textId="16900596" w:rsidR="00701994" w:rsidRDefault="00BD1B52" w:rsidP="009B551B">
            <w:pPr>
              <w:pStyle w:val="ListBullet"/>
            </w:pPr>
            <w:r w:rsidRPr="00D53AB3">
              <w:t>privacy</w:t>
            </w:r>
            <w:r w:rsidR="00D53AB3" w:rsidRPr="00D53AB3">
              <w:t>, quiet and peaceful enjoyment of the rooming house</w:t>
            </w:r>
          </w:p>
        </w:tc>
      </w:tr>
      <w:tr w:rsidR="00BD1B52" w14:paraId="69C9E6DE" w14:textId="77777777" w:rsidTr="002A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5245" w:type="dxa"/>
            <w:shd w:val="clear" w:color="auto" w:fill="auto"/>
          </w:tcPr>
          <w:p w14:paraId="456C60C9" w14:textId="44625A53" w:rsidR="00BD1B52" w:rsidRDefault="00BD1B52" w:rsidP="009B551B">
            <w:pPr>
              <w:pStyle w:val="ListBullet"/>
            </w:pPr>
            <w:r>
              <w:t xml:space="preserve">24-hour access to their room, toilet and bathroom </w:t>
            </w:r>
          </w:p>
        </w:tc>
      </w:tr>
      <w:tr w:rsidR="00701994" w14:paraId="66C9F137" w14:textId="77777777" w:rsidTr="002A5619">
        <w:tc>
          <w:tcPr>
            <w:tcW w:w="5245" w:type="dxa"/>
            <w:shd w:val="clear" w:color="auto" w:fill="auto"/>
          </w:tcPr>
          <w:p w14:paraId="2FFF0E07" w14:textId="2EE57D5F" w:rsidR="00701994" w:rsidRDefault="00BD1B52" w:rsidP="009B551B">
            <w:pPr>
              <w:pStyle w:val="ListBullet"/>
            </w:pPr>
            <w:r>
              <w:t>reasonable access to other facilities</w:t>
            </w:r>
            <w:r w:rsidR="00A91538">
              <w:t>,</w:t>
            </w:r>
            <w:r>
              <w:t xml:space="preserve"> including all common areas </w:t>
            </w:r>
          </w:p>
        </w:tc>
      </w:tr>
      <w:tr w:rsidR="00BD1B52" w14:paraId="07DE6127" w14:textId="77777777" w:rsidTr="002A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  <w:shd w:val="clear" w:color="auto" w:fill="auto"/>
          </w:tcPr>
          <w:p w14:paraId="0193382A" w14:textId="19ED927B" w:rsidR="00BD1B52" w:rsidRDefault="00BD1B52" w:rsidP="009B551B">
            <w:pPr>
              <w:pStyle w:val="ListBullet"/>
            </w:pPr>
            <w:r>
              <w:t xml:space="preserve">have their </w:t>
            </w:r>
            <w:r w:rsidRPr="0036108E">
              <w:t>room</w:t>
            </w:r>
            <w:r w:rsidR="0036108E" w:rsidRPr="0036108E">
              <w:t xml:space="preserve"> and the rooming house</w:t>
            </w:r>
            <w:r w:rsidRPr="0036108E">
              <w:t>,</w:t>
            </w:r>
            <w:r w:rsidR="00E74135">
              <w:t xml:space="preserve"> </w:t>
            </w:r>
            <w:r w:rsidR="00ED6562">
              <w:t>any common area,</w:t>
            </w:r>
            <w:r w:rsidRPr="0036108E">
              <w:t xml:space="preserve"> and</w:t>
            </w:r>
            <w:r>
              <w:t xml:space="preserve"> any facility, fixture, furniture or equipment provided by the </w:t>
            </w:r>
            <w:r w:rsidR="009277AE">
              <w:t>operator</w:t>
            </w:r>
            <w:r>
              <w:t xml:space="preserve"> be kept in good repair by the operator </w:t>
            </w:r>
          </w:p>
        </w:tc>
      </w:tr>
      <w:tr w:rsidR="00BD1B52" w14:paraId="4F695148" w14:textId="77777777" w:rsidTr="002A5619">
        <w:trPr>
          <w:trHeight w:val="636"/>
        </w:trPr>
        <w:tc>
          <w:tcPr>
            <w:tcW w:w="5245" w:type="dxa"/>
            <w:shd w:val="clear" w:color="auto" w:fill="auto"/>
          </w:tcPr>
          <w:p w14:paraId="2A7B188B" w14:textId="62880729" w:rsidR="00BD1B52" w:rsidRDefault="00BD1B52" w:rsidP="009B551B">
            <w:pPr>
              <w:pStyle w:val="ListBullet"/>
            </w:pPr>
            <w:r>
              <w:t xml:space="preserve">live in their room, until their residency is properly ended and they have vacated the premises </w:t>
            </w:r>
          </w:p>
        </w:tc>
      </w:tr>
      <w:tr w:rsidR="0036108E" w14:paraId="152286CC" w14:textId="77777777" w:rsidTr="002A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tcW w:w="5245" w:type="dxa"/>
            <w:shd w:val="clear" w:color="auto" w:fill="auto"/>
          </w:tcPr>
          <w:p w14:paraId="3DAC46BD" w14:textId="22DD2BFF" w:rsidR="0036108E" w:rsidRDefault="0036108E" w:rsidP="009B551B">
            <w:pPr>
              <w:pStyle w:val="ListBullet"/>
            </w:pPr>
            <w:r w:rsidRPr="0036108E">
              <w:t>not be charged for electricity, gas and water unless the room is separately metered</w:t>
            </w:r>
            <w:r w:rsidR="003948E7">
              <w:t>.</w:t>
            </w:r>
            <w:r w:rsidR="00635742">
              <w:t xml:space="preserve"> Some community housing residents may be required to pay a service charge</w:t>
            </w:r>
          </w:p>
        </w:tc>
      </w:tr>
    </w:tbl>
    <w:p w14:paraId="2E81EBC3" w14:textId="77777777" w:rsidR="00701994" w:rsidRPr="00701994" w:rsidRDefault="00701994" w:rsidP="00701994"/>
    <w:p w14:paraId="02EC8A51" w14:textId="49552812" w:rsidR="00A815E5" w:rsidRDefault="00A815E5" w:rsidP="00A815E5">
      <w:pPr>
        <w:pStyle w:val="Heading1"/>
      </w:pPr>
      <w:r>
        <w:br w:type="column"/>
      </w:r>
      <w:r>
        <w:t xml:space="preserve">A resident has a duty to: </w:t>
      </w:r>
    </w:p>
    <w:tbl>
      <w:tblPr>
        <w:tblStyle w:val="ListTable1Light-Accent5"/>
        <w:tblW w:w="524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00" w:firstRow="0" w:lastRow="0" w:firstColumn="0" w:lastColumn="0" w:noHBand="0" w:noVBand="1"/>
      </w:tblPr>
      <w:tblGrid>
        <w:gridCol w:w="5245"/>
      </w:tblGrid>
      <w:tr w:rsidR="006B3D0D" w14:paraId="0D3BC581" w14:textId="77777777" w:rsidTr="002A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  <w:shd w:val="clear" w:color="auto" w:fill="auto"/>
            <w:tcMar>
              <w:right w:w="0" w:type="dxa"/>
            </w:tcMar>
          </w:tcPr>
          <w:p w14:paraId="2A4AA8D5" w14:textId="47387AEF" w:rsidR="006B3D0D" w:rsidRPr="00AD5A81" w:rsidRDefault="006B3D0D" w:rsidP="009B551B">
            <w:pPr>
              <w:pStyle w:val="ListBullet"/>
            </w:pPr>
            <w:r>
              <w:t>pay a bond, as require</w:t>
            </w:r>
            <w:r w:rsidR="002136CD">
              <w:t>d</w:t>
            </w:r>
            <w:r>
              <w:t xml:space="preserve"> by the operator. For</w:t>
            </w:r>
            <w:r w:rsidR="00804C32">
              <w:t xml:space="preserve"> </w:t>
            </w:r>
            <w:r>
              <w:t>residents on a fixed term agreement, the bond should be equal to or less than 28 days' rent. For other residents</w:t>
            </w:r>
            <w:r w:rsidR="00A91538">
              <w:t>,</w:t>
            </w:r>
            <w:r>
              <w:t xml:space="preserve"> it should be equal to or less than 14 days' rent</w:t>
            </w:r>
          </w:p>
        </w:tc>
      </w:tr>
      <w:tr w:rsidR="006B3D0D" w14:paraId="0C1204B1" w14:textId="77777777" w:rsidTr="002A5619">
        <w:tc>
          <w:tcPr>
            <w:tcW w:w="5245" w:type="dxa"/>
            <w:shd w:val="clear" w:color="auto" w:fill="auto"/>
          </w:tcPr>
          <w:p w14:paraId="0BB3CED2" w14:textId="421FB8CF" w:rsidR="006B3D0D" w:rsidRDefault="006B3D0D" w:rsidP="009B551B">
            <w:pPr>
              <w:pStyle w:val="ListBullet"/>
            </w:pPr>
            <w:r>
              <w:t>keep the room reasonably clean</w:t>
            </w:r>
          </w:p>
        </w:tc>
      </w:tr>
      <w:tr w:rsidR="00A815E5" w14:paraId="5923ACE3" w14:textId="77777777" w:rsidTr="002A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  <w:shd w:val="clear" w:color="auto" w:fill="auto"/>
          </w:tcPr>
          <w:p w14:paraId="668D6334" w14:textId="77777777" w:rsidR="00A815E5" w:rsidRPr="00AD5A81" w:rsidRDefault="00A815E5" w:rsidP="009B551B">
            <w:pPr>
              <w:pStyle w:val="ListBullet"/>
            </w:pPr>
            <w:r>
              <w:t xml:space="preserve">not use, or let anyone else use, the room for an illegal purpose </w:t>
            </w:r>
          </w:p>
        </w:tc>
      </w:tr>
      <w:tr w:rsidR="00A815E5" w14:paraId="19449AAA" w14:textId="77777777" w:rsidTr="002A5619">
        <w:tc>
          <w:tcPr>
            <w:tcW w:w="5245" w:type="dxa"/>
            <w:shd w:val="clear" w:color="auto" w:fill="auto"/>
          </w:tcPr>
          <w:p w14:paraId="48AC68FD" w14:textId="77777777" w:rsidR="00A815E5" w:rsidRPr="00AD5A81" w:rsidRDefault="00A815E5" w:rsidP="009B551B">
            <w:pPr>
              <w:pStyle w:val="ListBullet"/>
            </w:pPr>
            <w:r>
              <w:t xml:space="preserve">follow house rules </w:t>
            </w:r>
          </w:p>
        </w:tc>
      </w:tr>
      <w:tr w:rsidR="00A815E5" w14:paraId="04CF56DF" w14:textId="77777777" w:rsidTr="002A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  <w:shd w:val="clear" w:color="auto" w:fill="auto"/>
          </w:tcPr>
          <w:p w14:paraId="77EE1CAF" w14:textId="1AD8B709" w:rsidR="00A815E5" w:rsidRPr="00AD5A81" w:rsidRDefault="00A815E5" w:rsidP="009B551B">
            <w:pPr>
              <w:pStyle w:val="ListBullet"/>
            </w:pPr>
            <w:r>
              <w:t xml:space="preserve">not install fixtures without the </w:t>
            </w:r>
            <w:r w:rsidR="009277AE">
              <w:t>operator</w:t>
            </w:r>
            <w:r>
              <w:t xml:space="preserve">’s prior written permission </w:t>
            </w:r>
          </w:p>
        </w:tc>
      </w:tr>
      <w:tr w:rsidR="00A815E5" w14:paraId="548C10E1" w14:textId="77777777" w:rsidTr="002A5619">
        <w:tc>
          <w:tcPr>
            <w:tcW w:w="5245" w:type="dxa"/>
            <w:shd w:val="clear" w:color="auto" w:fill="auto"/>
          </w:tcPr>
          <w:p w14:paraId="21444EB4" w14:textId="6AECC28F" w:rsidR="00A815E5" w:rsidRDefault="00A815E5" w:rsidP="009B551B">
            <w:pPr>
              <w:pStyle w:val="ListBullet"/>
            </w:pPr>
            <w:r>
              <w:t>not interfere, or let a visitor interfere</w:t>
            </w:r>
            <w:r w:rsidR="00C004DE">
              <w:t>,</w:t>
            </w:r>
            <w:r>
              <w:t xml:space="preserve"> with other residents’ privacy, peace and quiet </w:t>
            </w:r>
          </w:p>
        </w:tc>
      </w:tr>
      <w:tr w:rsidR="00A815E5" w14:paraId="6E0749F1" w14:textId="77777777" w:rsidTr="002A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  <w:shd w:val="clear" w:color="auto" w:fill="auto"/>
          </w:tcPr>
          <w:p w14:paraId="0CDF4FDB" w14:textId="77777777" w:rsidR="00A815E5" w:rsidRDefault="00A815E5" w:rsidP="009B551B">
            <w:pPr>
              <w:pStyle w:val="ListBullet"/>
            </w:pPr>
            <w:r>
              <w:t>pay their rent on time and in the agreed way</w:t>
            </w:r>
          </w:p>
        </w:tc>
      </w:tr>
      <w:tr w:rsidR="00A815E5" w14:paraId="7D520CE1" w14:textId="77777777" w:rsidTr="002A5619">
        <w:tc>
          <w:tcPr>
            <w:tcW w:w="5245" w:type="dxa"/>
            <w:shd w:val="clear" w:color="auto" w:fill="auto"/>
          </w:tcPr>
          <w:p w14:paraId="28AC8409" w14:textId="1015EE0A" w:rsidR="00A815E5" w:rsidRDefault="00A815E5" w:rsidP="009B551B">
            <w:pPr>
              <w:pStyle w:val="ListBullet"/>
            </w:pPr>
            <w:r>
              <w:t xml:space="preserve">not keep pets without the </w:t>
            </w:r>
            <w:r w:rsidR="009277AE">
              <w:t>operator’s</w:t>
            </w:r>
            <w:r>
              <w:t xml:space="preserve"> permission </w:t>
            </w:r>
          </w:p>
        </w:tc>
      </w:tr>
      <w:tr w:rsidR="00A815E5" w14:paraId="57D42820" w14:textId="77777777" w:rsidTr="002A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  <w:shd w:val="clear" w:color="auto" w:fill="auto"/>
          </w:tcPr>
          <w:p w14:paraId="4FC51C1B" w14:textId="2D199513" w:rsidR="00A815E5" w:rsidRDefault="00A815E5" w:rsidP="009B551B">
            <w:pPr>
              <w:pStyle w:val="ListBullet"/>
            </w:pPr>
            <w:r>
              <w:t xml:space="preserve">give the </w:t>
            </w:r>
            <w:r w:rsidR="009277AE">
              <w:t>operator</w:t>
            </w:r>
            <w:r>
              <w:t xml:space="preserve"> a key to their room</w:t>
            </w:r>
            <w:r w:rsidR="00635742">
              <w:t xml:space="preserve"> if the</w:t>
            </w:r>
            <w:r w:rsidR="006F6418">
              <w:t>y change the locks</w:t>
            </w:r>
            <w:r>
              <w:t xml:space="preserve"> </w:t>
            </w:r>
          </w:p>
        </w:tc>
      </w:tr>
      <w:tr w:rsidR="00A815E5" w14:paraId="16FD4276" w14:textId="77777777" w:rsidTr="002A5619">
        <w:tc>
          <w:tcPr>
            <w:tcW w:w="5245" w:type="dxa"/>
            <w:shd w:val="clear" w:color="auto" w:fill="auto"/>
          </w:tcPr>
          <w:p w14:paraId="119ADF94" w14:textId="71176A77" w:rsidR="00A815E5" w:rsidRDefault="00A815E5" w:rsidP="009B551B">
            <w:pPr>
              <w:pStyle w:val="ListBullet"/>
            </w:pPr>
            <w:r>
              <w:t>allow access to their room</w:t>
            </w:r>
            <w:r w:rsidR="00B7271C">
              <w:t xml:space="preserve"> in certain situations</w:t>
            </w:r>
            <w:r>
              <w:t xml:space="preserve">: </w:t>
            </w:r>
          </w:p>
          <w:p w14:paraId="1AB414F2" w14:textId="73E49189" w:rsidR="0036108E" w:rsidRPr="0036108E" w:rsidRDefault="00B7271C" w:rsidP="009B551B">
            <w:pPr>
              <w:pStyle w:val="ListBullet1"/>
            </w:pPr>
            <w:r>
              <w:t xml:space="preserve">If </w:t>
            </w:r>
            <w:r w:rsidR="0036108E" w:rsidRPr="0036108E">
              <w:t>there is an emergency, the rooming house operator may access the room immediately</w:t>
            </w:r>
            <w:r>
              <w:t>.</w:t>
            </w:r>
            <w:r w:rsidR="0036108E" w:rsidRPr="0036108E">
              <w:t xml:space="preserve"> </w:t>
            </w:r>
          </w:p>
          <w:p w14:paraId="3D7410E5" w14:textId="39FFA68B" w:rsidR="00A815E5" w:rsidRPr="00D53AB3" w:rsidRDefault="00D53AB3" w:rsidP="009B551B">
            <w:pPr>
              <w:pStyle w:val="ListBullet1"/>
            </w:pPr>
            <w:r w:rsidRPr="00D53AB3">
              <w:t xml:space="preserve">If the operator </w:t>
            </w:r>
            <w:r w:rsidR="00A815E5" w:rsidRPr="00D53AB3">
              <w:t xml:space="preserve">wants to carry out their </w:t>
            </w:r>
            <w:r w:rsidRPr="00D53AB3">
              <w:t xml:space="preserve">duties or believes that the resident has not followed their duties, </w:t>
            </w:r>
            <w:r w:rsidR="001F115C">
              <w:t>they</w:t>
            </w:r>
            <w:r w:rsidR="00804C32">
              <w:t xml:space="preserve"> may</w:t>
            </w:r>
            <w:r w:rsidRPr="00D53AB3">
              <w:t xml:space="preserve"> access the room after giving 24 hours’ written notice.</w:t>
            </w:r>
            <w:r w:rsidR="00A815E5" w:rsidRPr="00D53AB3">
              <w:t xml:space="preserve"> </w:t>
            </w:r>
          </w:p>
          <w:p w14:paraId="7AC56C35" w14:textId="1FA4ECE7" w:rsidR="0036108E" w:rsidRPr="0036108E" w:rsidRDefault="00B7271C" w:rsidP="009B551B">
            <w:pPr>
              <w:pStyle w:val="ListBullet1"/>
            </w:pPr>
            <w:r>
              <w:t xml:space="preserve">If </w:t>
            </w:r>
            <w:r w:rsidR="0036108E" w:rsidRPr="0036108E">
              <w:t xml:space="preserve">the operator wants to show the room to a potential resident, buyer or lender, </w:t>
            </w:r>
            <w:r w:rsidR="001F115C">
              <w:t>they</w:t>
            </w:r>
            <w:r w:rsidR="0036108E" w:rsidRPr="0036108E">
              <w:t xml:space="preserve"> may access the room after giving the resident 24 hours' notice. </w:t>
            </w:r>
          </w:p>
          <w:p w14:paraId="09803851" w14:textId="59E8706F" w:rsidR="00A815E5" w:rsidRDefault="00B7271C" w:rsidP="009B551B">
            <w:pPr>
              <w:pStyle w:val="ListBullet1"/>
            </w:pPr>
            <w:r>
              <w:t xml:space="preserve">If </w:t>
            </w:r>
            <w:r w:rsidR="0036108E">
              <w:t>the operator wants to inspect the room</w:t>
            </w:r>
            <w:r w:rsidR="00C004DE">
              <w:t>,</w:t>
            </w:r>
            <w:r w:rsidR="0036108E">
              <w:t xml:space="preserve"> </w:t>
            </w:r>
            <w:r w:rsidR="001F115C">
              <w:t>they</w:t>
            </w:r>
            <w:r w:rsidR="0036108E">
              <w:t xml:space="preserve"> must give the resident 48 hours' notice. There can only be one inspection in a 4-week period</w:t>
            </w:r>
            <w:r>
              <w:t>.</w:t>
            </w:r>
          </w:p>
        </w:tc>
      </w:tr>
      <w:tr w:rsidR="00A815E5" w14:paraId="6EF66308" w14:textId="77777777" w:rsidTr="002A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  <w:shd w:val="clear" w:color="auto" w:fill="auto"/>
          </w:tcPr>
          <w:p w14:paraId="3D61E0B5" w14:textId="00367A15" w:rsidR="00A815E5" w:rsidRDefault="00A815E5" w:rsidP="009B551B">
            <w:pPr>
              <w:pStyle w:val="ListBullet"/>
            </w:pPr>
            <w:r>
              <w:t xml:space="preserve">tell the </w:t>
            </w:r>
            <w:r w:rsidR="009277AE">
              <w:t>operator</w:t>
            </w:r>
            <w:r>
              <w:t xml:space="preserve"> about damage to or breakdown of facilities, fixtures, furniture or equipment provided by the </w:t>
            </w:r>
            <w:r w:rsidR="009277AE">
              <w:t>operator</w:t>
            </w:r>
            <w:r>
              <w:t xml:space="preserve"> </w:t>
            </w:r>
          </w:p>
        </w:tc>
      </w:tr>
      <w:tr w:rsidR="0036108E" w14:paraId="19BD9B0A" w14:textId="77777777" w:rsidTr="002A5619">
        <w:tc>
          <w:tcPr>
            <w:tcW w:w="5245" w:type="dxa"/>
            <w:shd w:val="clear" w:color="auto" w:fill="auto"/>
          </w:tcPr>
          <w:p w14:paraId="1642BF9D" w14:textId="77777777" w:rsidR="0036108E" w:rsidRDefault="0036108E" w:rsidP="009B551B">
            <w:pPr>
              <w:pStyle w:val="ListBullet"/>
            </w:pPr>
            <w:r>
              <w:t>notify the rooming house operator of damage that they or their visitors cause and pay for the damage to be fixed. Damage does not include fair wear and tear</w:t>
            </w:r>
          </w:p>
        </w:tc>
      </w:tr>
      <w:tr w:rsidR="00A815E5" w14:paraId="5C6E95A5" w14:textId="77777777" w:rsidTr="002A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  <w:shd w:val="clear" w:color="auto" w:fill="auto"/>
          </w:tcPr>
          <w:p w14:paraId="0F26BEB3" w14:textId="27E9A34F" w:rsidR="00A815E5" w:rsidRDefault="00A815E5" w:rsidP="009B551B">
            <w:pPr>
              <w:pStyle w:val="ListBullet"/>
            </w:pPr>
            <w:r>
              <w:t xml:space="preserve">give at least 2 days’ notice to the </w:t>
            </w:r>
            <w:r w:rsidR="009277AE">
              <w:t>operator</w:t>
            </w:r>
            <w:r>
              <w:t xml:space="preserve"> that they intend to vacate, or 14 days’ if they have a fixed-term </w:t>
            </w:r>
            <w:r w:rsidR="00027B1D">
              <w:t>rooming house</w:t>
            </w:r>
            <w:r>
              <w:t xml:space="preserve"> agreement</w:t>
            </w:r>
          </w:p>
        </w:tc>
      </w:tr>
      <w:tr w:rsidR="00A815E5" w14:paraId="73B8E2C1" w14:textId="77777777" w:rsidTr="002A5619">
        <w:tc>
          <w:tcPr>
            <w:tcW w:w="5245" w:type="dxa"/>
            <w:shd w:val="clear" w:color="auto" w:fill="auto"/>
          </w:tcPr>
          <w:p w14:paraId="7E934B33" w14:textId="070F8A9B" w:rsidR="00A815E5" w:rsidRDefault="00A815E5" w:rsidP="009B551B">
            <w:pPr>
              <w:pStyle w:val="ListBullet"/>
            </w:pPr>
            <w:r>
              <w:t xml:space="preserve">follow all </w:t>
            </w:r>
            <w:r w:rsidR="00C004DE" w:rsidRPr="00C004DE">
              <w:t>Victorian Civil and Administrative Tribunal</w:t>
            </w:r>
            <w:r w:rsidR="00C004DE">
              <w:t xml:space="preserve"> (</w:t>
            </w:r>
            <w:r>
              <w:t>VCAT</w:t>
            </w:r>
            <w:r w:rsidR="00C004DE">
              <w:t>)</w:t>
            </w:r>
            <w:r>
              <w:t xml:space="preserve"> orders </w:t>
            </w:r>
          </w:p>
        </w:tc>
      </w:tr>
      <w:tr w:rsidR="00B7271C" w14:paraId="5583F5C6" w14:textId="77777777" w:rsidTr="002A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tcW w:w="5245" w:type="dxa"/>
            <w:shd w:val="clear" w:color="auto" w:fill="auto"/>
          </w:tcPr>
          <w:p w14:paraId="673774AD" w14:textId="17406978" w:rsidR="00B7271C" w:rsidRDefault="00B7271C" w:rsidP="009B551B">
            <w:pPr>
              <w:pStyle w:val="ListBullet"/>
            </w:pPr>
            <w:r w:rsidRPr="00B7271C">
              <w:t>not interfere with the operation of a safety device such as a smoke detector</w:t>
            </w:r>
            <w:r w:rsidR="001845E4">
              <w:t>, without reasonable excuse</w:t>
            </w:r>
          </w:p>
        </w:tc>
      </w:tr>
    </w:tbl>
    <w:p w14:paraId="5378BCAD" w14:textId="75F51C4F" w:rsidR="009346B7" w:rsidRPr="009277AE" w:rsidRDefault="009346B7" w:rsidP="00030973">
      <w:pPr>
        <w:pStyle w:val="BodyText"/>
      </w:pPr>
    </w:p>
    <w:sectPr w:rsidR="009346B7" w:rsidRPr="009277AE" w:rsidSect="00030973">
      <w:type w:val="continuous"/>
      <w:pgSz w:w="11906" w:h="16838"/>
      <w:pgMar w:top="568" w:right="567" w:bottom="568" w:left="567" w:header="454" w:footer="397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5CBB0" w14:textId="77777777" w:rsidR="00ED3232" w:rsidRDefault="00ED3232" w:rsidP="00577F04">
      <w:pPr>
        <w:spacing w:after="0" w:line="240" w:lineRule="auto"/>
      </w:pPr>
      <w:r>
        <w:separator/>
      </w:r>
    </w:p>
  </w:endnote>
  <w:endnote w:type="continuationSeparator" w:id="0">
    <w:p w14:paraId="4621E161" w14:textId="77777777" w:rsidR="00ED3232" w:rsidRDefault="00ED3232" w:rsidP="00577F04">
      <w:pPr>
        <w:spacing w:after="0" w:line="240" w:lineRule="auto"/>
      </w:pPr>
      <w:r>
        <w:continuationSeparator/>
      </w:r>
    </w:p>
  </w:endnote>
  <w:endnote w:type="continuationNotice" w:id="1">
    <w:p w14:paraId="794B7B56" w14:textId="77777777" w:rsidR="00ED3232" w:rsidRDefault="00ED32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5A015" w14:textId="3A8A280F" w:rsidR="0095181B" w:rsidRPr="00577F04" w:rsidRDefault="00731A6E" w:rsidP="008C75CF">
    <w:pPr>
      <w:pStyle w:val="Footer"/>
      <w:tabs>
        <w:tab w:val="clear" w:pos="4513"/>
        <w:tab w:val="center" w:pos="5387"/>
      </w:tabs>
      <w:rPr>
        <w:sz w:val="16"/>
        <w:szCs w:val="16"/>
      </w:rPr>
    </w:pPr>
    <w:r>
      <w:rPr>
        <w:sz w:val="16"/>
        <w:szCs w:val="16"/>
      </w:rPr>
      <w:t>Rights and duties – rooming house</w:t>
    </w:r>
    <w:r w:rsidR="0095181B" w:rsidRPr="00577F04">
      <w:rPr>
        <w:sz w:val="16"/>
        <w:szCs w:val="16"/>
      </w:rPr>
      <w:t xml:space="preserve"> (</w:t>
    </w:r>
    <w:r w:rsidR="00BC77E6">
      <w:rPr>
        <w:sz w:val="16"/>
        <w:szCs w:val="16"/>
      </w:rPr>
      <w:t>02</w:t>
    </w:r>
    <w:r w:rsidR="0095181B" w:rsidRPr="00577F04">
      <w:rPr>
        <w:sz w:val="16"/>
        <w:szCs w:val="16"/>
      </w:rPr>
      <w:t>/</w:t>
    </w:r>
    <w:r w:rsidR="00BC77E6">
      <w:rPr>
        <w:sz w:val="16"/>
        <w:szCs w:val="16"/>
      </w:rPr>
      <w:t>21</w:t>
    </w:r>
    <w:r w:rsidR="0095181B" w:rsidRPr="00577F04">
      <w:rPr>
        <w:sz w:val="16"/>
        <w:szCs w:val="16"/>
      </w:rPr>
      <w:t>)</w:t>
    </w:r>
    <w:r w:rsidR="0095181B">
      <w:rPr>
        <w:sz w:val="16"/>
        <w:szCs w:val="16"/>
      </w:rPr>
      <w:tab/>
    </w:r>
    <w:r w:rsidR="0095181B" w:rsidRPr="00577F04">
      <w:rPr>
        <w:sz w:val="16"/>
        <w:szCs w:val="16"/>
      </w:rPr>
      <w:t xml:space="preserve">Page </w:t>
    </w:r>
    <w:r w:rsidR="0095181B" w:rsidRPr="00577F04">
      <w:rPr>
        <w:b/>
        <w:bCs/>
        <w:sz w:val="16"/>
        <w:szCs w:val="16"/>
      </w:rPr>
      <w:fldChar w:fldCharType="begin"/>
    </w:r>
    <w:r w:rsidR="0095181B" w:rsidRPr="00577F04">
      <w:rPr>
        <w:b/>
        <w:bCs/>
        <w:sz w:val="16"/>
        <w:szCs w:val="16"/>
      </w:rPr>
      <w:instrText xml:space="preserve"> PAGE  \* Arabic  \* MERGEFORMAT </w:instrText>
    </w:r>
    <w:r w:rsidR="0095181B" w:rsidRPr="00577F04">
      <w:rPr>
        <w:b/>
        <w:bCs/>
        <w:sz w:val="16"/>
        <w:szCs w:val="16"/>
      </w:rPr>
      <w:fldChar w:fldCharType="separate"/>
    </w:r>
    <w:r w:rsidR="0095181B" w:rsidRPr="00577F04">
      <w:rPr>
        <w:b/>
        <w:bCs/>
        <w:noProof/>
        <w:sz w:val="16"/>
        <w:szCs w:val="16"/>
      </w:rPr>
      <w:t>1</w:t>
    </w:r>
    <w:r w:rsidR="0095181B" w:rsidRPr="00577F04">
      <w:rPr>
        <w:b/>
        <w:bCs/>
        <w:sz w:val="16"/>
        <w:szCs w:val="16"/>
      </w:rPr>
      <w:fldChar w:fldCharType="end"/>
    </w:r>
    <w:r w:rsidR="0095181B" w:rsidRPr="00577F04">
      <w:rPr>
        <w:sz w:val="16"/>
        <w:szCs w:val="16"/>
      </w:rPr>
      <w:t xml:space="preserve"> of </w:t>
    </w:r>
    <w:r w:rsidR="0095181B" w:rsidRPr="00577F04">
      <w:rPr>
        <w:b/>
        <w:bCs/>
        <w:sz w:val="16"/>
        <w:szCs w:val="16"/>
      </w:rPr>
      <w:fldChar w:fldCharType="begin"/>
    </w:r>
    <w:r w:rsidR="0095181B" w:rsidRPr="00577F04">
      <w:rPr>
        <w:b/>
        <w:bCs/>
        <w:sz w:val="16"/>
        <w:szCs w:val="16"/>
      </w:rPr>
      <w:instrText xml:space="preserve"> NUMPAGES  \* Arabic  \* MERGEFORMAT </w:instrText>
    </w:r>
    <w:r w:rsidR="0095181B" w:rsidRPr="00577F04">
      <w:rPr>
        <w:b/>
        <w:bCs/>
        <w:sz w:val="16"/>
        <w:szCs w:val="16"/>
      </w:rPr>
      <w:fldChar w:fldCharType="separate"/>
    </w:r>
    <w:r w:rsidR="0095181B" w:rsidRPr="00577F04">
      <w:rPr>
        <w:b/>
        <w:bCs/>
        <w:noProof/>
        <w:sz w:val="16"/>
        <w:szCs w:val="16"/>
      </w:rPr>
      <w:t>2</w:t>
    </w:r>
    <w:r w:rsidR="0095181B" w:rsidRPr="00577F04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8008A" w14:textId="77777777" w:rsidR="00ED3232" w:rsidRDefault="00ED3232" w:rsidP="00577F04">
      <w:pPr>
        <w:spacing w:after="0" w:line="240" w:lineRule="auto"/>
      </w:pPr>
      <w:r>
        <w:separator/>
      </w:r>
    </w:p>
  </w:footnote>
  <w:footnote w:type="continuationSeparator" w:id="0">
    <w:p w14:paraId="717F1B98" w14:textId="77777777" w:rsidR="00ED3232" w:rsidRDefault="00ED3232" w:rsidP="00577F04">
      <w:pPr>
        <w:spacing w:after="0" w:line="240" w:lineRule="auto"/>
      </w:pPr>
      <w:r>
        <w:continuationSeparator/>
      </w:r>
    </w:p>
  </w:footnote>
  <w:footnote w:type="continuationNotice" w:id="1">
    <w:p w14:paraId="5E7E691F" w14:textId="77777777" w:rsidR="00ED3232" w:rsidRDefault="00ED32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08A0A" w14:textId="4FB11635" w:rsidR="0095181B" w:rsidRDefault="0095181B" w:rsidP="00050340">
    <w:pPr>
      <w:pStyle w:val="spac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F081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D068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2029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3C6A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D41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7AC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CB9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C8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3CA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827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35914"/>
    <w:multiLevelType w:val="hybridMultilevel"/>
    <w:tmpl w:val="FF70308C"/>
    <w:lvl w:ilvl="0" w:tplc="E9342C44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 w:val="0"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5C332B3"/>
    <w:multiLevelType w:val="hybridMultilevel"/>
    <w:tmpl w:val="F67ECF54"/>
    <w:lvl w:ilvl="0" w:tplc="576ACF86">
      <w:start w:val="5"/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F07949"/>
    <w:multiLevelType w:val="hybridMultilevel"/>
    <w:tmpl w:val="8D5A59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0B012C"/>
    <w:multiLevelType w:val="hybridMultilevel"/>
    <w:tmpl w:val="212E47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D785865"/>
    <w:multiLevelType w:val="hybridMultilevel"/>
    <w:tmpl w:val="34065A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EF1314"/>
    <w:multiLevelType w:val="hybridMultilevel"/>
    <w:tmpl w:val="6BA618A4"/>
    <w:lvl w:ilvl="0" w:tplc="B3066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A031BF"/>
    <w:multiLevelType w:val="multilevel"/>
    <w:tmpl w:val="E1180898"/>
    <w:numStyleLink w:val="Numbers"/>
  </w:abstractNum>
  <w:abstractNum w:abstractNumId="17" w15:restartNumberingAfterBreak="0">
    <w:nsid w:val="1BBD5D5F"/>
    <w:multiLevelType w:val="hybridMultilevel"/>
    <w:tmpl w:val="9522C51A"/>
    <w:lvl w:ilvl="0" w:tplc="0A98C866">
      <w:start w:val="1"/>
      <w:numFmt w:val="bullet"/>
      <w:pStyle w:val="BulletList1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1ED22352"/>
    <w:multiLevelType w:val="hybridMultilevel"/>
    <w:tmpl w:val="8F2271C2"/>
    <w:lvl w:ilvl="0" w:tplc="B46C1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E61A2"/>
    <w:multiLevelType w:val="multilevel"/>
    <w:tmpl w:val="E1180898"/>
    <w:styleLink w:val="Numbers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7CB4D61"/>
    <w:multiLevelType w:val="hybridMultilevel"/>
    <w:tmpl w:val="78582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95D6E"/>
    <w:multiLevelType w:val="hybridMultilevel"/>
    <w:tmpl w:val="0B645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E40F6D"/>
    <w:multiLevelType w:val="hybridMultilevel"/>
    <w:tmpl w:val="EE0A9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6D3767"/>
    <w:multiLevelType w:val="hybridMultilevel"/>
    <w:tmpl w:val="5DF2924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5386583"/>
    <w:multiLevelType w:val="hybridMultilevel"/>
    <w:tmpl w:val="5896FF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8667B0"/>
    <w:multiLevelType w:val="hybridMultilevel"/>
    <w:tmpl w:val="45120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13E88"/>
    <w:multiLevelType w:val="hybridMultilevel"/>
    <w:tmpl w:val="874A9728"/>
    <w:lvl w:ilvl="0" w:tplc="5928C7D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46CBF"/>
    <w:multiLevelType w:val="hybridMultilevel"/>
    <w:tmpl w:val="31B41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012A9"/>
    <w:multiLevelType w:val="hybridMultilevel"/>
    <w:tmpl w:val="1BCE3540"/>
    <w:lvl w:ilvl="0" w:tplc="7AE064C4">
      <w:start w:val="5"/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E2F3B"/>
    <w:multiLevelType w:val="hybridMultilevel"/>
    <w:tmpl w:val="F0AEC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34FE3"/>
    <w:multiLevelType w:val="hybridMultilevel"/>
    <w:tmpl w:val="E422AC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175B4B"/>
    <w:multiLevelType w:val="hybridMultilevel"/>
    <w:tmpl w:val="4D8A3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B67EA"/>
    <w:multiLevelType w:val="hybridMultilevel"/>
    <w:tmpl w:val="5486252C"/>
    <w:lvl w:ilvl="0" w:tplc="DC1C9CE4">
      <w:start w:val="1"/>
      <w:numFmt w:val="lowerLetter"/>
      <w:pStyle w:val="ListNumberAlpha"/>
      <w:lvlText w:val="%1.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17D1623"/>
    <w:multiLevelType w:val="hybridMultilevel"/>
    <w:tmpl w:val="CC8CCC5C"/>
    <w:lvl w:ilvl="0" w:tplc="A25E619C">
      <w:start w:val="1"/>
      <w:numFmt w:val="decimal"/>
      <w:pStyle w:val="ListNumberParenthes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A148D"/>
    <w:multiLevelType w:val="hybridMultilevel"/>
    <w:tmpl w:val="205E1F16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4C16036"/>
    <w:multiLevelType w:val="hybridMultilevel"/>
    <w:tmpl w:val="A38E1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54020"/>
    <w:multiLevelType w:val="hybridMultilevel"/>
    <w:tmpl w:val="B29E02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834824"/>
    <w:multiLevelType w:val="hybridMultilevel"/>
    <w:tmpl w:val="C024C06E"/>
    <w:lvl w:ilvl="0" w:tplc="C24EBEEC">
      <w:start w:val="1"/>
      <w:numFmt w:val="bullet"/>
      <w:pStyle w:val="ListBullet1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3"/>
  </w:num>
  <w:num w:numId="14">
    <w:abstractNumId w:val="10"/>
  </w:num>
  <w:num w:numId="15">
    <w:abstractNumId w:val="12"/>
  </w:num>
  <w:num w:numId="16">
    <w:abstractNumId w:val="26"/>
  </w:num>
  <w:num w:numId="17">
    <w:abstractNumId w:val="19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9"/>
  </w:num>
  <w:num w:numId="23">
    <w:abstractNumId w:val="35"/>
  </w:num>
  <w:num w:numId="24">
    <w:abstractNumId w:val="34"/>
  </w:num>
  <w:num w:numId="25">
    <w:abstractNumId w:val="20"/>
  </w:num>
  <w:num w:numId="26">
    <w:abstractNumId w:val="16"/>
  </w:num>
  <w:num w:numId="27">
    <w:abstractNumId w:val="23"/>
  </w:num>
  <w:num w:numId="28">
    <w:abstractNumId w:val="14"/>
  </w:num>
  <w:num w:numId="29">
    <w:abstractNumId w:val="32"/>
  </w:num>
  <w:num w:numId="30">
    <w:abstractNumId w:val="32"/>
    <w:lvlOverride w:ilvl="0">
      <w:startOverride w:val="1"/>
    </w:lvlOverride>
  </w:num>
  <w:num w:numId="31">
    <w:abstractNumId w:val="22"/>
  </w:num>
  <w:num w:numId="32">
    <w:abstractNumId w:val="28"/>
  </w:num>
  <w:num w:numId="33">
    <w:abstractNumId w:val="11"/>
  </w:num>
  <w:num w:numId="34">
    <w:abstractNumId w:val="32"/>
    <w:lvlOverride w:ilvl="0">
      <w:startOverride w:val="1"/>
    </w:lvlOverride>
  </w:num>
  <w:num w:numId="35">
    <w:abstractNumId w:val="21"/>
  </w:num>
  <w:num w:numId="36">
    <w:abstractNumId w:val="30"/>
  </w:num>
  <w:num w:numId="37">
    <w:abstractNumId w:val="18"/>
  </w:num>
  <w:num w:numId="38">
    <w:abstractNumId w:val="36"/>
  </w:num>
  <w:num w:numId="39">
    <w:abstractNumId w:val="24"/>
  </w:num>
  <w:num w:numId="40">
    <w:abstractNumId w:val="37"/>
  </w:num>
  <w:num w:numId="41">
    <w:abstractNumId w:val="25"/>
  </w:num>
  <w:num w:numId="42">
    <w:abstractNumId w:val="1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F1"/>
    <w:rsid w:val="000017E7"/>
    <w:rsid w:val="00006A12"/>
    <w:rsid w:val="00015743"/>
    <w:rsid w:val="00017426"/>
    <w:rsid w:val="000247C6"/>
    <w:rsid w:val="00027B1D"/>
    <w:rsid w:val="00030973"/>
    <w:rsid w:val="00031FE5"/>
    <w:rsid w:val="00045E88"/>
    <w:rsid w:val="000477E9"/>
    <w:rsid w:val="00050340"/>
    <w:rsid w:val="00063F60"/>
    <w:rsid w:val="00064F19"/>
    <w:rsid w:val="00071A2D"/>
    <w:rsid w:val="00074AF6"/>
    <w:rsid w:val="00090D50"/>
    <w:rsid w:val="000A0DA8"/>
    <w:rsid w:val="000A7A4A"/>
    <w:rsid w:val="000C22FE"/>
    <w:rsid w:val="000D7225"/>
    <w:rsid w:val="000F11C3"/>
    <w:rsid w:val="000F1CE6"/>
    <w:rsid w:val="000F400C"/>
    <w:rsid w:val="000F4BD2"/>
    <w:rsid w:val="000F56A6"/>
    <w:rsid w:val="000F5EFB"/>
    <w:rsid w:val="001161AC"/>
    <w:rsid w:val="00123882"/>
    <w:rsid w:val="0012723A"/>
    <w:rsid w:val="00131034"/>
    <w:rsid w:val="0013152D"/>
    <w:rsid w:val="00131BA6"/>
    <w:rsid w:val="00137D94"/>
    <w:rsid w:val="00146B50"/>
    <w:rsid w:val="00153E9E"/>
    <w:rsid w:val="001678AF"/>
    <w:rsid w:val="00181989"/>
    <w:rsid w:val="001845E4"/>
    <w:rsid w:val="001A7F54"/>
    <w:rsid w:val="001C352C"/>
    <w:rsid w:val="001D793C"/>
    <w:rsid w:val="001E764C"/>
    <w:rsid w:val="001F115C"/>
    <w:rsid w:val="002031BB"/>
    <w:rsid w:val="0020351C"/>
    <w:rsid w:val="002136CD"/>
    <w:rsid w:val="00221495"/>
    <w:rsid w:val="00227504"/>
    <w:rsid w:val="00235A37"/>
    <w:rsid w:val="00250DA3"/>
    <w:rsid w:val="00251F30"/>
    <w:rsid w:val="00263640"/>
    <w:rsid w:val="0027254B"/>
    <w:rsid w:val="00273FDA"/>
    <w:rsid w:val="0028777B"/>
    <w:rsid w:val="00292B7C"/>
    <w:rsid w:val="002A0422"/>
    <w:rsid w:val="002A5619"/>
    <w:rsid w:val="002B1B30"/>
    <w:rsid w:val="002C16F9"/>
    <w:rsid w:val="002C43A4"/>
    <w:rsid w:val="002D1620"/>
    <w:rsid w:val="002E3D7A"/>
    <w:rsid w:val="002F2CAB"/>
    <w:rsid w:val="002F702C"/>
    <w:rsid w:val="00321E39"/>
    <w:rsid w:val="00322C5A"/>
    <w:rsid w:val="00337D68"/>
    <w:rsid w:val="0036108E"/>
    <w:rsid w:val="00362FA3"/>
    <w:rsid w:val="00371473"/>
    <w:rsid w:val="00382BDD"/>
    <w:rsid w:val="00392B65"/>
    <w:rsid w:val="003948E7"/>
    <w:rsid w:val="003A1CD7"/>
    <w:rsid w:val="003B37F6"/>
    <w:rsid w:val="003B5BC9"/>
    <w:rsid w:val="003C29D7"/>
    <w:rsid w:val="003D3994"/>
    <w:rsid w:val="003D3E5D"/>
    <w:rsid w:val="00404425"/>
    <w:rsid w:val="0040742B"/>
    <w:rsid w:val="0041212F"/>
    <w:rsid w:val="00415765"/>
    <w:rsid w:val="004163A1"/>
    <w:rsid w:val="00420F01"/>
    <w:rsid w:val="00426B8D"/>
    <w:rsid w:val="004350F9"/>
    <w:rsid w:val="00436F9E"/>
    <w:rsid w:val="00444A75"/>
    <w:rsid w:val="00467637"/>
    <w:rsid w:val="004950C4"/>
    <w:rsid w:val="004A6AD9"/>
    <w:rsid w:val="004A72A8"/>
    <w:rsid w:val="004B4DA2"/>
    <w:rsid w:val="004C6CDB"/>
    <w:rsid w:val="004F068D"/>
    <w:rsid w:val="004F08DE"/>
    <w:rsid w:val="004F35E2"/>
    <w:rsid w:val="004F3984"/>
    <w:rsid w:val="004F5A70"/>
    <w:rsid w:val="004F7F29"/>
    <w:rsid w:val="00501B04"/>
    <w:rsid w:val="0051463A"/>
    <w:rsid w:val="0051522A"/>
    <w:rsid w:val="005156C6"/>
    <w:rsid w:val="00546EF1"/>
    <w:rsid w:val="0055023F"/>
    <w:rsid w:val="00561840"/>
    <w:rsid w:val="00562D62"/>
    <w:rsid w:val="00562ECA"/>
    <w:rsid w:val="005663D8"/>
    <w:rsid w:val="00567D1D"/>
    <w:rsid w:val="00570C3F"/>
    <w:rsid w:val="00577A37"/>
    <w:rsid w:val="00577F04"/>
    <w:rsid w:val="005821A8"/>
    <w:rsid w:val="005A4D35"/>
    <w:rsid w:val="005B4F22"/>
    <w:rsid w:val="005B5CF3"/>
    <w:rsid w:val="005C0B12"/>
    <w:rsid w:val="005C4264"/>
    <w:rsid w:val="005C6198"/>
    <w:rsid w:val="005E22DD"/>
    <w:rsid w:val="005E33A9"/>
    <w:rsid w:val="005F6451"/>
    <w:rsid w:val="00621F69"/>
    <w:rsid w:val="0062420A"/>
    <w:rsid w:val="006255A0"/>
    <w:rsid w:val="00633E92"/>
    <w:rsid w:val="00635742"/>
    <w:rsid w:val="00635CAE"/>
    <w:rsid w:val="00640C7A"/>
    <w:rsid w:val="00646C5C"/>
    <w:rsid w:val="0065273B"/>
    <w:rsid w:val="00653030"/>
    <w:rsid w:val="00656DD6"/>
    <w:rsid w:val="00664353"/>
    <w:rsid w:val="00666730"/>
    <w:rsid w:val="00672241"/>
    <w:rsid w:val="00687DD1"/>
    <w:rsid w:val="006916C9"/>
    <w:rsid w:val="006A4684"/>
    <w:rsid w:val="006B3D0D"/>
    <w:rsid w:val="006C33B4"/>
    <w:rsid w:val="006D40A7"/>
    <w:rsid w:val="006E11C0"/>
    <w:rsid w:val="006F205B"/>
    <w:rsid w:val="006F23FD"/>
    <w:rsid w:val="006F420A"/>
    <w:rsid w:val="006F6418"/>
    <w:rsid w:val="006F7D8F"/>
    <w:rsid w:val="00701994"/>
    <w:rsid w:val="00722C5E"/>
    <w:rsid w:val="00726F57"/>
    <w:rsid w:val="00731A6E"/>
    <w:rsid w:val="00742B2A"/>
    <w:rsid w:val="00770733"/>
    <w:rsid w:val="0077094D"/>
    <w:rsid w:val="007725AD"/>
    <w:rsid w:val="0078482F"/>
    <w:rsid w:val="007A0C5F"/>
    <w:rsid w:val="007B0992"/>
    <w:rsid w:val="007B0E94"/>
    <w:rsid w:val="007B3340"/>
    <w:rsid w:val="007C4BC3"/>
    <w:rsid w:val="007C532C"/>
    <w:rsid w:val="007E17E3"/>
    <w:rsid w:val="0080315F"/>
    <w:rsid w:val="00804C32"/>
    <w:rsid w:val="00806A28"/>
    <w:rsid w:val="008458D9"/>
    <w:rsid w:val="00866B10"/>
    <w:rsid w:val="00871AC4"/>
    <w:rsid w:val="008733CC"/>
    <w:rsid w:val="00876306"/>
    <w:rsid w:val="0087661B"/>
    <w:rsid w:val="008767FC"/>
    <w:rsid w:val="00881854"/>
    <w:rsid w:val="008838F6"/>
    <w:rsid w:val="008A1601"/>
    <w:rsid w:val="008C172A"/>
    <w:rsid w:val="008C1E9D"/>
    <w:rsid w:val="008C5693"/>
    <w:rsid w:val="008C75CF"/>
    <w:rsid w:val="008D15EF"/>
    <w:rsid w:val="008D1EF7"/>
    <w:rsid w:val="008F2BE8"/>
    <w:rsid w:val="008F34D9"/>
    <w:rsid w:val="00913AE2"/>
    <w:rsid w:val="00920A36"/>
    <w:rsid w:val="009277AE"/>
    <w:rsid w:val="009346B7"/>
    <w:rsid w:val="009358AE"/>
    <w:rsid w:val="00935D21"/>
    <w:rsid w:val="0095181B"/>
    <w:rsid w:val="00996A45"/>
    <w:rsid w:val="009B551B"/>
    <w:rsid w:val="009C0C11"/>
    <w:rsid w:val="009E01A1"/>
    <w:rsid w:val="009E18E6"/>
    <w:rsid w:val="009E3429"/>
    <w:rsid w:val="009E721D"/>
    <w:rsid w:val="009E7AB9"/>
    <w:rsid w:val="00A02928"/>
    <w:rsid w:val="00A029D9"/>
    <w:rsid w:val="00A07CDC"/>
    <w:rsid w:val="00A158B4"/>
    <w:rsid w:val="00A20E80"/>
    <w:rsid w:val="00A24897"/>
    <w:rsid w:val="00A30E32"/>
    <w:rsid w:val="00A50946"/>
    <w:rsid w:val="00A66693"/>
    <w:rsid w:val="00A67DEC"/>
    <w:rsid w:val="00A75963"/>
    <w:rsid w:val="00A815E5"/>
    <w:rsid w:val="00A91538"/>
    <w:rsid w:val="00AA3602"/>
    <w:rsid w:val="00AA74CF"/>
    <w:rsid w:val="00AB020D"/>
    <w:rsid w:val="00AC4D18"/>
    <w:rsid w:val="00AC74D6"/>
    <w:rsid w:val="00AD1A27"/>
    <w:rsid w:val="00AD5A81"/>
    <w:rsid w:val="00AE29B3"/>
    <w:rsid w:val="00AF042D"/>
    <w:rsid w:val="00B13F4D"/>
    <w:rsid w:val="00B348CB"/>
    <w:rsid w:val="00B359B1"/>
    <w:rsid w:val="00B37602"/>
    <w:rsid w:val="00B521AB"/>
    <w:rsid w:val="00B70F61"/>
    <w:rsid w:val="00B7271C"/>
    <w:rsid w:val="00B86735"/>
    <w:rsid w:val="00B873B1"/>
    <w:rsid w:val="00B93E32"/>
    <w:rsid w:val="00BC77E6"/>
    <w:rsid w:val="00BD1B52"/>
    <w:rsid w:val="00BD2C13"/>
    <w:rsid w:val="00BD4E6A"/>
    <w:rsid w:val="00BD7E6D"/>
    <w:rsid w:val="00BE786E"/>
    <w:rsid w:val="00BF05F1"/>
    <w:rsid w:val="00BF0D5B"/>
    <w:rsid w:val="00C004DE"/>
    <w:rsid w:val="00C056E8"/>
    <w:rsid w:val="00C121F8"/>
    <w:rsid w:val="00C12DA7"/>
    <w:rsid w:val="00C2235D"/>
    <w:rsid w:val="00C23A67"/>
    <w:rsid w:val="00C2651F"/>
    <w:rsid w:val="00C30A9A"/>
    <w:rsid w:val="00C90191"/>
    <w:rsid w:val="00C91C67"/>
    <w:rsid w:val="00CB519E"/>
    <w:rsid w:val="00CC018A"/>
    <w:rsid w:val="00CD55BA"/>
    <w:rsid w:val="00D147C6"/>
    <w:rsid w:val="00D31D52"/>
    <w:rsid w:val="00D367B7"/>
    <w:rsid w:val="00D4065C"/>
    <w:rsid w:val="00D5197E"/>
    <w:rsid w:val="00D5235A"/>
    <w:rsid w:val="00D52B13"/>
    <w:rsid w:val="00D53AB3"/>
    <w:rsid w:val="00D54505"/>
    <w:rsid w:val="00D6179B"/>
    <w:rsid w:val="00D62358"/>
    <w:rsid w:val="00D624B6"/>
    <w:rsid w:val="00D66F69"/>
    <w:rsid w:val="00D66FF6"/>
    <w:rsid w:val="00D71108"/>
    <w:rsid w:val="00D75512"/>
    <w:rsid w:val="00D82F1F"/>
    <w:rsid w:val="00D91082"/>
    <w:rsid w:val="00DA2929"/>
    <w:rsid w:val="00DA70F3"/>
    <w:rsid w:val="00DA7455"/>
    <w:rsid w:val="00DC0B55"/>
    <w:rsid w:val="00DE4EC0"/>
    <w:rsid w:val="00DF70D7"/>
    <w:rsid w:val="00DF7A08"/>
    <w:rsid w:val="00E021DE"/>
    <w:rsid w:val="00E0467F"/>
    <w:rsid w:val="00E1276B"/>
    <w:rsid w:val="00E1568E"/>
    <w:rsid w:val="00E16C97"/>
    <w:rsid w:val="00E213DA"/>
    <w:rsid w:val="00E24E27"/>
    <w:rsid w:val="00E31810"/>
    <w:rsid w:val="00E67B5B"/>
    <w:rsid w:val="00E74135"/>
    <w:rsid w:val="00E9061D"/>
    <w:rsid w:val="00E92E28"/>
    <w:rsid w:val="00E94D6C"/>
    <w:rsid w:val="00EA0BD6"/>
    <w:rsid w:val="00EA7AAC"/>
    <w:rsid w:val="00EB3ECE"/>
    <w:rsid w:val="00ED1E94"/>
    <w:rsid w:val="00ED3232"/>
    <w:rsid w:val="00ED6073"/>
    <w:rsid w:val="00ED6562"/>
    <w:rsid w:val="00EE0E55"/>
    <w:rsid w:val="00EE361E"/>
    <w:rsid w:val="00EF2117"/>
    <w:rsid w:val="00F0065E"/>
    <w:rsid w:val="00F05F27"/>
    <w:rsid w:val="00F066B9"/>
    <w:rsid w:val="00F22DCC"/>
    <w:rsid w:val="00F30759"/>
    <w:rsid w:val="00F30D8C"/>
    <w:rsid w:val="00F31C3F"/>
    <w:rsid w:val="00F52B63"/>
    <w:rsid w:val="00F54038"/>
    <w:rsid w:val="00F74F92"/>
    <w:rsid w:val="00FA5D14"/>
    <w:rsid w:val="00FB3F62"/>
    <w:rsid w:val="00FB5266"/>
    <w:rsid w:val="00FC0F0D"/>
    <w:rsid w:val="00FC15B3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3E372D"/>
  <w15:chartTrackingRefBased/>
  <w15:docId w15:val="{36F044E7-B580-457A-BB69-9AFB37D0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108"/>
    <w:pPr>
      <w:spacing w:after="6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04C32"/>
    <w:pPr>
      <w:keepNext/>
      <w:tabs>
        <w:tab w:val="left" w:pos="4678"/>
      </w:tabs>
      <w:spacing w:before="60" w:line="240" w:lineRule="auto"/>
      <w:ind w:right="567"/>
      <w:outlineLvl w:val="0"/>
    </w:pPr>
    <w:rPr>
      <w:rFonts w:eastAsia="Times" w:cs="Times New Roman"/>
      <w:b/>
      <w:color w:val="0072CE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6F9"/>
    <w:pPr>
      <w:keepNext/>
      <w:keepLines/>
      <w:spacing w:before="240" w:line="280" w:lineRule="exact"/>
      <w:outlineLvl w:val="1"/>
    </w:pPr>
    <w:rPr>
      <w:rFonts w:eastAsiaTheme="majorEastAsia" w:cstheme="majorBidi"/>
      <w:b/>
      <w:color w:val="0072CE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6F9"/>
    <w:pPr>
      <w:keepNext/>
      <w:keepLines/>
      <w:spacing w:before="40" w:after="0"/>
      <w:outlineLvl w:val="2"/>
    </w:pPr>
    <w:rPr>
      <w:rFonts w:eastAsiaTheme="majorEastAsia" w:cstheme="majorBidi"/>
      <w:color w:val="0072CE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050340"/>
    <w:pPr>
      <w:tabs>
        <w:tab w:val="right" w:pos="10632"/>
      </w:tabs>
      <w:spacing w:line="240" w:lineRule="auto"/>
      <w:ind w:right="-567"/>
      <w:contextualSpacing/>
    </w:pPr>
    <w:rPr>
      <w:rFonts w:eastAsiaTheme="majorEastAsia" w:cstheme="majorBidi"/>
      <w:bCs/>
      <w:spacing w:val="-10"/>
      <w:kern w:val="28"/>
      <w:sz w:val="40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050340"/>
    <w:rPr>
      <w:rFonts w:ascii="Arial" w:eastAsiaTheme="majorEastAsia" w:hAnsi="Arial" w:cstheme="majorBidi"/>
      <w:bCs/>
      <w:spacing w:val="-10"/>
      <w:kern w:val="28"/>
      <w:sz w:val="40"/>
      <w:szCs w:val="56"/>
      <w:lang w:eastAsia="en-AU"/>
    </w:rPr>
  </w:style>
  <w:style w:type="character" w:customStyle="1" w:styleId="Heading1Char">
    <w:name w:val="Heading 1 Char"/>
    <w:basedOn w:val="DefaultParagraphFont"/>
    <w:link w:val="Heading1"/>
    <w:rsid w:val="00804C32"/>
    <w:rPr>
      <w:rFonts w:ascii="Arial" w:eastAsia="Times" w:hAnsi="Arial" w:cs="Times New Roman"/>
      <w:b/>
      <w:color w:val="0072CE"/>
      <w:sz w:val="28"/>
      <w:szCs w:val="20"/>
    </w:rPr>
  </w:style>
  <w:style w:type="paragraph" w:customStyle="1" w:styleId="Caption2">
    <w:name w:val="Caption 2"/>
    <w:basedOn w:val="BodyText"/>
    <w:qFormat/>
    <w:rsid w:val="00227504"/>
    <w:pPr>
      <w:spacing w:line="230" w:lineRule="exact"/>
    </w:pPr>
    <w:rPr>
      <w:rFonts w:eastAsia="Times" w:cs="Times New Roman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322C5A"/>
    <w:pPr>
      <w:spacing w:before="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22C5A"/>
    <w:rPr>
      <w:rFonts w:ascii="Arial" w:hAnsi="Arial"/>
      <w:sz w:val="20"/>
    </w:rPr>
  </w:style>
  <w:style w:type="paragraph" w:customStyle="1" w:styleId="BulletList1">
    <w:name w:val="BulletList1"/>
    <w:basedOn w:val="Caption2"/>
    <w:autoRedefine/>
    <w:qFormat/>
    <w:rsid w:val="00A815E5"/>
    <w:pPr>
      <w:numPr>
        <w:numId w:val="2"/>
      </w:numPr>
      <w:tabs>
        <w:tab w:val="left" w:pos="340"/>
      </w:tabs>
      <w:ind w:left="624" w:hanging="284"/>
    </w:pPr>
    <w:rPr>
      <w:lang w:val="en-US"/>
    </w:rPr>
  </w:style>
  <w:style w:type="table" w:styleId="TableGrid">
    <w:name w:val="Table Grid"/>
    <w:basedOn w:val="TableNormal"/>
    <w:uiPriority w:val="39"/>
    <w:rsid w:val="00DC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322C5A"/>
    <w:pPr>
      <w:spacing w:before="60" w:after="60" w:line="240" w:lineRule="exact"/>
      <w:ind w:left="340"/>
    </w:pPr>
    <w:rPr>
      <w:rFonts w:ascii="Arial" w:hAnsi="Arial"/>
      <w:sz w:val="20"/>
    </w:rPr>
  </w:style>
  <w:style w:type="paragraph" w:customStyle="1" w:styleId="Question">
    <w:name w:val="Question"/>
    <w:basedOn w:val="Caption2"/>
    <w:autoRedefine/>
    <w:qFormat/>
    <w:rsid w:val="00AC74D6"/>
    <w:pPr>
      <w:tabs>
        <w:tab w:val="left" w:pos="340"/>
      </w:tabs>
    </w:pPr>
    <w:rPr>
      <w:b/>
    </w:rPr>
  </w:style>
  <w:style w:type="paragraph" w:customStyle="1" w:styleId="Textfill">
    <w:name w:val="Text fill"/>
    <w:basedOn w:val="Normal"/>
    <w:qFormat/>
    <w:rsid w:val="00C91C67"/>
    <w:pPr>
      <w:spacing w:after="0" w:line="240" w:lineRule="auto"/>
      <w:ind w:left="57" w:right="-57"/>
    </w:pPr>
    <w:rPr>
      <w:rFonts w:eastAsia="Times" w:cs="Times New Roman"/>
      <w:color w:val="0000FF"/>
      <w:sz w:val="20"/>
      <w:szCs w:val="20"/>
    </w:rPr>
  </w:style>
  <w:style w:type="table" w:styleId="PlainTable1">
    <w:name w:val="Plain Table 1"/>
    <w:basedOn w:val="TableNormal"/>
    <w:rsid w:val="00C30A9A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01B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left w:w="57" w:type="dxa"/>
        <w:right w:w="57" w:type="dxa"/>
      </w:tcMar>
    </w:tcPr>
  </w:style>
  <w:style w:type="paragraph" w:styleId="NoSpacing">
    <w:name w:val="No Spacing"/>
    <w:uiPriority w:val="1"/>
    <w:qFormat/>
    <w:rsid w:val="005E33A9"/>
    <w:pPr>
      <w:spacing w:after="0" w:line="240" w:lineRule="auto"/>
    </w:pPr>
    <w:rPr>
      <w:rFonts w:ascii="Arial" w:hAnsi="Arial"/>
    </w:rPr>
  </w:style>
  <w:style w:type="paragraph" w:customStyle="1" w:styleId="spacer">
    <w:name w:val="spacer"/>
    <w:qFormat/>
    <w:rsid w:val="005E33A9"/>
    <w:pPr>
      <w:spacing w:after="0" w:line="240" w:lineRule="auto"/>
    </w:pPr>
    <w:rPr>
      <w:rFonts w:ascii="Arial" w:hAnsi="Arial"/>
      <w:sz w:val="8"/>
    </w:rPr>
  </w:style>
  <w:style w:type="character" w:styleId="Strong">
    <w:name w:val="Strong"/>
    <w:qFormat/>
    <w:rsid w:val="00AA74CF"/>
    <w:rPr>
      <w:b/>
      <w:bCs/>
    </w:rPr>
  </w:style>
  <w:style w:type="paragraph" w:customStyle="1" w:styleId="ListNumberParentheses">
    <w:name w:val="List Number Parentheses"/>
    <w:basedOn w:val="Normal"/>
    <w:link w:val="ListNumberParenthesesChar"/>
    <w:qFormat/>
    <w:rsid w:val="006D40A7"/>
    <w:pPr>
      <w:numPr>
        <w:numId w:val="13"/>
      </w:numPr>
      <w:spacing w:before="40" w:after="40" w:line="240" w:lineRule="auto"/>
      <w:ind w:left="397" w:hanging="397"/>
    </w:pPr>
    <w:rPr>
      <w:rFonts w:eastAsia="Times New Roman" w:cs="Times New Roman"/>
      <w:sz w:val="16"/>
      <w:szCs w:val="24"/>
      <w:lang w:eastAsia="en-AU"/>
    </w:rPr>
  </w:style>
  <w:style w:type="character" w:customStyle="1" w:styleId="ListNumberParenthesesChar">
    <w:name w:val="List Number Parentheses Char"/>
    <w:link w:val="ListNumberParentheses"/>
    <w:rsid w:val="006D40A7"/>
    <w:rPr>
      <w:rFonts w:ascii="Arial" w:eastAsia="Times New Roman" w:hAnsi="Arial" w:cs="Times New Roman"/>
      <w:sz w:val="16"/>
      <w:szCs w:val="24"/>
      <w:lang w:eastAsia="en-AU"/>
    </w:rPr>
  </w:style>
  <w:style w:type="paragraph" w:customStyle="1" w:styleId="Number">
    <w:name w:val="Number"/>
    <w:basedOn w:val="Normal"/>
    <w:qFormat/>
    <w:rsid w:val="00017426"/>
    <w:pPr>
      <w:spacing w:after="0" w:line="220" w:lineRule="exact"/>
    </w:pPr>
    <w:rPr>
      <w:rFonts w:eastAsia="Times New Roman" w:cs="Times New Roman"/>
      <w:b/>
      <w:color w:val="000000"/>
      <w:szCs w:val="20"/>
      <w:lang w:val="en-US"/>
    </w:rPr>
  </w:style>
  <w:style w:type="table" w:styleId="PlainTable2">
    <w:name w:val="Plain Table 2"/>
    <w:basedOn w:val="TableNormal"/>
    <w:rsid w:val="00017426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14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7C6"/>
    <w:rPr>
      <w:color w:val="605E5C"/>
      <w:shd w:val="clear" w:color="auto" w:fill="E1DFDD"/>
    </w:rPr>
  </w:style>
  <w:style w:type="paragraph" w:customStyle="1" w:styleId="spacer2">
    <w:name w:val="spacer 2"/>
    <w:basedOn w:val="Caption2"/>
    <w:qFormat/>
    <w:rsid w:val="001161AC"/>
    <w:pPr>
      <w:spacing w:before="0" w:after="0" w:line="200" w:lineRule="exact"/>
    </w:pPr>
    <w:rPr>
      <w:sz w:val="8"/>
    </w:rPr>
  </w:style>
  <w:style w:type="paragraph" w:styleId="TOC1">
    <w:name w:val="toc 1"/>
    <w:uiPriority w:val="39"/>
    <w:unhideWhenUsed/>
    <w:rsid w:val="00A07CDC"/>
    <w:pPr>
      <w:tabs>
        <w:tab w:val="right" w:pos="9639"/>
      </w:tabs>
      <w:suppressAutoHyphens/>
      <w:spacing w:before="60" w:after="60" w:line="240" w:lineRule="auto"/>
    </w:pPr>
    <w:rPr>
      <w:rFonts w:ascii="Calibri" w:eastAsia="Times New Roman" w:hAnsi="Calibri" w:cs="Times New Roman"/>
      <w:b/>
      <w:sz w:val="20"/>
      <w:szCs w:val="20"/>
    </w:rPr>
  </w:style>
  <w:style w:type="paragraph" w:styleId="ListBullet">
    <w:name w:val="List Bullet"/>
    <w:link w:val="ListBulletChar"/>
    <w:autoRedefine/>
    <w:rsid w:val="009B551B"/>
    <w:pPr>
      <w:numPr>
        <w:numId w:val="16"/>
      </w:numPr>
      <w:suppressAutoHyphens/>
      <w:spacing w:before="60" w:after="60" w:line="228" w:lineRule="exact"/>
      <w:ind w:left="284" w:hanging="284"/>
    </w:pPr>
    <w:rPr>
      <w:rFonts w:ascii="Arial" w:eastAsia="Times New Roman" w:hAnsi="Arial" w:cs="Arial"/>
      <w:sz w:val="20"/>
      <w:szCs w:val="16"/>
      <w:lang w:eastAsia="en-AU"/>
    </w:rPr>
  </w:style>
  <w:style w:type="paragraph" w:styleId="ListNumber2">
    <w:name w:val="List Number 2"/>
    <w:autoRedefine/>
    <w:qFormat/>
    <w:rsid w:val="009277AE"/>
    <w:pPr>
      <w:tabs>
        <w:tab w:val="left" w:pos="794"/>
      </w:tabs>
      <w:spacing w:before="240" w:after="40" w:line="264" w:lineRule="auto"/>
    </w:pPr>
    <w:rPr>
      <w:rFonts w:ascii="Arial" w:eastAsia="Times New Roman" w:hAnsi="Arial" w:cs="Times New Roman"/>
      <w:bCs/>
      <w:color w:val="0072CE"/>
      <w:spacing w:val="5"/>
      <w:szCs w:val="20"/>
      <w:lang w:eastAsia="en-AU"/>
    </w:rPr>
  </w:style>
  <w:style w:type="character" w:customStyle="1" w:styleId="ListBulletChar">
    <w:name w:val="List Bullet Char"/>
    <w:link w:val="ListBullet"/>
    <w:rsid w:val="009B551B"/>
    <w:rPr>
      <w:rFonts w:ascii="Arial" w:eastAsia="Times New Roman" w:hAnsi="Arial" w:cs="Arial"/>
      <w:sz w:val="20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C16F9"/>
    <w:rPr>
      <w:rFonts w:ascii="Arial" w:eastAsiaTheme="majorEastAsia" w:hAnsi="Arial" w:cstheme="majorBidi"/>
      <w:b/>
      <w:color w:val="0072CE"/>
      <w:sz w:val="24"/>
      <w:szCs w:val="26"/>
    </w:rPr>
  </w:style>
  <w:style w:type="paragraph" w:customStyle="1" w:styleId="ListNumberAlpha">
    <w:name w:val="List Number Alpha"/>
    <w:basedOn w:val="BulletList1"/>
    <w:qFormat/>
    <w:rsid w:val="00E9061D"/>
    <w:pPr>
      <w:numPr>
        <w:numId w:val="29"/>
      </w:numPr>
      <w:tabs>
        <w:tab w:val="left" w:pos="227"/>
      </w:tabs>
      <w:suppressAutoHyphens/>
      <w:spacing w:before="0" w:after="0" w:line="240" w:lineRule="auto"/>
      <w:ind w:left="1020" w:hanging="340"/>
    </w:pPr>
    <w:rPr>
      <w:rFonts w:eastAsia="Times New Roman" w:cs="Arial"/>
      <w:lang w:eastAsia="en-AU"/>
    </w:rPr>
  </w:style>
  <w:style w:type="numbering" w:customStyle="1" w:styleId="Numbers">
    <w:name w:val="Numbers"/>
    <w:basedOn w:val="NoList"/>
    <w:rsid w:val="009346B7"/>
    <w:pPr>
      <w:numPr>
        <w:numId w:val="17"/>
      </w:numPr>
    </w:pPr>
  </w:style>
  <w:style w:type="paragraph" w:styleId="Header">
    <w:name w:val="header"/>
    <w:basedOn w:val="Normal"/>
    <w:link w:val="HeaderChar"/>
    <w:uiPriority w:val="99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0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0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BD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50340"/>
    <w:rPr>
      <w:i/>
      <w:iCs/>
    </w:rPr>
  </w:style>
  <w:style w:type="paragraph" w:customStyle="1" w:styleId="Listparagraphtext">
    <w:name w:val="List paragraph text"/>
    <w:basedOn w:val="ListParagraph"/>
    <w:qFormat/>
    <w:rsid w:val="00806A28"/>
    <w:pPr>
      <w:spacing w:line="240" w:lineRule="auto"/>
      <w:ind w:left="0"/>
    </w:pPr>
  </w:style>
  <w:style w:type="character" w:customStyle="1" w:styleId="Heading3Char">
    <w:name w:val="Heading 3 Char"/>
    <w:basedOn w:val="DefaultParagraphFont"/>
    <w:link w:val="Heading3"/>
    <w:uiPriority w:val="9"/>
    <w:rsid w:val="002C16F9"/>
    <w:rPr>
      <w:rFonts w:ascii="Arial" w:eastAsiaTheme="majorEastAsia" w:hAnsi="Arial" w:cstheme="majorBidi"/>
      <w:color w:val="0072CE"/>
      <w:sz w:val="20"/>
      <w:szCs w:val="24"/>
    </w:rPr>
  </w:style>
  <w:style w:type="paragraph" w:customStyle="1" w:styleId="ListBullet1">
    <w:name w:val="List Bullet1"/>
    <w:basedOn w:val="ListBullet"/>
    <w:qFormat/>
    <w:rsid w:val="00804C32"/>
    <w:pPr>
      <w:numPr>
        <w:numId w:val="40"/>
      </w:numPr>
      <w:ind w:left="454" w:hanging="170"/>
    </w:pPr>
  </w:style>
  <w:style w:type="paragraph" w:customStyle="1" w:styleId="Questionsub">
    <w:name w:val="Question sub"/>
    <w:basedOn w:val="Question"/>
    <w:qFormat/>
    <w:rsid w:val="00D31D52"/>
    <w:pPr>
      <w:tabs>
        <w:tab w:val="left" w:pos="851"/>
      </w:tabs>
    </w:pPr>
  </w:style>
  <w:style w:type="table" w:styleId="ListTable1Light-Accent5">
    <w:name w:val="List Table 1 Light Accent 5"/>
    <w:basedOn w:val="TableNormal"/>
    <w:uiPriority w:val="46"/>
    <w:rsid w:val="00AD5A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F1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5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5C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2D62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B521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consumer.vic.gov.au/rentin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nsumer.vic.gov.au/ren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7" ma:contentTypeDescription="Create a new document." ma:contentTypeScope="" ma:versionID="6021f32cbb76587fdb9064bbba508f3b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b76093b402a613e49f8dcb6c9493481b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F9BE8C-27D7-4E3F-B931-91768737E997}">
  <ds:schemaRefs>
    <ds:schemaRef ds:uri="http://purl.org/dc/elements/1.1/"/>
    <ds:schemaRef ds:uri="http://schemas.microsoft.com/office/2006/metadata/properties"/>
    <ds:schemaRef ds:uri="02c6d125-7989-43ff-bfbe-9f7d126fcdb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F1204C-52CA-4D8B-8A7A-F011ED9EA6BD}"/>
</file>

<file path=customXml/itemProps3.xml><?xml version="1.0" encoding="utf-8"?>
<ds:datastoreItem xmlns:ds="http://schemas.openxmlformats.org/officeDocument/2006/customXml" ds:itemID="{4F14AE22-942E-44E9-BC42-0ED4AA763E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B5C6BA-C850-41F4-A515-FD35CB2AFE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Links>
    <vt:vector size="12" baseType="variant">
      <vt:variant>
        <vt:i4>1114193</vt:i4>
      </vt:variant>
      <vt:variant>
        <vt:i4>3</vt:i4>
      </vt:variant>
      <vt:variant>
        <vt:i4>0</vt:i4>
      </vt:variant>
      <vt:variant>
        <vt:i4>5</vt:i4>
      </vt:variant>
      <vt:variant>
        <vt:lpwstr>https://www.consumer.vic.gov.au/housing/renting/types-of-rental-agreements/sharing-in-a-rooming-house/minimum-standards-in-rooming-houses</vt:lpwstr>
      </vt:variant>
      <vt:variant>
        <vt:lpwstr/>
      </vt:variant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A11-Proposed Form 11 - Rights and duties of a rooming house resident.docx</dc:title>
  <dc:subject/>
  <dc:creator>PerformPC</dc:creator>
  <cp:keywords/>
  <dc:description/>
  <cp:lastModifiedBy>Eleni K Martakis (DJCS)</cp:lastModifiedBy>
  <cp:revision>31</cp:revision>
  <cp:lastPrinted>2019-10-15T05:45:00Z</cp:lastPrinted>
  <dcterms:created xsi:type="dcterms:W3CDTF">2021-01-18T01:07:00Z</dcterms:created>
  <dcterms:modified xsi:type="dcterms:W3CDTF">2021-03-09T23:39:00Z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</Properties>
</file>