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4D6C" w14:textId="77777777" w:rsidR="00E26EB2" w:rsidRPr="00302F8F" w:rsidRDefault="00E26EB2" w:rsidP="00302F8F">
      <w:pPr>
        <w:spacing w:before="1680"/>
        <w:rPr>
          <w:rFonts w:eastAsia="Calibri" w:cs="Arial"/>
          <w:b/>
          <w:color w:val="FFFFFF" w:themeColor="background1"/>
          <w:sz w:val="36"/>
          <w:szCs w:val="36"/>
        </w:rPr>
      </w:pPr>
      <w:r w:rsidRPr="00302F8F">
        <w:rPr>
          <w:rFonts w:eastAsia="Calibri" w:cs="Arial"/>
          <w:b/>
          <w:color w:val="FFFFFF" w:themeColor="background1"/>
          <w:sz w:val="36"/>
          <w:szCs w:val="36"/>
        </w:rPr>
        <w:t xml:space="preserve">Victorian Property Fund Grants Program </w:t>
      </w:r>
    </w:p>
    <w:p w14:paraId="45711541" w14:textId="25468734" w:rsidR="00E26EB2" w:rsidRPr="00302F8F" w:rsidRDefault="00E26EB2" w:rsidP="00E26EB2">
      <w:pPr>
        <w:rPr>
          <w:rFonts w:eastAsia="Calibri" w:cs="Arial"/>
          <w:b/>
          <w:color w:val="FFFFFF" w:themeColor="background1"/>
          <w:sz w:val="36"/>
          <w:szCs w:val="36"/>
        </w:rPr>
      </w:pPr>
      <w:r w:rsidRPr="00302F8F">
        <w:rPr>
          <w:rFonts w:eastAsia="Calibri" w:cs="Arial"/>
          <w:b/>
          <w:color w:val="FFFFFF" w:themeColor="background1"/>
          <w:sz w:val="36"/>
          <w:szCs w:val="36"/>
        </w:rPr>
        <w:t xml:space="preserve">Housing Funding Round </w:t>
      </w:r>
      <w:r w:rsidR="00467D1B">
        <w:rPr>
          <w:rFonts w:eastAsia="Calibri" w:cs="Arial"/>
          <w:b/>
          <w:color w:val="FFFFFF" w:themeColor="background1"/>
          <w:sz w:val="36"/>
          <w:szCs w:val="36"/>
        </w:rPr>
        <w:t>2018-19</w:t>
      </w:r>
    </w:p>
    <w:p w14:paraId="1BF342E3" w14:textId="2FEC3CEB" w:rsidR="005F1037" w:rsidRPr="00302F8F" w:rsidRDefault="00E26EB2" w:rsidP="00302F8F">
      <w:pPr>
        <w:spacing w:before="480"/>
        <w:rPr>
          <w:b/>
          <w:bCs/>
          <w:color w:val="FFFFFF" w:themeColor="background1"/>
          <w:sz w:val="26"/>
          <w:szCs w:val="26"/>
        </w:rPr>
      </w:pPr>
      <w:r w:rsidRPr="00302F8F">
        <w:rPr>
          <w:rFonts w:eastAsia="Calibri" w:cs="Arial"/>
          <w:b/>
          <w:color w:val="FFFFFF" w:themeColor="background1"/>
          <w:sz w:val="56"/>
          <w:szCs w:val="56"/>
        </w:rPr>
        <w:t>Invitation for Expressions of Interest</w:t>
      </w:r>
      <w:r w:rsidRPr="00302F8F">
        <w:rPr>
          <w:b/>
          <w:bCs/>
          <w:color w:val="FFFFFF" w:themeColor="background1"/>
          <w:sz w:val="26"/>
          <w:szCs w:val="26"/>
        </w:rPr>
        <w:t xml:space="preserve"> </w:t>
      </w:r>
    </w:p>
    <w:p w14:paraId="3570552B" w14:textId="4D98E89D" w:rsidR="002202E8" w:rsidRDefault="00C02417" w:rsidP="00302F8F">
      <w:pPr>
        <w:spacing w:before="360"/>
        <w:rPr>
          <w:b/>
          <w:bCs/>
          <w:color w:val="FFFFFF" w:themeColor="background1"/>
          <w:sz w:val="26"/>
          <w:szCs w:val="26"/>
        </w:rPr>
      </w:pPr>
      <w:r w:rsidRPr="00C02417">
        <w:rPr>
          <w:b/>
          <w:bCs/>
          <w:color w:val="FFFFFF" w:themeColor="background1"/>
          <w:sz w:val="26"/>
          <w:szCs w:val="26"/>
        </w:rPr>
        <w:t>10</w:t>
      </w:r>
      <w:r w:rsidR="00E544C4" w:rsidRPr="00A41E68">
        <w:rPr>
          <w:b/>
          <w:bCs/>
          <w:color w:val="FFFFFF" w:themeColor="background1"/>
          <w:sz w:val="26"/>
          <w:szCs w:val="26"/>
        </w:rPr>
        <w:t xml:space="preserve"> </w:t>
      </w:r>
      <w:r w:rsidR="00467D1B" w:rsidRPr="00A41E68">
        <w:rPr>
          <w:b/>
          <w:bCs/>
          <w:color w:val="FFFFFF" w:themeColor="background1"/>
          <w:sz w:val="26"/>
          <w:szCs w:val="26"/>
        </w:rPr>
        <w:t>Septem</w:t>
      </w:r>
      <w:r w:rsidR="00E544C4" w:rsidRPr="00200D1D">
        <w:rPr>
          <w:b/>
          <w:bCs/>
          <w:color w:val="FFFFFF" w:themeColor="background1"/>
          <w:sz w:val="26"/>
          <w:szCs w:val="26"/>
        </w:rPr>
        <w:t>ber</w:t>
      </w:r>
      <w:r w:rsidR="009A418A" w:rsidRPr="00200D1D">
        <w:rPr>
          <w:b/>
          <w:bCs/>
          <w:color w:val="FFFFFF" w:themeColor="background1"/>
          <w:sz w:val="26"/>
          <w:szCs w:val="26"/>
        </w:rPr>
        <w:t xml:space="preserve"> </w:t>
      </w:r>
      <w:r w:rsidR="00467D1B" w:rsidRPr="00200D1D">
        <w:rPr>
          <w:b/>
          <w:bCs/>
          <w:color w:val="FFFFFF" w:themeColor="background1"/>
          <w:sz w:val="26"/>
          <w:szCs w:val="26"/>
        </w:rPr>
        <w:t>2018</w:t>
      </w:r>
    </w:p>
    <w:p w14:paraId="6014B754" w14:textId="77777777" w:rsidR="00812BAE" w:rsidRPr="00CF3B7F" w:rsidRDefault="00812BAE" w:rsidP="006B29C1">
      <w:pPr>
        <w:pStyle w:val="Heading1-notinTOC"/>
      </w:pPr>
      <w:bookmarkStart w:id="0" w:name="_Toc523845034"/>
      <w:r w:rsidRPr="00CF3B7F">
        <w:lastRenderedPageBreak/>
        <w:t>Table of Contents</w:t>
      </w:r>
      <w:bookmarkEnd w:id="0"/>
    </w:p>
    <w:p w14:paraId="6E73B85D" w14:textId="222E50A8" w:rsidR="00200D1D" w:rsidRDefault="00126A60">
      <w:pPr>
        <w:pStyle w:val="TOC1"/>
        <w:rPr>
          <w:rFonts w:asciiTheme="minorHAnsi" w:eastAsiaTheme="minorEastAsia" w:hAnsiTheme="minorHAnsi" w:cstheme="minorBidi"/>
          <w:b w:val="0"/>
          <w:sz w:val="22"/>
          <w:lang w:eastAsia="en-AU"/>
        </w:rPr>
      </w:pPr>
      <w:r>
        <w:rPr>
          <w:b w:val="0"/>
          <w:szCs w:val="24"/>
        </w:rPr>
        <w:fldChar w:fldCharType="begin"/>
      </w:r>
      <w:r>
        <w:rPr>
          <w:b w:val="0"/>
          <w:szCs w:val="24"/>
        </w:rPr>
        <w:instrText xml:space="preserve"> TOC \o "1-2" </w:instrText>
      </w:r>
      <w:r>
        <w:rPr>
          <w:b w:val="0"/>
          <w:szCs w:val="24"/>
        </w:rPr>
        <w:fldChar w:fldCharType="separate"/>
      </w:r>
      <w:r w:rsidR="00200D1D">
        <w:t>Table of Contents</w:t>
      </w:r>
      <w:r w:rsidR="00200D1D">
        <w:tab/>
      </w:r>
      <w:r w:rsidR="00200D1D">
        <w:fldChar w:fldCharType="begin"/>
      </w:r>
      <w:r w:rsidR="00200D1D">
        <w:instrText xml:space="preserve"> PAGEREF _Toc523845034 \h </w:instrText>
      </w:r>
      <w:r w:rsidR="00200D1D">
        <w:fldChar w:fldCharType="separate"/>
      </w:r>
      <w:r w:rsidR="00200D1D">
        <w:t>2</w:t>
      </w:r>
      <w:r w:rsidR="00200D1D">
        <w:fldChar w:fldCharType="end"/>
      </w:r>
    </w:p>
    <w:p w14:paraId="6874CD4E" w14:textId="2C1E5E87" w:rsidR="00200D1D" w:rsidRDefault="00200D1D">
      <w:pPr>
        <w:pStyle w:val="TOC1"/>
        <w:rPr>
          <w:rFonts w:asciiTheme="minorHAnsi" w:eastAsiaTheme="minorEastAsia" w:hAnsiTheme="minorHAnsi" w:cstheme="minorBidi"/>
          <w:b w:val="0"/>
          <w:sz w:val="22"/>
          <w:lang w:eastAsia="en-AU"/>
        </w:rPr>
      </w:pPr>
      <w:r>
        <w:t>Definitions</w:t>
      </w:r>
      <w:r>
        <w:tab/>
      </w:r>
      <w:r>
        <w:fldChar w:fldCharType="begin"/>
      </w:r>
      <w:r>
        <w:instrText xml:space="preserve"> PAGEREF _Toc523845035 \h </w:instrText>
      </w:r>
      <w:r>
        <w:fldChar w:fldCharType="separate"/>
      </w:r>
      <w:r>
        <w:t>3</w:t>
      </w:r>
      <w:r>
        <w:fldChar w:fldCharType="end"/>
      </w:r>
    </w:p>
    <w:p w14:paraId="63F51D8C" w14:textId="1C35F879" w:rsidR="00200D1D" w:rsidRDefault="00200D1D">
      <w:pPr>
        <w:pStyle w:val="TOC1"/>
        <w:rPr>
          <w:rFonts w:asciiTheme="minorHAnsi" w:eastAsiaTheme="minorEastAsia" w:hAnsiTheme="minorHAnsi" w:cstheme="minorBidi"/>
          <w:b w:val="0"/>
          <w:sz w:val="22"/>
          <w:lang w:eastAsia="en-AU"/>
        </w:rPr>
      </w:pPr>
      <w:r w:rsidRPr="005960E8">
        <w:rPr>
          <w14:scene3d>
            <w14:camera w14:prst="orthographicFront"/>
            <w14:lightRig w14:rig="threePt" w14:dir="t">
              <w14:rot w14:lat="0" w14:lon="0" w14:rev="0"/>
            </w14:lightRig>
          </w14:scene3d>
        </w:rPr>
        <w:t>1</w:t>
      </w:r>
      <w:r>
        <w:rPr>
          <w:rFonts w:asciiTheme="minorHAnsi" w:eastAsiaTheme="minorEastAsia" w:hAnsiTheme="minorHAnsi" w:cstheme="minorBidi"/>
          <w:b w:val="0"/>
          <w:sz w:val="22"/>
          <w:lang w:eastAsia="en-AU"/>
        </w:rPr>
        <w:tab/>
      </w:r>
      <w:r>
        <w:t>Introduction</w:t>
      </w:r>
      <w:r>
        <w:tab/>
      </w:r>
      <w:r>
        <w:fldChar w:fldCharType="begin"/>
      </w:r>
      <w:r>
        <w:instrText xml:space="preserve"> PAGEREF _Toc523845036 \h </w:instrText>
      </w:r>
      <w:r>
        <w:fldChar w:fldCharType="separate"/>
      </w:r>
      <w:r>
        <w:t>5</w:t>
      </w:r>
      <w:r>
        <w:fldChar w:fldCharType="end"/>
      </w:r>
    </w:p>
    <w:p w14:paraId="4D7B797F" w14:textId="38F60DC3"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1.1</w:t>
      </w:r>
      <w:r>
        <w:rPr>
          <w:rFonts w:asciiTheme="minorHAnsi" w:eastAsiaTheme="minorEastAsia" w:hAnsiTheme="minorHAnsi" w:cstheme="minorBidi"/>
          <w:sz w:val="22"/>
          <w:szCs w:val="22"/>
          <w:lang w:eastAsia="en-AU"/>
        </w:rPr>
        <w:tab/>
      </w:r>
      <w:r>
        <w:t>Invitation for Expressions of Interest</w:t>
      </w:r>
      <w:r>
        <w:tab/>
      </w:r>
      <w:r>
        <w:fldChar w:fldCharType="begin"/>
      </w:r>
      <w:r>
        <w:instrText xml:space="preserve"> PAGEREF _Toc523845037 \h </w:instrText>
      </w:r>
      <w:r>
        <w:fldChar w:fldCharType="separate"/>
      </w:r>
      <w:r>
        <w:t>5</w:t>
      </w:r>
      <w:r>
        <w:fldChar w:fldCharType="end"/>
      </w:r>
    </w:p>
    <w:p w14:paraId="14F0DDB9" w14:textId="58707A1E"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1.2</w:t>
      </w:r>
      <w:r>
        <w:rPr>
          <w:rFonts w:asciiTheme="minorHAnsi" w:eastAsiaTheme="minorEastAsia" w:hAnsiTheme="minorHAnsi" w:cstheme="minorBidi"/>
          <w:sz w:val="22"/>
          <w:szCs w:val="22"/>
          <w:lang w:eastAsia="en-AU"/>
        </w:rPr>
        <w:tab/>
      </w:r>
      <w:r>
        <w:t>Background</w:t>
      </w:r>
      <w:r>
        <w:tab/>
      </w:r>
      <w:r>
        <w:fldChar w:fldCharType="begin"/>
      </w:r>
      <w:r>
        <w:instrText xml:space="preserve"> PAGEREF _Toc523845038 \h </w:instrText>
      </w:r>
      <w:r>
        <w:fldChar w:fldCharType="separate"/>
      </w:r>
      <w:r>
        <w:t>5</w:t>
      </w:r>
      <w:r>
        <w:fldChar w:fldCharType="end"/>
      </w:r>
    </w:p>
    <w:p w14:paraId="7776BADA" w14:textId="54DCC16C" w:rsidR="00200D1D" w:rsidRDefault="00200D1D">
      <w:pPr>
        <w:pStyle w:val="TOC1"/>
        <w:rPr>
          <w:rFonts w:asciiTheme="minorHAnsi" w:eastAsiaTheme="minorEastAsia" w:hAnsiTheme="minorHAnsi" w:cstheme="minorBidi"/>
          <w:b w:val="0"/>
          <w:sz w:val="22"/>
          <w:lang w:eastAsia="en-AU"/>
        </w:rPr>
      </w:pPr>
      <w:r w:rsidRPr="005960E8">
        <w:rPr>
          <w14:scene3d>
            <w14:camera w14:prst="orthographicFront"/>
            <w14:lightRig w14:rig="threePt" w14:dir="t">
              <w14:rot w14:lat="0" w14:lon="0" w14:rev="0"/>
            </w14:lightRig>
          </w14:scene3d>
        </w:rPr>
        <w:t>2</w:t>
      </w:r>
      <w:r>
        <w:rPr>
          <w:rFonts w:asciiTheme="minorHAnsi" w:eastAsiaTheme="minorEastAsia" w:hAnsiTheme="minorHAnsi" w:cstheme="minorBidi"/>
          <w:b w:val="0"/>
          <w:sz w:val="22"/>
          <w:lang w:eastAsia="en-AU"/>
        </w:rPr>
        <w:tab/>
      </w:r>
      <w:r>
        <w:t>Information on the EOI and Grant application Process</w:t>
      </w:r>
      <w:r>
        <w:tab/>
      </w:r>
      <w:r>
        <w:fldChar w:fldCharType="begin"/>
      </w:r>
      <w:r>
        <w:instrText xml:space="preserve"> PAGEREF _Toc523845040 \h </w:instrText>
      </w:r>
      <w:r>
        <w:fldChar w:fldCharType="separate"/>
      </w:r>
      <w:r>
        <w:t>9</w:t>
      </w:r>
      <w:r>
        <w:fldChar w:fldCharType="end"/>
      </w:r>
    </w:p>
    <w:p w14:paraId="20EB2353" w14:textId="1C6DE4F9"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2.1</w:t>
      </w:r>
      <w:r>
        <w:rPr>
          <w:rFonts w:asciiTheme="minorHAnsi" w:eastAsiaTheme="minorEastAsia" w:hAnsiTheme="minorHAnsi" w:cstheme="minorBidi"/>
          <w:sz w:val="22"/>
          <w:szCs w:val="22"/>
          <w:lang w:eastAsia="en-AU"/>
        </w:rPr>
        <w:tab/>
      </w:r>
      <w:r>
        <w:t>A Two-Stage Process</w:t>
      </w:r>
      <w:r>
        <w:tab/>
      </w:r>
      <w:r>
        <w:fldChar w:fldCharType="begin"/>
      </w:r>
      <w:r>
        <w:instrText xml:space="preserve"> PAGEREF _Toc523845041 \h </w:instrText>
      </w:r>
      <w:r>
        <w:fldChar w:fldCharType="separate"/>
      </w:r>
      <w:r>
        <w:t>9</w:t>
      </w:r>
      <w:r>
        <w:fldChar w:fldCharType="end"/>
      </w:r>
    </w:p>
    <w:p w14:paraId="77B6F0CE" w14:textId="4C4CC258"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2.2</w:t>
      </w:r>
      <w:r>
        <w:rPr>
          <w:rFonts w:asciiTheme="minorHAnsi" w:eastAsiaTheme="minorEastAsia" w:hAnsiTheme="minorHAnsi" w:cstheme="minorBidi"/>
          <w:sz w:val="22"/>
          <w:szCs w:val="22"/>
          <w:lang w:eastAsia="en-AU"/>
        </w:rPr>
        <w:tab/>
      </w:r>
      <w:r>
        <w:t>Purpose of the EOI Process</w:t>
      </w:r>
      <w:r>
        <w:tab/>
      </w:r>
      <w:r>
        <w:fldChar w:fldCharType="begin"/>
      </w:r>
      <w:r>
        <w:instrText xml:space="preserve"> PAGEREF _Toc523845042 \h </w:instrText>
      </w:r>
      <w:r>
        <w:fldChar w:fldCharType="separate"/>
      </w:r>
      <w:r>
        <w:t>9</w:t>
      </w:r>
      <w:r>
        <w:fldChar w:fldCharType="end"/>
      </w:r>
    </w:p>
    <w:p w14:paraId="4040FDE1" w14:textId="6E5F794F"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2.3</w:t>
      </w:r>
      <w:r>
        <w:rPr>
          <w:rFonts w:asciiTheme="minorHAnsi" w:eastAsiaTheme="minorEastAsia" w:hAnsiTheme="minorHAnsi" w:cstheme="minorBidi"/>
          <w:sz w:val="22"/>
          <w:szCs w:val="22"/>
          <w:lang w:eastAsia="en-AU"/>
        </w:rPr>
        <w:tab/>
      </w:r>
      <w:r>
        <w:t>Who Should Apply</w:t>
      </w:r>
      <w:r>
        <w:tab/>
      </w:r>
      <w:r>
        <w:fldChar w:fldCharType="begin"/>
      </w:r>
      <w:r>
        <w:instrText xml:space="preserve"> PAGEREF _Toc523845043 \h </w:instrText>
      </w:r>
      <w:r>
        <w:fldChar w:fldCharType="separate"/>
      </w:r>
      <w:r>
        <w:t>9</w:t>
      </w:r>
      <w:r>
        <w:fldChar w:fldCharType="end"/>
      </w:r>
    </w:p>
    <w:p w14:paraId="18588213" w14:textId="56111675"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2.4</w:t>
      </w:r>
      <w:r>
        <w:rPr>
          <w:rFonts w:asciiTheme="minorHAnsi" w:eastAsiaTheme="minorEastAsia" w:hAnsiTheme="minorHAnsi" w:cstheme="minorBidi"/>
          <w:sz w:val="22"/>
          <w:szCs w:val="22"/>
          <w:lang w:eastAsia="en-AU"/>
        </w:rPr>
        <w:tab/>
      </w:r>
      <w:r>
        <w:t>Who Should Not Apply</w:t>
      </w:r>
      <w:r>
        <w:tab/>
      </w:r>
      <w:r>
        <w:fldChar w:fldCharType="begin"/>
      </w:r>
      <w:r>
        <w:instrText xml:space="preserve"> PAGEREF _Toc523845044 \h </w:instrText>
      </w:r>
      <w:r>
        <w:fldChar w:fldCharType="separate"/>
      </w:r>
      <w:r>
        <w:t>9</w:t>
      </w:r>
      <w:r>
        <w:fldChar w:fldCharType="end"/>
      </w:r>
    </w:p>
    <w:p w14:paraId="1682C482" w14:textId="2E6F6D63"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2.5</w:t>
      </w:r>
      <w:r>
        <w:rPr>
          <w:rFonts w:asciiTheme="minorHAnsi" w:eastAsiaTheme="minorEastAsia" w:hAnsiTheme="minorHAnsi" w:cstheme="minorBidi"/>
          <w:sz w:val="22"/>
          <w:szCs w:val="22"/>
          <w:lang w:eastAsia="en-AU"/>
        </w:rPr>
        <w:tab/>
      </w:r>
      <w:r>
        <w:t>Key Dates</w:t>
      </w:r>
      <w:r>
        <w:tab/>
      </w:r>
      <w:r>
        <w:fldChar w:fldCharType="begin"/>
      </w:r>
      <w:r>
        <w:instrText xml:space="preserve"> PAGEREF _Toc523845045 \h </w:instrText>
      </w:r>
      <w:r>
        <w:fldChar w:fldCharType="separate"/>
      </w:r>
      <w:r>
        <w:t>10</w:t>
      </w:r>
      <w:r>
        <w:fldChar w:fldCharType="end"/>
      </w:r>
    </w:p>
    <w:p w14:paraId="31B96C25" w14:textId="771AA897"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2.6</w:t>
      </w:r>
      <w:r>
        <w:rPr>
          <w:rFonts w:asciiTheme="minorHAnsi" w:eastAsiaTheme="minorEastAsia" w:hAnsiTheme="minorHAnsi" w:cstheme="minorBidi"/>
          <w:sz w:val="22"/>
          <w:szCs w:val="22"/>
          <w:lang w:eastAsia="en-AU"/>
        </w:rPr>
        <w:tab/>
      </w:r>
      <w:r>
        <w:t>EOI Response Process</w:t>
      </w:r>
      <w:r>
        <w:tab/>
      </w:r>
      <w:r>
        <w:fldChar w:fldCharType="begin"/>
      </w:r>
      <w:r>
        <w:instrText xml:space="preserve"> PAGEREF _Toc523845046 \h </w:instrText>
      </w:r>
      <w:r>
        <w:fldChar w:fldCharType="separate"/>
      </w:r>
      <w:r>
        <w:t>10</w:t>
      </w:r>
      <w:r>
        <w:fldChar w:fldCharType="end"/>
      </w:r>
    </w:p>
    <w:p w14:paraId="317694C5" w14:textId="7146FB64"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2.7</w:t>
      </w:r>
      <w:r>
        <w:rPr>
          <w:rFonts w:asciiTheme="minorHAnsi" w:eastAsiaTheme="minorEastAsia" w:hAnsiTheme="minorHAnsi" w:cstheme="minorBidi"/>
          <w:sz w:val="22"/>
          <w:szCs w:val="22"/>
          <w:lang w:eastAsia="en-AU"/>
        </w:rPr>
        <w:tab/>
      </w:r>
      <w:r>
        <w:t>Grant Application Process</w:t>
      </w:r>
      <w:r>
        <w:tab/>
      </w:r>
      <w:r>
        <w:fldChar w:fldCharType="begin"/>
      </w:r>
      <w:r>
        <w:instrText xml:space="preserve"> PAGEREF _Toc523845047 \h </w:instrText>
      </w:r>
      <w:r>
        <w:fldChar w:fldCharType="separate"/>
      </w:r>
      <w:r>
        <w:t>11</w:t>
      </w:r>
      <w:r>
        <w:fldChar w:fldCharType="end"/>
      </w:r>
    </w:p>
    <w:p w14:paraId="2D360E6D" w14:textId="113BA7DC"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2.8</w:t>
      </w:r>
      <w:r>
        <w:rPr>
          <w:rFonts w:asciiTheme="minorHAnsi" w:eastAsiaTheme="minorEastAsia" w:hAnsiTheme="minorHAnsi" w:cstheme="minorBidi"/>
          <w:sz w:val="22"/>
          <w:szCs w:val="22"/>
          <w:lang w:eastAsia="en-AU"/>
        </w:rPr>
        <w:tab/>
      </w:r>
      <w:r>
        <w:t>Conditions of Participation</w:t>
      </w:r>
      <w:r>
        <w:tab/>
      </w:r>
      <w:r>
        <w:fldChar w:fldCharType="begin"/>
      </w:r>
      <w:r>
        <w:instrText xml:space="preserve"> PAGEREF _Toc523845048 \h </w:instrText>
      </w:r>
      <w:r>
        <w:fldChar w:fldCharType="separate"/>
      </w:r>
      <w:r>
        <w:t>12</w:t>
      </w:r>
      <w:r>
        <w:fldChar w:fldCharType="end"/>
      </w:r>
    </w:p>
    <w:p w14:paraId="0DD442AB" w14:textId="72A92EA4"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2.9</w:t>
      </w:r>
      <w:r>
        <w:rPr>
          <w:rFonts w:asciiTheme="minorHAnsi" w:eastAsiaTheme="minorEastAsia" w:hAnsiTheme="minorHAnsi" w:cstheme="minorBidi"/>
          <w:sz w:val="22"/>
          <w:szCs w:val="22"/>
          <w:lang w:eastAsia="en-AU"/>
        </w:rPr>
        <w:tab/>
      </w:r>
      <w:r>
        <w:t>Registration, Enquiries and Feedback</w:t>
      </w:r>
      <w:r>
        <w:tab/>
      </w:r>
      <w:r>
        <w:fldChar w:fldCharType="begin"/>
      </w:r>
      <w:r>
        <w:instrText xml:space="preserve"> PAGEREF _Toc523845049 \h </w:instrText>
      </w:r>
      <w:r>
        <w:fldChar w:fldCharType="separate"/>
      </w:r>
      <w:r>
        <w:t>12</w:t>
      </w:r>
      <w:r>
        <w:fldChar w:fldCharType="end"/>
      </w:r>
    </w:p>
    <w:p w14:paraId="230E5026" w14:textId="18DD8C10" w:rsidR="00200D1D" w:rsidRDefault="00200D1D">
      <w:pPr>
        <w:pStyle w:val="TOC1"/>
        <w:rPr>
          <w:rFonts w:asciiTheme="minorHAnsi" w:eastAsiaTheme="minorEastAsia" w:hAnsiTheme="minorHAnsi" w:cstheme="minorBidi"/>
          <w:b w:val="0"/>
          <w:sz w:val="22"/>
          <w:lang w:eastAsia="en-AU"/>
        </w:rPr>
      </w:pPr>
      <w:r w:rsidRPr="005960E8">
        <w:rPr>
          <w14:scene3d>
            <w14:camera w14:prst="orthographicFront"/>
            <w14:lightRig w14:rig="threePt" w14:dir="t">
              <w14:rot w14:lat="0" w14:lon="0" w14:rev="0"/>
            </w14:lightRig>
          </w14:scene3d>
        </w:rPr>
        <w:t>3</w:t>
      </w:r>
      <w:r>
        <w:rPr>
          <w:rFonts w:asciiTheme="minorHAnsi" w:eastAsiaTheme="minorEastAsia" w:hAnsiTheme="minorHAnsi" w:cstheme="minorBidi"/>
          <w:b w:val="0"/>
          <w:sz w:val="22"/>
          <w:lang w:eastAsia="en-AU"/>
        </w:rPr>
        <w:tab/>
      </w:r>
      <w:r>
        <w:t>Requirements</w:t>
      </w:r>
      <w:r>
        <w:tab/>
      </w:r>
      <w:r>
        <w:fldChar w:fldCharType="begin"/>
      </w:r>
      <w:r>
        <w:instrText xml:space="preserve"> PAGEREF _Toc523845050 \h </w:instrText>
      </w:r>
      <w:r>
        <w:fldChar w:fldCharType="separate"/>
      </w:r>
      <w:r>
        <w:t>13</w:t>
      </w:r>
      <w:r>
        <w:fldChar w:fldCharType="end"/>
      </w:r>
    </w:p>
    <w:p w14:paraId="772573DB" w14:textId="1D48975D"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3.1</w:t>
      </w:r>
      <w:r>
        <w:rPr>
          <w:rFonts w:asciiTheme="minorHAnsi" w:eastAsiaTheme="minorEastAsia" w:hAnsiTheme="minorHAnsi" w:cstheme="minorBidi"/>
          <w:sz w:val="22"/>
          <w:szCs w:val="22"/>
          <w:lang w:eastAsia="en-AU"/>
        </w:rPr>
        <w:tab/>
      </w:r>
      <w:r>
        <w:t>Summary of Proposed Arrangements</w:t>
      </w:r>
      <w:r>
        <w:tab/>
      </w:r>
      <w:r>
        <w:fldChar w:fldCharType="begin"/>
      </w:r>
      <w:r>
        <w:instrText xml:space="preserve"> PAGEREF _Toc523845051 \h </w:instrText>
      </w:r>
      <w:r>
        <w:fldChar w:fldCharType="separate"/>
      </w:r>
      <w:r>
        <w:t>13</w:t>
      </w:r>
      <w:r>
        <w:fldChar w:fldCharType="end"/>
      </w:r>
    </w:p>
    <w:p w14:paraId="72DA7F48" w14:textId="56709051"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3.2</w:t>
      </w:r>
      <w:r>
        <w:rPr>
          <w:rFonts w:asciiTheme="minorHAnsi" w:eastAsiaTheme="minorEastAsia" w:hAnsiTheme="minorHAnsi" w:cstheme="minorBidi"/>
          <w:sz w:val="22"/>
          <w:szCs w:val="22"/>
          <w:lang w:eastAsia="en-AU"/>
        </w:rPr>
        <w:tab/>
      </w:r>
      <w:r>
        <w:t>Government contribution limited</w:t>
      </w:r>
      <w:r>
        <w:tab/>
      </w:r>
      <w:r>
        <w:fldChar w:fldCharType="begin"/>
      </w:r>
      <w:r>
        <w:instrText xml:space="preserve"> PAGEREF _Toc523845052 \h </w:instrText>
      </w:r>
      <w:r>
        <w:fldChar w:fldCharType="separate"/>
      </w:r>
      <w:r>
        <w:t>13</w:t>
      </w:r>
      <w:r>
        <w:fldChar w:fldCharType="end"/>
      </w:r>
    </w:p>
    <w:p w14:paraId="4351EE8F" w14:textId="4982CF5B"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3.3</w:t>
      </w:r>
      <w:r>
        <w:rPr>
          <w:rFonts w:asciiTheme="minorHAnsi" w:eastAsiaTheme="minorEastAsia" w:hAnsiTheme="minorHAnsi" w:cstheme="minorBidi"/>
          <w:sz w:val="22"/>
          <w:szCs w:val="22"/>
          <w:lang w:eastAsia="en-AU"/>
        </w:rPr>
        <w:tab/>
      </w:r>
      <w:r>
        <w:t>Housing to be used for accommodating low income or disadvantaged Victorians</w:t>
      </w:r>
      <w:r>
        <w:tab/>
      </w:r>
      <w:r>
        <w:fldChar w:fldCharType="begin"/>
      </w:r>
      <w:r>
        <w:instrText xml:space="preserve"> PAGEREF _Toc523845053 \h </w:instrText>
      </w:r>
      <w:r>
        <w:fldChar w:fldCharType="separate"/>
      </w:r>
      <w:r>
        <w:t>13</w:t>
      </w:r>
      <w:r>
        <w:fldChar w:fldCharType="end"/>
      </w:r>
    </w:p>
    <w:p w14:paraId="3939B21A" w14:textId="7E2315E1"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3.4</w:t>
      </w:r>
      <w:r>
        <w:rPr>
          <w:rFonts w:asciiTheme="minorHAnsi" w:eastAsiaTheme="minorEastAsia" w:hAnsiTheme="minorHAnsi" w:cstheme="minorBidi"/>
          <w:sz w:val="22"/>
          <w:szCs w:val="22"/>
          <w:lang w:eastAsia="en-AU"/>
        </w:rPr>
        <w:tab/>
      </w:r>
      <w:r>
        <w:t>Contractual terms</w:t>
      </w:r>
      <w:r>
        <w:tab/>
      </w:r>
      <w:r>
        <w:fldChar w:fldCharType="begin"/>
      </w:r>
      <w:r>
        <w:instrText xml:space="preserve"> PAGEREF _Toc523845055 \h </w:instrText>
      </w:r>
      <w:r>
        <w:fldChar w:fldCharType="separate"/>
      </w:r>
      <w:r>
        <w:t>13</w:t>
      </w:r>
      <w:r>
        <w:fldChar w:fldCharType="end"/>
      </w:r>
    </w:p>
    <w:p w14:paraId="7572543A" w14:textId="06B62F06"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3.5</w:t>
      </w:r>
      <w:r>
        <w:rPr>
          <w:rFonts w:asciiTheme="minorHAnsi" w:eastAsiaTheme="minorEastAsia" w:hAnsiTheme="minorHAnsi" w:cstheme="minorBidi"/>
          <w:sz w:val="22"/>
          <w:szCs w:val="22"/>
          <w:lang w:eastAsia="en-AU"/>
        </w:rPr>
        <w:tab/>
      </w:r>
      <w:r>
        <w:t>Regulatory and environmental design requirements</w:t>
      </w:r>
      <w:r>
        <w:tab/>
      </w:r>
      <w:r>
        <w:fldChar w:fldCharType="begin"/>
      </w:r>
      <w:r>
        <w:instrText xml:space="preserve"> PAGEREF _Toc523845056 \h </w:instrText>
      </w:r>
      <w:r>
        <w:fldChar w:fldCharType="separate"/>
      </w:r>
      <w:r>
        <w:t>13</w:t>
      </w:r>
      <w:r>
        <w:fldChar w:fldCharType="end"/>
      </w:r>
    </w:p>
    <w:p w14:paraId="3E162B88" w14:textId="1B2DBC65"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3.6</w:t>
      </w:r>
      <w:r>
        <w:rPr>
          <w:rFonts w:asciiTheme="minorHAnsi" w:eastAsiaTheme="minorEastAsia" w:hAnsiTheme="minorHAnsi" w:cstheme="minorBidi"/>
          <w:sz w:val="22"/>
          <w:szCs w:val="22"/>
          <w:lang w:eastAsia="en-AU"/>
        </w:rPr>
        <w:tab/>
      </w:r>
      <w:r>
        <w:t>Asset ownership</w:t>
      </w:r>
      <w:r>
        <w:tab/>
      </w:r>
      <w:r>
        <w:fldChar w:fldCharType="begin"/>
      </w:r>
      <w:r>
        <w:instrText xml:space="preserve"> PAGEREF _Toc523845058 \h </w:instrText>
      </w:r>
      <w:r>
        <w:fldChar w:fldCharType="separate"/>
      </w:r>
      <w:r>
        <w:t>14</w:t>
      </w:r>
      <w:r>
        <w:fldChar w:fldCharType="end"/>
      </w:r>
    </w:p>
    <w:p w14:paraId="7390E0FC" w14:textId="1AD727BA"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3.7</w:t>
      </w:r>
      <w:r>
        <w:rPr>
          <w:rFonts w:asciiTheme="minorHAnsi" w:eastAsiaTheme="minorEastAsia" w:hAnsiTheme="minorHAnsi" w:cstheme="minorBidi"/>
          <w:sz w:val="22"/>
          <w:szCs w:val="22"/>
          <w:lang w:eastAsia="en-AU"/>
        </w:rPr>
        <w:tab/>
      </w:r>
      <w:r>
        <w:t>Delivery timeframe</w:t>
      </w:r>
      <w:r>
        <w:tab/>
      </w:r>
      <w:r>
        <w:fldChar w:fldCharType="begin"/>
      </w:r>
      <w:r>
        <w:instrText xml:space="preserve"> PAGEREF _Toc523845059 \h </w:instrText>
      </w:r>
      <w:r>
        <w:fldChar w:fldCharType="separate"/>
      </w:r>
      <w:r>
        <w:t>14</w:t>
      </w:r>
      <w:r>
        <w:fldChar w:fldCharType="end"/>
      </w:r>
    </w:p>
    <w:p w14:paraId="181428EC" w14:textId="4312EF6C"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3.8</w:t>
      </w:r>
      <w:r>
        <w:rPr>
          <w:rFonts w:asciiTheme="minorHAnsi" w:eastAsiaTheme="minorEastAsia" w:hAnsiTheme="minorHAnsi" w:cstheme="minorBidi"/>
          <w:sz w:val="22"/>
          <w:szCs w:val="22"/>
          <w:lang w:eastAsia="en-AU"/>
        </w:rPr>
        <w:tab/>
      </w:r>
      <w:r>
        <w:t>Asset management and tenancy support services</w:t>
      </w:r>
      <w:r>
        <w:tab/>
      </w:r>
      <w:r>
        <w:fldChar w:fldCharType="begin"/>
      </w:r>
      <w:r>
        <w:instrText xml:space="preserve"> PAGEREF _Toc523845060 \h </w:instrText>
      </w:r>
      <w:r>
        <w:fldChar w:fldCharType="separate"/>
      </w:r>
      <w:r>
        <w:t>14</w:t>
      </w:r>
      <w:r>
        <w:fldChar w:fldCharType="end"/>
      </w:r>
    </w:p>
    <w:p w14:paraId="5872A57F" w14:textId="446845AA"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3.9</w:t>
      </w:r>
      <w:r>
        <w:rPr>
          <w:rFonts w:asciiTheme="minorHAnsi" w:eastAsiaTheme="minorEastAsia" w:hAnsiTheme="minorHAnsi" w:cstheme="minorBidi"/>
          <w:sz w:val="22"/>
          <w:szCs w:val="22"/>
          <w:lang w:eastAsia="en-AU"/>
        </w:rPr>
        <w:tab/>
      </w:r>
      <w:r>
        <w:t>Other responsibilities and risks to be assumed by Respondent</w:t>
      </w:r>
      <w:r>
        <w:tab/>
      </w:r>
      <w:r>
        <w:fldChar w:fldCharType="begin"/>
      </w:r>
      <w:r>
        <w:instrText xml:space="preserve"> PAGEREF _Toc523845061 \h </w:instrText>
      </w:r>
      <w:r>
        <w:fldChar w:fldCharType="separate"/>
      </w:r>
      <w:r>
        <w:t>14</w:t>
      </w:r>
      <w:r>
        <w:fldChar w:fldCharType="end"/>
      </w:r>
    </w:p>
    <w:p w14:paraId="4143E914" w14:textId="4ECCDEB6" w:rsidR="00200D1D" w:rsidRDefault="00200D1D">
      <w:pPr>
        <w:pStyle w:val="TOC1"/>
        <w:rPr>
          <w:rFonts w:asciiTheme="minorHAnsi" w:eastAsiaTheme="minorEastAsia" w:hAnsiTheme="minorHAnsi" w:cstheme="minorBidi"/>
          <w:b w:val="0"/>
          <w:sz w:val="22"/>
          <w:lang w:eastAsia="en-AU"/>
        </w:rPr>
      </w:pPr>
      <w:r w:rsidRPr="005960E8">
        <w:rPr>
          <w14:scene3d>
            <w14:camera w14:prst="orthographicFront"/>
            <w14:lightRig w14:rig="threePt" w14:dir="t">
              <w14:rot w14:lat="0" w14:lon="0" w14:rev="0"/>
            </w14:lightRig>
          </w14:scene3d>
        </w:rPr>
        <w:t>4</w:t>
      </w:r>
      <w:r>
        <w:rPr>
          <w:rFonts w:asciiTheme="minorHAnsi" w:eastAsiaTheme="minorEastAsia" w:hAnsiTheme="minorHAnsi" w:cstheme="minorBidi"/>
          <w:b w:val="0"/>
          <w:sz w:val="22"/>
          <w:lang w:eastAsia="en-AU"/>
        </w:rPr>
        <w:tab/>
      </w:r>
      <w:r>
        <w:t>Response Assessment Criteria</w:t>
      </w:r>
      <w:r>
        <w:tab/>
      </w:r>
      <w:r>
        <w:fldChar w:fldCharType="begin"/>
      </w:r>
      <w:r>
        <w:instrText xml:space="preserve"> PAGEREF _Toc523845062 \h </w:instrText>
      </w:r>
      <w:r>
        <w:fldChar w:fldCharType="separate"/>
      </w:r>
      <w:r>
        <w:t>16</w:t>
      </w:r>
      <w:r>
        <w:fldChar w:fldCharType="end"/>
      </w:r>
    </w:p>
    <w:p w14:paraId="65518C57" w14:textId="0814A939" w:rsidR="00200D1D" w:rsidRDefault="00200D1D">
      <w:pPr>
        <w:pStyle w:val="TOC2"/>
        <w:rPr>
          <w:rFonts w:asciiTheme="minorHAnsi" w:eastAsiaTheme="minorEastAsia" w:hAnsiTheme="minorHAnsi" w:cstheme="minorBidi"/>
          <w:sz w:val="22"/>
          <w:szCs w:val="22"/>
          <w:lang w:eastAsia="en-AU"/>
        </w:rPr>
      </w:pPr>
      <w:r w:rsidRPr="005960E8">
        <w:rPr>
          <w:rFonts w:asciiTheme="minorBidi" w:hAnsiTheme="minorBidi" w:cstheme="minorBidi"/>
          <w:bCs/>
        </w:rPr>
        <w:t>4.1</w:t>
      </w:r>
      <w:r>
        <w:rPr>
          <w:rFonts w:asciiTheme="minorHAnsi" w:eastAsiaTheme="minorEastAsia" w:hAnsiTheme="minorHAnsi" w:cstheme="minorBidi"/>
          <w:sz w:val="22"/>
          <w:szCs w:val="22"/>
          <w:lang w:eastAsia="en-AU"/>
        </w:rPr>
        <w:tab/>
      </w:r>
      <w:r>
        <w:t>Overview</w:t>
      </w:r>
      <w:r>
        <w:tab/>
      </w:r>
      <w:r>
        <w:fldChar w:fldCharType="begin"/>
      </w:r>
      <w:r>
        <w:instrText xml:space="preserve"> PAGEREF _Toc523845063 \h </w:instrText>
      </w:r>
      <w:r>
        <w:fldChar w:fldCharType="separate"/>
      </w:r>
      <w:r>
        <w:t>16</w:t>
      </w:r>
      <w:r>
        <w:fldChar w:fldCharType="end"/>
      </w:r>
    </w:p>
    <w:p w14:paraId="30FBB220" w14:textId="3849A67B" w:rsidR="00812BAE" w:rsidRDefault="00126A60" w:rsidP="00812BAE">
      <w:pPr>
        <w:pStyle w:val="FootnoteText"/>
        <w:overflowPunct/>
        <w:autoSpaceDE/>
        <w:autoSpaceDN/>
        <w:adjustRightInd/>
        <w:textAlignment w:val="auto"/>
        <w:rPr>
          <w:rFonts w:ascii="Verdana" w:hAnsi="Verdana"/>
          <w:szCs w:val="24"/>
        </w:rPr>
      </w:pPr>
      <w:r>
        <w:rPr>
          <w:rFonts w:ascii="Arial" w:hAnsi="Arial"/>
          <w:b/>
          <w:noProof/>
          <w:szCs w:val="24"/>
        </w:rPr>
        <w:fldChar w:fldCharType="end"/>
      </w:r>
    </w:p>
    <w:p w14:paraId="42ED3FBB" w14:textId="77777777" w:rsidR="00812BAE" w:rsidRDefault="00812BAE" w:rsidP="00126A60">
      <w:pPr>
        <w:pStyle w:val="TOC1"/>
      </w:pPr>
      <w:r>
        <w:t>RETURNABLE SCHEDULES</w:t>
      </w:r>
    </w:p>
    <w:p w14:paraId="22B2B510" w14:textId="3008A664" w:rsidR="00F513C7" w:rsidRDefault="00812BAE" w:rsidP="00812BAE">
      <w:r w:rsidRPr="00DF60F3">
        <w:t xml:space="preserve">(Available </w:t>
      </w:r>
      <w:r w:rsidR="00F22765">
        <w:t>for download</w:t>
      </w:r>
      <w:r w:rsidRPr="00DF60F3">
        <w:t xml:space="preserve"> by visiting </w:t>
      </w:r>
      <w:hyperlink r:id="rId8" w:history="1">
        <w:r w:rsidR="00046AF8" w:rsidRPr="00BC67A1">
          <w:rPr>
            <w:rStyle w:val="Hyperlink"/>
          </w:rPr>
          <w:t>www.consumer.vic.gov.au/vpfhousinground</w:t>
        </w:r>
      </w:hyperlink>
      <w:r w:rsidRPr="00DF60F3">
        <w:t>).</w:t>
      </w:r>
      <w:r w:rsidR="00F513C7" w:rsidRPr="00DF60F3">
        <w:t xml:space="preserve"> </w:t>
      </w:r>
    </w:p>
    <w:p w14:paraId="23C84B90" w14:textId="6E2B3713" w:rsidR="00E52D77" w:rsidRDefault="00812BAE" w:rsidP="00812BAE">
      <w:pPr>
        <w:ind w:left="2694" w:hanging="2694"/>
      </w:pPr>
      <w:r>
        <w:rPr>
          <w:szCs w:val="24"/>
        </w:rPr>
        <w:t xml:space="preserve">Returnable </w:t>
      </w:r>
      <w:r>
        <w:t xml:space="preserve">Schedule 1 – </w:t>
      </w:r>
      <w:r w:rsidR="00AC50C3">
        <w:t xml:space="preserve">Respondent </w:t>
      </w:r>
      <w:r w:rsidR="00E52D77">
        <w:t>Details</w:t>
      </w:r>
      <w:r w:rsidR="00AC50C3">
        <w:t xml:space="preserve"> </w:t>
      </w:r>
    </w:p>
    <w:p w14:paraId="3CD8EF45" w14:textId="773778A3" w:rsidR="00812BAE" w:rsidRDefault="00E52D77" w:rsidP="00812BAE">
      <w:pPr>
        <w:ind w:left="2694" w:hanging="2694"/>
      </w:pPr>
      <w:r>
        <w:rPr>
          <w:szCs w:val="24"/>
        </w:rPr>
        <w:t xml:space="preserve">Returnable </w:t>
      </w:r>
      <w:r>
        <w:t>Schedule 2 –</w:t>
      </w:r>
      <w:r w:rsidR="001C47C0">
        <w:t xml:space="preserve"> </w:t>
      </w:r>
      <w:r w:rsidR="00583D8E">
        <w:t>Development Details</w:t>
      </w:r>
    </w:p>
    <w:p w14:paraId="32F5AF92" w14:textId="376FE590" w:rsidR="00E52D77" w:rsidRDefault="00812BAE" w:rsidP="00812BAE">
      <w:pPr>
        <w:ind w:left="2694" w:hanging="2694"/>
      </w:pPr>
      <w:r>
        <w:rPr>
          <w:szCs w:val="24"/>
        </w:rPr>
        <w:t xml:space="preserve">Returnable </w:t>
      </w:r>
      <w:r>
        <w:t>Schedule 3 –</w:t>
      </w:r>
      <w:r w:rsidR="008A60DE" w:rsidRPr="008A60DE">
        <w:t xml:space="preserve"> </w:t>
      </w:r>
      <w:r w:rsidR="00583D8E">
        <w:t>Financial Capacity</w:t>
      </w:r>
      <w:r w:rsidR="009E03F9">
        <w:t xml:space="preserve"> and </w:t>
      </w:r>
      <w:r w:rsidR="00014197">
        <w:t>Accountability Requirements</w:t>
      </w:r>
    </w:p>
    <w:p w14:paraId="217A645D" w14:textId="40A86548" w:rsidR="00812BAE" w:rsidRDefault="00E52D77" w:rsidP="00812BAE">
      <w:pPr>
        <w:ind w:left="2694" w:hanging="2694"/>
      </w:pPr>
      <w:r>
        <w:rPr>
          <w:szCs w:val="24"/>
        </w:rPr>
        <w:t xml:space="preserve">Returnable </w:t>
      </w:r>
      <w:r>
        <w:t>Schedule 4 –</w:t>
      </w:r>
      <w:r w:rsidR="008A60DE">
        <w:t xml:space="preserve"> </w:t>
      </w:r>
      <w:r w:rsidR="00A83762">
        <w:t xml:space="preserve">Previous </w:t>
      </w:r>
      <w:r w:rsidR="00583D8E">
        <w:t>Development Projects</w:t>
      </w:r>
    </w:p>
    <w:p w14:paraId="699469CB" w14:textId="76AC51DF" w:rsidR="00A83762" w:rsidRDefault="00A83762" w:rsidP="00A83762">
      <w:pPr>
        <w:ind w:left="2694" w:hanging="2694"/>
      </w:pPr>
      <w:r>
        <w:rPr>
          <w:szCs w:val="24"/>
        </w:rPr>
        <w:t xml:space="preserve">Returnable </w:t>
      </w:r>
      <w:r>
        <w:t>Schedule 5 – Responde</w:t>
      </w:r>
      <w:r w:rsidR="00583D8E">
        <w:t>nt Capability and Capacity</w:t>
      </w:r>
    </w:p>
    <w:p w14:paraId="4A919164" w14:textId="237DD59F" w:rsidR="002202E8" w:rsidRDefault="00812BAE" w:rsidP="00812BAE">
      <w:pPr>
        <w:ind w:left="2694" w:hanging="2694"/>
      </w:pPr>
      <w:r>
        <w:rPr>
          <w:szCs w:val="24"/>
        </w:rPr>
        <w:t xml:space="preserve">Returnable </w:t>
      </w:r>
      <w:r>
        <w:t xml:space="preserve">Schedule </w:t>
      </w:r>
      <w:r w:rsidR="00A83762">
        <w:t>6</w:t>
      </w:r>
      <w:r>
        <w:t xml:space="preserve"> – Value for Money</w:t>
      </w:r>
      <w:r w:rsidR="00014197">
        <w:t xml:space="preserve"> </w:t>
      </w:r>
    </w:p>
    <w:p w14:paraId="3DB810A7" w14:textId="7F62684B" w:rsidR="00200D1D" w:rsidRDefault="00200D1D" w:rsidP="00200D1D">
      <w:pPr>
        <w:ind w:left="2694" w:hanging="2694"/>
      </w:pPr>
      <w:r>
        <w:rPr>
          <w:szCs w:val="24"/>
        </w:rPr>
        <w:t xml:space="preserve">Returnable </w:t>
      </w:r>
      <w:r>
        <w:t xml:space="preserve">Schedule 7 – </w:t>
      </w:r>
      <w:r w:rsidR="00014197">
        <w:t xml:space="preserve">Environmentally Sustainable </w:t>
      </w:r>
      <w:r w:rsidR="004262E4">
        <w:t>Design Standard</w:t>
      </w:r>
      <w:r w:rsidR="008475F5">
        <w:t>s</w:t>
      </w:r>
      <w:r w:rsidR="004262E4">
        <w:t xml:space="preserve"> and Features</w:t>
      </w:r>
    </w:p>
    <w:p w14:paraId="2D3C248F" w14:textId="77777777" w:rsidR="00812BAE" w:rsidRDefault="00812BAE" w:rsidP="006B29C1">
      <w:pPr>
        <w:pStyle w:val="Heading1-notinTOC"/>
      </w:pPr>
      <w:bookmarkStart w:id="1" w:name="_Toc523845035"/>
      <w:r w:rsidRPr="006E5E41">
        <w:lastRenderedPageBreak/>
        <w:t>Definitions</w:t>
      </w:r>
      <w:bookmarkEnd w:id="1"/>
    </w:p>
    <w:tbl>
      <w:tblPr>
        <w:tblW w:w="538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546"/>
        <w:gridCol w:w="6380"/>
      </w:tblGrid>
      <w:tr w:rsidR="00A21B98" w14:paraId="2640EF30" w14:textId="77777777" w:rsidTr="00565D5A">
        <w:tc>
          <w:tcPr>
            <w:tcW w:w="1426" w:type="pct"/>
          </w:tcPr>
          <w:p w14:paraId="7753574A" w14:textId="77777777" w:rsidR="00A21B98" w:rsidRDefault="00A21B98" w:rsidP="00CF3B7F">
            <w:r>
              <w:t>Assessment Criteria</w:t>
            </w:r>
          </w:p>
        </w:tc>
        <w:tc>
          <w:tcPr>
            <w:tcW w:w="3574" w:type="pct"/>
          </w:tcPr>
          <w:p w14:paraId="5348ADD0" w14:textId="5400B14E" w:rsidR="00A21B98" w:rsidRDefault="00A21B98" w:rsidP="00CF3B7F">
            <w:r>
              <w:t>Refers to the mandatory (pass /fail) and comparative (weighted) assessment criteria set out in</w:t>
            </w:r>
            <w:r w:rsidR="006A12B1">
              <w:t xml:space="preserve"> </w:t>
            </w:r>
            <w:r w:rsidR="006A12B1" w:rsidRPr="003C619B">
              <w:fldChar w:fldCharType="begin"/>
            </w:r>
            <w:r w:rsidR="006A12B1" w:rsidRPr="00BE1004">
              <w:instrText xml:space="preserve"> REF _Ref467775409 \h </w:instrText>
            </w:r>
            <w:r w:rsidR="00CF3B7F" w:rsidRPr="00BE1004">
              <w:instrText xml:space="preserve"> \* MERGEFORMAT </w:instrText>
            </w:r>
            <w:r w:rsidR="006A12B1" w:rsidRPr="003C619B">
              <w:fldChar w:fldCharType="separate"/>
            </w:r>
            <w:r w:rsidR="004E7137" w:rsidRPr="00BE1004">
              <w:t>Table 6 – Mandatory Criteria</w:t>
            </w:r>
            <w:r w:rsidR="006A12B1" w:rsidRPr="003C619B">
              <w:fldChar w:fldCharType="end"/>
            </w:r>
            <w:r w:rsidR="006A12B1" w:rsidRPr="00BE1004">
              <w:t xml:space="preserve"> and </w:t>
            </w:r>
            <w:r w:rsidR="006A12B1" w:rsidRPr="00DE56C3">
              <w:fldChar w:fldCharType="begin"/>
            </w:r>
            <w:r w:rsidR="006A12B1" w:rsidRPr="00BE1004">
              <w:instrText xml:space="preserve"> REF _Ref467775417 \h </w:instrText>
            </w:r>
            <w:r w:rsidR="00CF3B7F" w:rsidRPr="00BE1004">
              <w:instrText xml:space="preserve"> \* MERGEFORMAT </w:instrText>
            </w:r>
            <w:r w:rsidR="006A12B1" w:rsidRPr="00DE56C3">
              <w:fldChar w:fldCharType="separate"/>
            </w:r>
            <w:r w:rsidR="004E7137" w:rsidRPr="00BE1004">
              <w:t>Table 7 – Comparative Criteria</w:t>
            </w:r>
            <w:r w:rsidR="006A12B1" w:rsidRPr="00DE56C3">
              <w:fldChar w:fldCharType="end"/>
            </w:r>
            <w:r w:rsidRPr="00BE1004">
              <w:t xml:space="preserve"> in Section 4.</w:t>
            </w:r>
          </w:p>
        </w:tc>
      </w:tr>
      <w:tr w:rsidR="004429A2" w:rsidRPr="00CB0A50" w14:paraId="6E8792E6" w14:textId="77777777" w:rsidTr="00565D5A">
        <w:tc>
          <w:tcPr>
            <w:tcW w:w="1426" w:type="pct"/>
          </w:tcPr>
          <w:p w14:paraId="69E1C471" w14:textId="77777777" w:rsidR="004429A2" w:rsidRDefault="004429A2" w:rsidP="00CF3B7F">
            <w:r>
              <w:t>CAV</w:t>
            </w:r>
          </w:p>
        </w:tc>
        <w:tc>
          <w:tcPr>
            <w:tcW w:w="3574" w:type="pct"/>
          </w:tcPr>
          <w:p w14:paraId="153A0968" w14:textId="77777777" w:rsidR="004429A2" w:rsidRPr="00BA55B1" w:rsidRDefault="004429A2" w:rsidP="00CF3B7F">
            <w:r>
              <w:t>Consumer Affairs Victoria, a business unit of the Department of Justice and Regulation, Victorian State Government</w:t>
            </w:r>
          </w:p>
        </w:tc>
      </w:tr>
      <w:tr w:rsidR="00B55C58" w:rsidRPr="00CB0A50" w14:paraId="3CFB5551" w14:textId="77777777" w:rsidTr="00565D5A">
        <w:tc>
          <w:tcPr>
            <w:tcW w:w="1426" w:type="pct"/>
          </w:tcPr>
          <w:p w14:paraId="58EC558D" w14:textId="7A0F113E" w:rsidR="00B55C58" w:rsidRPr="004F7B67" w:rsidRDefault="00B55C58" w:rsidP="00CF3B7F">
            <w:r w:rsidRPr="00A76495">
              <w:t>Community Housing Organisation</w:t>
            </w:r>
            <w:r w:rsidR="00A76104">
              <w:t xml:space="preserve"> (CHO)</w:t>
            </w:r>
          </w:p>
        </w:tc>
        <w:tc>
          <w:tcPr>
            <w:tcW w:w="3574" w:type="pct"/>
          </w:tcPr>
          <w:p w14:paraId="7D9AF6CF" w14:textId="3BB343CA" w:rsidR="00B55C58" w:rsidRPr="00A76495" w:rsidRDefault="00B55C58" w:rsidP="00CF3B7F">
            <w:r w:rsidRPr="0040771F">
              <w:t>A</w:t>
            </w:r>
            <w:r w:rsidR="00851DE6">
              <w:t>n incorporated</w:t>
            </w:r>
            <w:r w:rsidRPr="0040771F">
              <w:t xml:space="preserve"> not-for-profit organisation</w:t>
            </w:r>
            <w:r w:rsidR="00BF402F">
              <w:t xml:space="preserve"> operating in Victoria whose primary mission is</w:t>
            </w:r>
            <w:r w:rsidRPr="0040771F">
              <w:t xml:space="preserve"> the provision of </w:t>
            </w:r>
            <w:r w:rsidR="00D83397" w:rsidRPr="0040771F">
              <w:t xml:space="preserve">affordable </w:t>
            </w:r>
            <w:r w:rsidRPr="0040771F">
              <w:t xml:space="preserve">housing </w:t>
            </w:r>
            <w:r w:rsidR="00D83397" w:rsidRPr="0040771F">
              <w:t xml:space="preserve">for low income or </w:t>
            </w:r>
            <w:r w:rsidR="00BF402F">
              <w:t>disadvantaged</w:t>
            </w:r>
            <w:r w:rsidR="00BF402F" w:rsidRPr="0040771F">
              <w:t xml:space="preserve"> </w:t>
            </w:r>
            <w:r w:rsidR="00BF402F">
              <w:t>persons</w:t>
            </w:r>
          </w:p>
        </w:tc>
      </w:tr>
      <w:tr w:rsidR="003842C7" w:rsidRPr="00CB0A50" w14:paraId="71F15DE2" w14:textId="77777777" w:rsidTr="00565D5A">
        <w:tc>
          <w:tcPr>
            <w:tcW w:w="1426" w:type="pct"/>
          </w:tcPr>
          <w:p w14:paraId="717E70CC" w14:textId="66F667C8" w:rsidR="003842C7" w:rsidRDefault="003842C7" w:rsidP="003842C7">
            <w:r>
              <w:t>Confidential Information</w:t>
            </w:r>
          </w:p>
        </w:tc>
        <w:tc>
          <w:tcPr>
            <w:tcW w:w="3574" w:type="pct"/>
          </w:tcPr>
          <w:p w14:paraId="1ABA2385" w14:textId="15F8576C" w:rsidR="003842C7" w:rsidRPr="00BA55B1" w:rsidRDefault="003842C7" w:rsidP="003842C7">
            <w:r w:rsidRPr="00BA55B1">
              <w:t xml:space="preserve">Any information or data, </w:t>
            </w:r>
            <w:proofErr w:type="gramStart"/>
            <w:r w:rsidRPr="00BA55B1">
              <w:t>whether or not</w:t>
            </w:r>
            <w:proofErr w:type="gramEnd"/>
            <w:r w:rsidRPr="00BA55B1">
              <w:t xml:space="preserve"> in a material form, which is confidential to a party including confidential information acquired, collected or developed for the purpose of the </w:t>
            </w:r>
            <w:r>
              <w:t>EOI submission</w:t>
            </w:r>
            <w:r w:rsidRPr="00BA55B1">
              <w:t>, except that which is already in the public domain</w:t>
            </w:r>
          </w:p>
        </w:tc>
      </w:tr>
      <w:tr w:rsidR="00A21B98" w:rsidRPr="00CB0A50" w14:paraId="69F61644" w14:textId="77777777" w:rsidTr="00565D5A">
        <w:tc>
          <w:tcPr>
            <w:tcW w:w="1426" w:type="pct"/>
          </w:tcPr>
          <w:p w14:paraId="1B702976" w14:textId="57F49987" w:rsidR="00A21B98" w:rsidRDefault="00A21B98" w:rsidP="00CF3B7F">
            <w:r>
              <w:t>Development</w:t>
            </w:r>
            <w:r w:rsidR="00570D7A">
              <w:t xml:space="preserve"> </w:t>
            </w:r>
          </w:p>
        </w:tc>
        <w:tc>
          <w:tcPr>
            <w:tcW w:w="3574" w:type="pct"/>
          </w:tcPr>
          <w:p w14:paraId="38F3544E" w14:textId="3705E1FE" w:rsidR="00A21B98" w:rsidRPr="00BA55B1" w:rsidRDefault="00A21B98" w:rsidP="00CF3B7F">
            <w:r>
              <w:t xml:space="preserve">The Respondent’s proposed solution to </w:t>
            </w:r>
            <w:r w:rsidR="00217944">
              <w:t xml:space="preserve">increase the </w:t>
            </w:r>
            <w:r w:rsidR="00587C28">
              <w:t xml:space="preserve">supply </w:t>
            </w:r>
            <w:r w:rsidR="00217944">
              <w:t>of affordable housing for low income or disadvantaged Victorians</w:t>
            </w:r>
          </w:p>
        </w:tc>
      </w:tr>
      <w:tr w:rsidR="003842C7" w14:paraId="58AD693E" w14:textId="77777777" w:rsidTr="00565D5A">
        <w:tc>
          <w:tcPr>
            <w:tcW w:w="1426" w:type="pct"/>
          </w:tcPr>
          <w:p w14:paraId="14B209FA" w14:textId="2976867C" w:rsidR="003842C7" w:rsidRDefault="003842C7" w:rsidP="003842C7">
            <w:pPr>
              <w:rPr>
                <w:rFonts w:cs="Arial"/>
              </w:rPr>
            </w:pPr>
            <w:r>
              <w:t>DHHS</w:t>
            </w:r>
          </w:p>
        </w:tc>
        <w:tc>
          <w:tcPr>
            <w:tcW w:w="3574" w:type="pct"/>
          </w:tcPr>
          <w:p w14:paraId="0D358148" w14:textId="4312097B" w:rsidR="003842C7" w:rsidRDefault="003842C7" w:rsidP="003842C7">
            <w:r w:rsidRPr="00BA55B1">
              <w:t xml:space="preserve">Department of </w:t>
            </w:r>
            <w:r>
              <w:t xml:space="preserve">Health and </w:t>
            </w:r>
            <w:r w:rsidRPr="00BA55B1">
              <w:t>Human Services</w:t>
            </w:r>
            <w:r>
              <w:t>, Victorian State Government</w:t>
            </w:r>
          </w:p>
        </w:tc>
      </w:tr>
      <w:tr w:rsidR="00A21B98" w14:paraId="16810B54" w14:textId="77777777" w:rsidTr="00565D5A">
        <w:tc>
          <w:tcPr>
            <w:tcW w:w="1426" w:type="pct"/>
          </w:tcPr>
          <w:p w14:paraId="01E4D84B" w14:textId="4E048D15" w:rsidR="00A21B98" w:rsidRDefault="00A21B98" w:rsidP="00CF3B7F">
            <w:pPr>
              <w:rPr>
                <w:rFonts w:cs="Arial"/>
                <w:highlight w:val="yellow"/>
              </w:rPr>
            </w:pPr>
            <w:r>
              <w:rPr>
                <w:rFonts w:cs="Arial"/>
              </w:rPr>
              <w:t>Director</w:t>
            </w:r>
            <w:r w:rsidR="005E3D49">
              <w:rPr>
                <w:rFonts w:cs="Arial"/>
              </w:rPr>
              <w:t xml:space="preserve"> of Housing</w:t>
            </w:r>
            <w:r w:rsidR="00C07599">
              <w:rPr>
                <w:rFonts w:cs="Arial"/>
              </w:rPr>
              <w:t xml:space="preserve"> (</w:t>
            </w:r>
            <w:proofErr w:type="spellStart"/>
            <w:r w:rsidR="00C07599">
              <w:rPr>
                <w:rFonts w:cs="Arial"/>
              </w:rPr>
              <w:t>DoH</w:t>
            </w:r>
            <w:proofErr w:type="spellEnd"/>
            <w:r w:rsidR="00C07599">
              <w:rPr>
                <w:rFonts w:cs="Arial"/>
              </w:rPr>
              <w:t>)</w:t>
            </w:r>
          </w:p>
        </w:tc>
        <w:tc>
          <w:tcPr>
            <w:tcW w:w="3574" w:type="pct"/>
          </w:tcPr>
          <w:p w14:paraId="434A5A8F" w14:textId="77777777" w:rsidR="00A21B98" w:rsidRPr="00BA55B1" w:rsidRDefault="00A21B98" w:rsidP="00CF3B7F">
            <w:r>
              <w:t xml:space="preserve">The Director of Housing for Victoria. A body corporate established under Section 9(2) of the </w:t>
            </w:r>
            <w:r w:rsidRPr="00DE56C3">
              <w:rPr>
                <w:i/>
              </w:rPr>
              <w:t>Housing Act 1983</w:t>
            </w:r>
          </w:p>
        </w:tc>
      </w:tr>
      <w:tr w:rsidR="00422A98" w14:paraId="33507041" w14:textId="77777777" w:rsidTr="00565D5A">
        <w:tc>
          <w:tcPr>
            <w:tcW w:w="1426" w:type="pct"/>
          </w:tcPr>
          <w:p w14:paraId="525AFEDF" w14:textId="2FEF41AF" w:rsidR="00422A98" w:rsidRDefault="00422A98" w:rsidP="00CF3B7F">
            <w:r>
              <w:t>EAC</w:t>
            </w:r>
          </w:p>
        </w:tc>
        <w:tc>
          <w:tcPr>
            <w:tcW w:w="3574" w:type="pct"/>
          </w:tcPr>
          <w:p w14:paraId="07F09352" w14:textId="77BBA1CA" w:rsidR="00422A98" w:rsidRDefault="00422A98" w:rsidP="00CF3B7F">
            <w:r>
              <w:t xml:space="preserve">The Estate Agents Council, a ministerial advisory body established under Section </w:t>
            </w:r>
            <w:r w:rsidR="00ED1AFE">
              <w:t>6</w:t>
            </w:r>
            <w:r>
              <w:t xml:space="preserve"> of the </w:t>
            </w:r>
            <w:r w:rsidRPr="00DE56C3">
              <w:rPr>
                <w:i/>
              </w:rPr>
              <w:t>Estate Agents Act 1980</w:t>
            </w:r>
          </w:p>
        </w:tc>
      </w:tr>
      <w:tr w:rsidR="00CF1E8E" w14:paraId="22759B5B" w14:textId="77777777" w:rsidTr="00565D5A">
        <w:tc>
          <w:tcPr>
            <w:tcW w:w="1426" w:type="pct"/>
          </w:tcPr>
          <w:p w14:paraId="72B0FAE1" w14:textId="41A211E3" w:rsidR="00CF1E8E" w:rsidRDefault="00CF1E8E" w:rsidP="00CF1E8E">
            <w:pPr>
              <w:rPr>
                <w:rFonts w:cs="Arial"/>
              </w:rPr>
            </w:pPr>
            <w:r>
              <w:t>EOI</w:t>
            </w:r>
          </w:p>
        </w:tc>
        <w:tc>
          <w:tcPr>
            <w:tcW w:w="3574" w:type="pct"/>
          </w:tcPr>
          <w:p w14:paraId="0A957351" w14:textId="01950DB5" w:rsidR="00CF1E8E" w:rsidRDefault="00CF1E8E" w:rsidP="00CF1E8E">
            <w:r>
              <w:t xml:space="preserve">Expression of Interest </w:t>
            </w:r>
          </w:p>
        </w:tc>
      </w:tr>
      <w:tr w:rsidR="00C60EF9" w14:paraId="3BEE07E0" w14:textId="77777777" w:rsidTr="00565D5A">
        <w:tc>
          <w:tcPr>
            <w:tcW w:w="1426" w:type="pct"/>
          </w:tcPr>
          <w:p w14:paraId="0036594D" w14:textId="35B0F671" w:rsidR="00C60EF9" w:rsidRDefault="00C60EF9" w:rsidP="00CF3B7F">
            <w:pPr>
              <w:rPr>
                <w:rFonts w:cs="Arial"/>
              </w:rPr>
            </w:pPr>
            <w:r>
              <w:rPr>
                <w:rFonts w:cs="Arial"/>
              </w:rPr>
              <w:t>Funding Agreement</w:t>
            </w:r>
          </w:p>
        </w:tc>
        <w:tc>
          <w:tcPr>
            <w:tcW w:w="3574" w:type="pct"/>
          </w:tcPr>
          <w:p w14:paraId="400C88EF" w14:textId="61F90414" w:rsidR="00C60EF9" w:rsidRDefault="00C60EF9" w:rsidP="00CF3B7F">
            <w:r>
              <w:t>The funding agreement for the Development made between the grant recipient and CAV</w:t>
            </w:r>
          </w:p>
        </w:tc>
      </w:tr>
      <w:tr w:rsidR="00A21B98" w14:paraId="41840DE0" w14:textId="77777777" w:rsidTr="00565D5A">
        <w:tc>
          <w:tcPr>
            <w:tcW w:w="1426" w:type="pct"/>
          </w:tcPr>
          <w:p w14:paraId="75EF4CF2" w14:textId="77777777" w:rsidR="00A21B98" w:rsidRDefault="00A21B98" w:rsidP="00CF3B7F">
            <w:pPr>
              <w:rPr>
                <w:rFonts w:cs="Arial"/>
              </w:rPr>
            </w:pPr>
            <w:r>
              <w:rPr>
                <w:rFonts w:cs="Arial"/>
              </w:rPr>
              <w:t>Government</w:t>
            </w:r>
          </w:p>
        </w:tc>
        <w:tc>
          <w:tcPr>
            <w:tcW w:w="3574" w:type="pct"/>
          </w:tcPr>
          <w:p w14:paraId="7867CF2E" w14:textId="77777777" w:rsidR="00A21B98" w:rsidRDefault="00A21B98" w:rsidP="00CF3B7F">
            <w:r>
              <w:t>Victorian State Government</w:t>
            </w:r>
          </w:p>
        </w:tc>
      </w:tr>
      <w:tr w:rsidR="007C5018" w14:paraId="32A2F1E5" w14:textId="77777777" w:rsidTr="00565D5A">
        <w:tc>
          <w:tcPr>
            <w:tcW w:w="1426" w:type="pct"/>
          </w:tcPr>
          <w:p w14:paraId="02150F17" w14:textId="77777777" w:rsidR="007C5018" w:rsidRDefault="007C5018" w:rsidP="00CF3B7F">
            <w:pPr>
              <w:rPr>
                <w:rFonts w:cs="Arial"/>
              </w:rPr>
            </w:pPr>
            <w:r>
              <w:rPr>
                <w:rFonts w:cs="Arial"/>
              </w:rPr>
              <w:t xml:space="preserve">Grant Application </w:t>
            </w:r>
          </w:p>
        </w:tc>
        <w:tc>
          <w:tcPr>
            <w:tcW w:w="3574" w:type="pct"/>
          </w:tcPr>
          <w:p w14:paraId="7CF0881E" w14:textId="260F408B" w:rsidR="007C5018" w:rsidRPr="00680424" w:rsidRDefault="007C5018" w:rsidP="00CF3B7F">
            <w:r>
              <w:t xml:space="preserve">A </w:t>
            </w:r>
            <w:r w:rsidR="009242A2">
              <w:t xml:space="preserve">formal </w:t>
            </w:r>
            <w:r w:rsidR="009F0FFA">
              <w:t xml:space="preserve">grant </w:t>
            </w:r>
            <w:r>
              <w:t xml:space="preserve">application to the Victorian Property Fund </w:t>
            </w:r>
            <w:r w:rsidR="00BA4609">
              <w:t>under S</w:t>
            </w:r>
            <w:r w:rsidR="009F0FFA">
              <w:t xml:space="preserve">ection </w:t>
            </w:r>
            <w:r w:rsidR="00BA4609">
              <w:t xml:space="preserve">76(3) of the </w:t>
            </w:r>
            <w:r w:rsidR="00BA4609" w:rsidRPr="00DE56C3">
              <w:rPr>
                <w:i/>
              </w:rPr>
              <w:t>Estate Agents Act 1980</w:t>
            </w:r>
          </w:p>
        </w:tc>
      </w:tr>
      <w:tr w:rsidR="0050162F" w14:paraId="2D837688" w14:textId="77777777" w:rsidTr="00565D5A">
        <w:tc>
          <w:tcPr>
            <w:tcW w:w="1426" w:type="pct"/>
          </w:tcPr>
          <w:p w14:paraId="7F6B299F" w14:textId="27670D55" w:rsidR="0050162F" w:rsidRDefault="0050162F" w:rsidP="00CF3B7F">
            <w:pPr>
              <w:rPr>
                <w:rFonts w:cs="Arial"/>
              </w:rPr>
            </w:pPr>
            <w:r>
              <w:rPr>
                <w:rFonts w:cs="Arial"/>
              </w:rPr>
              <w:t>Grant Recipient</w:t>
            </w:r>
          </w:p>
        </w:tc>
        <w:tc>
          <w:tcPr>
            <w:tcW w:w="3574" w:type="pct"/>
          </w:tcPr>
          <w:p w14:paraId="4D28B3B8" w14:textId="37774C1F" w:rsidR="0050162F" w:rsidRPr="00680424" w:rsidRDefault="0050162F" w:rsidP="00CF3B7F">
            <w:r>
              <w:t>A Proponent whose application for a grant is successful</w:t>
            </w:r>
          </w:p>
        </w:tc>
      </w:tr>
      <w:tr w:rsidR="00A21B98" w14:paraId="63B428BD" w14:textId="77777777" w:rsidTr="00565D5A">
        <w:tc>
          <w:tcPr>
            <w:tcW w:w="1426" w:type="pct"/>
          </w:tcPr>
          <w:p w14:paraId="3026A680" w14:textId="77777777" w:rsidR="00A21B98" w:rsidRDefault="00680424" w:rsidP="00CF3B7F">
            <w:pPr>
              <w:rPr>
                <w:rFonts w:cs="Arial"/>
              </w:rPr>
            </w:pPr>
            <w:r>
              <w:rPr>
                <w:rFonts w:cs="Arial"/>
              </w:rPr>
              <w:t>IEOI</w:t>
            </w:r>
          </w:p>
        </w:tc>
        <w:tc>
          <w:tcPr>
            <w:tcW w:w="3574" w:type="pct"/>
          </w:tcPr>
          <w:p w14:paraId="55CE3AD7" w14:textId="11F12503" w:rsidR="00A21B98" w:rsidRPr="00BA55B1" w:rsidRDefault="00680424" w:rsidP="00CF3B7F">
            <w:r w:rsidRPr="00680424">
              <w:t>Invita</w:t>
            </w:r>
            <w:r w:rsidR="007A79DF">
              <w:t>tion for Expression of Interest</w:t>
            </w:r>
          </w:p>
        </w:tc>
      </w:tr>
      <w:tr w:rsidR="00215862" w14:paraId="3FBD2453" w14:textId="77777777" w:rsidTr="00565D5A">
        <w:tc>
          <w:tcPr>
            <w:tcW w:w="1426" w:type="pct"/>
          </w:tcPr>
          <w:p w14:paraId="47C9A624" w14:textId="4D3BBFB3" w:rsidR="00215862" w:rsidRPr="00DE56C3" w:rsidRDefault="00215862" w:rsidP="00CF3B7F">
            <w:pPr>
              <w:rPr>
                <w:rFonts w:cs="Arial"/>
              </w:rPr>
            </w:pPr>
            <w:r w:rsidRPr="00DE56C3">
              <w:rPr>
                <w:rFonts w:cs="Arial"/>
              </w:rPr>
              <w:t>Land</w:t>
            </w:r>
          </w:p>
        </w:tc>
        <w:tc>
          <w:tcPr>
            <w:tcW w:w="3574" w:type="pct"/>
          </w:tcPr>
          <w:p w14:paraId="1DF79FE0" w14:textId="2953D111" w:rsidR="00215862" w:rsidRPr="00DE56C3" w:rsidRDefault="00215862" w:rsidP="00CF3B7F">
            <w:r w:rsidRPr="00DE56C3">
              <w:t>The land upon which the Development is situated</w:t>
            </w:r>
          </w:p>
        </w:tc>
      </w:tr>
      <w:tr w:rsidR="00467D1B" w14:paraId="780ADDBB" w14:textId="77777777" w:rsidTr="00565D5A">
        <w:tc>
          <w:tcPr>
            <w:tcW w:w="1426" w:type="pct"/>
          </w:tcPr>
          <w:p w14:paraId="6FF27F99" w14:textId="673C7313" w:rsidR="00467D1B" w:rsidRPr="00EE4ADD" w:rsidRDefault="00467D1B" w:rsidP="00CF3B7F">
            <w:pPr>
              <w:rPr>
                <w:rFonts w:cs="Arial"/>
              </w:rPr>
            </w:pPr>
            <w:r w:rsidRPr="00BF6AF5">
              <w:rPr>
                <w:rFonts w:cs="Arial"/>
              </w:rPr>
              <w:t xml:space="preserve">Long term </w:t>
            </w:r>
            <w:r w:rsidR="00C42EED" w:rsidRPr="00EE4ADD">
              <w:rPr>
                <w:rFonts w:cs="Arial"/>
              </w:rPr>
              <w:t>housing /accommodation</w:t>
            </w:r>
          </w:p>
        </w:tc>
        <w:tc>
          <w:tcPr>
            <w:tcW w:w="3574" w:type="pct"/>
          </w:tcPr>
          <w:p w14:paraId="45160000" w14:textId="06FE5D54" w:rsidR="00467D1B" w:rsidRPr="00BF6AF5" w:rsidRDefault="00A85906" w:rsidP="00CF3B7F">
            <w:r w:rsidRPr="00DE56C3">
              <w:t>Rental a</w:t>
            </w:r>
            <w:r w:rsidR="00467D1B" w:rsidRPr="00DE56C3">
              <w:t xml:space="preserve">ccommodation for </w:t>
            </w:r>
            <w:r w:rsidR="009C7A77" w:rsidRPr="00DE56C3">
              <w:t xml:space="preserve">a </w:t>
            </w:r>
            <w:r w:rsidR="00467D1B" w:rsidRPr="00DE56C3">
              <w:t>term</w:t>
            </w:r>
            <w:r w:rsidR="009E2FCB" w:rsidRPr="00DE56C3">
              <w:t xml:space="preserve"> </w:t>
            </w:r>
            <w:r w:rsidR="009C7A77" w:rsidRPr="00DE56C3">
              <w:t>of</w:t>
            </w:r>
            <w:r w:rsidR="00467D1B" w:rsidRPr="00DE56C3">
              <w:t xml:space="preserve"> </w:t>
            </w:r>
            <w:r w:rsidRPr="00DE56C3">
              <w:t>one year</w:t>
            </w:r>
            <w:r w:rsidR="009C7A77" w:rsidRPr="00DE56C3">
              <w:t xml:space="preserve"> or more, or for an indefinite term expected to exceed one year</w:t>
            </w:r>
            <w:r w:rsidRPr="00DE56C3">
              <w:t>.</w:t>
            </w:r>
          </w:p>
        </w:tc>
      </w:tr>
      <w:tr w:rsidR="00F71FDF" w14:paraId="04E8DB0D" w14:textId="77777777" w:rsidTr="00565D5A">
        <w:tc>
          <w:tcPr>
            <w:tcW w:w="1426" w:type="pct"/>
          </w:tcPr>
          <w:p w14:paraId="05E8303B" w14:textId="74283485" w:rsidR="00F71FDF" w:rsidRDefault="00F71FDF" w:rsidP="00CF3B7F">
            <w:pPr>
              <w:rPr>
                <w:rFonts w:cs="Arial"/>
              </w:rPr>
            </w:pPr>
            <w:r>
              <w:rPr>
                <w:rFonts w:cs="Arial"/>
              </w:rPr>
              <w:t>Minister</w:t>
            </w:r>
          </w:p>
        </w:tc>
        <w:tc>
          <w:tcPr>
            <w:tcW w:w="3574" w:type="pct"/>
          </w:tcPr>
          <w:p w14:paraId="378F0613" w14:textId="4573D85D" w:rsidR="00F71FDF" w:rsidRPr="00BA55B1" w:rsidRDefault="00F71FDF" w:rsidP="00CF3B7F">
            <w:r>
              <w:t>The Minister for Consumer Affairs</w:t>
            </w:r>
          </w:p>
        </w:tc>
      </w:tr>
      <w:tr w:rsidR="00320ED8" w14:paraId="4E351CF1" w14:textId="77777777" w:rsidTr="00565D5A">
        <w:tc>
          <w:tcPr>
            <w:tcW w:w="1426" w:type="pct"/>
          </w:tcPr>
          <w:p w14:paraId="0EACE236" w14:textId="1CDC8100" w:rsidR="00320ED8" w:rsidRDefault="00320ED8" w:rsidP="00CF3B7F">
            <w:pPr>
              <w:rPr>
                <w:rFonts w:cs="Arial"/>
              </w:rPr>
            </w:pPr>
            <w:r>
              <w:rPr>
                <w:rFonts w:cs="Arial"/>
              </w:rPr>
              <w:t>Non-RHA</w:t>
            </w:r>
          </w:p>
        </w:tc>
        <w:tc>
          <w:tcPr>
            <w:tcW w:w="3574" w:type="pct"/>
          </w:tcPr>
          <w:p w14:paraId="196EE432" w14:textId="0AF95A8B" w:rsidR="00320ED8" w:rsidRPr="00BA55B1" w:rsidRDefault="00F22765" w:rsidP="00CF3B7F">
            <w:r>
              <w:t xml:space="preserve">A </w:t>
            </w:r>
            <w:r w:rsidR="00C42EED">
              <w:t>C</w:t>
            </w:r>
            <w:r w:rsidR="005866C6">
              <w:t xml:space="preserve">ommunity </w:t>
            </w:r>
            <w:r w:rsidR="00C42EED">
              <w:t>H</w:t>
            </w:r>
            <w:r w:rsidR="005866C6">
              <w:t xml:space="preserve">ousing </w:t>
            </w:r>
            <w:r w:rsidR="00C42EED">
              <w:t>O</w:t>
            </w:r>
            <w:r w:rsidR="005866C6">
              <w:t>rganisation</w:t>
            </w:r>
            <w:r w:rsidR="00320ED8">
              <w:t xml:space="preserve"> </w:t>
            </w:r>
            <w:r w:rsidR="005866C6">
              <w:t>that is</w:t>
            </w:r>
            <w:r w:rsidR="00320ED8">
              <w:t xml:space="preserve"> not a Registered Housing Agency</w:t>
            </w:r>
          </w:p>
        </w:tc>
      </w:tr>
      <w:tr w:rsidR="00A21B98" w14:paraId="50510C4E" w14:textId="77777777" w:rsidTr="00565D5A">
        <w:tc>
          <w:tcPr>
            <w:tcW w:w="1426" w:type="pct"/>
          </w:tcPr>
          <w:p w14:paraId="118BC450" w14:textId="77777777" w:rsidR="00A21B98" w:rsidRDefault="00A21B98" w:rsidP="00CF3B7F">
            <w:pPr>
              <w:rPr>
                <w:rFonts w:cs="Arial"/>
              </w:rPr>
            </w:pPr>
            <w:r>
              <w:rPr>
                <w:rFonts w:cs="Arial"/>
              </w:rPr>
              <w:t>Office of Housing Registrar</w:t>
            </w:r>
          </w:p>
        </w:tc>
        <w:tc>
          <w:tcPr>
            <w:tcW w:w="3574" w:type="pct"/>
          </w:tcPr>
          <w:p w14:paraId="39F6E8E3" w14:textId="64FE0B64" w:rsidR="00A21B98" w:rsidRPr="00BA55B1" w:rsidRDefault="00A21B98" w:rsidP="00CF3B7F">
            <w:r w:rsidRPr="00BA55B1">
              <w:t>The Office of the Registrar of Housing Agencies</w:t>
            </w:r>
            <w:r w:rsidR="00D83397">
              <w:t xml:space="preserve">, established under Part VIII of the </w:t>
            </w:r>
            <w:r w:rsidR="00D83397" w:rsidRPr="00DE56C3">
              <w:rPr>
                <w:i/>
              </w:rPr>
              <w:t>Housing Act 1983</w:t>
            </w:r>
            <w:r w:rsidRPr="00BA55B1">
              <w:t xml:space="preserve"> </w:t>
            </w:r>
          </w:p>
        </w:tc>
      </w:tr>
      <w:tr w:rsidR="00A21B98" w14:paraId="7FCE72B2" w14:textId="77777777" w:rsidTr="00565D5A">
        <w:tc>
          <w:tcPr>
            <w:tcW w:w="1426" w:type="pct"/>
          </w:tcPr>
          <w:p w14:paraId="65774FB0" w14:textId="77777777" w:rsidR="00A21B98" w:rsidRDefault="00A21B98" w:rsidP="00CF3B7F">
            <w:pPr>
              <w:rPr>
                <w:rFonts w:cs="Arial"/>
              </w:rPr>
            </w:pPr>
            <w:r>
              <w:rPr>
                <w:rFonts w:cs="Arial"/>
              </w:rPr>
              <w:lastRenderedPageBreak/>
              <w:t>Program</w:t>
            </w:r>
          </w:p>
        </w:tc>
        <w:tc>
          <w:tcPr>
            <w:tcW w:w="3574" w:type="pct"/>
          </w:tcPr>
          <w:p w14:paraId="2D390701" w14:textId="0C2EC29B" w:rsidR="00A21B98" w:rsidRPr="00BA55B1" w:rsidRDefault="00A21B98" w:rsidP="00CF3B7F">
            <w:r w:rsidRPr="009242A2">
              <w:t xml:space="preserve">The </w:t>
            </w:r>
            <w:r w:rsidR="007C5018" w:rsidRPr="009242A2">
              <w:t>Victorian Property Fund Grants</w:t>
            </w:r>
            <w:r w:rsidRPr="009242A2">
              <w:t xml:space="preserve"> Program</w:t>
            </w:r>
            <w:r w:rsidR="007C5018" w:rsidRPr="009242A2">
              <w:t xml:space="preserve"> Housing Funding Round </w:t>
            </w:r>
            <w:r w:rsidR="00467D1B">
              <w:t>2018-19</w:t>
            </w:r>
          </w:p>
        </w:tc>
      </w:tr>
    </w:tbl>
    <w:tbl>
      <w:tblPr>
        <w:tblpPr w:leftFromText="180" w:rightFromText="180" w:vertAnchor="text" w:horzAnchor="margin" w:tblpY="327"/>
        <w:tblW w:w="538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546"/>
        <w:gridCol w:w="6380"/>
      </w:tblGrid>
      <w:tr w:rsidR="003842C7" w14:paraId="6FCE8570" w14:textId="77777777" w:rsidTr="003842C7">
        <w:tc>
          <w:tcPr>
            <w:tcW w:w="1426" w:type="pct"/>
          </w:tcPr>
          <w:p w14:paraId="219479C2" w14:textId="77777777" w:rsidR="003842C7" w:rsidRDefault="003842C7" w:rsidP="003842C7">
            <w:r>
              <w:t>Proponent</w:t>
            </w:r>
          </w:p>
        </w:tc>
        <w:tc>
          <w:tcPr>
            <w:tcW w:w="3574" w:type="pct"/>
          </w:tcPr>
          <w:p w14:paraId="580FC391" w14:textId="77777777" w:rsidR="003842C7" w:rsidRDefault="003842C7" w:rsidP="003842C7">
            <w:r>
              <w:t>A Respondent with a shortlisted proposal who is invited to participate in the Grant Application stage</w:t>
            </w:r>
          </w:p>
        </w:tc>
      </w:tr>
      <w:tr w:rsidR="003842C7" w14:paraId="0C24DB57" w14:textId="77777777" w:rsidTr="003842C7">
        <w:tc>
          <w:tcPr>
            <w:tcW w:w="1426" w:type="pct"/>
          </w:tcPr>
          <w:p w14:paraId="60E20BE0" w14:textId="77777777" w:rsidR="003842C7" w:rsidRDefault="003842C7" w:rsidP="003842C7">
            <w:pPr>
              <w:rPr>
                <w:highlight w:val="yellow"/>
              </w:rPr>
            </w:pPr>
            <w:r>
              <w:t>Registrar</w:t>
            </w:r>
          </w:p>
        </w:tc>
        <w:tc>
          <w:tcPr>
            <w:tcW w:w="3574" w:type="pct"/>
          </w:tcPr>
          <w:p w14:paraId="5AEE89AF" w14:textId="77777777" w:rsidR="003842C7" w:rsidRPr="00BA55B1" w:rsidRDefault="003842C7" w:rsidP="003842C7">
            <w:r w:rsidRPr="00BA55B1">
              <w:t xml:space="preserve">The Registrar of Housing Agencies appointed under the </w:t>
            </w:r>
            <w:r w:rsidRPr="00DE56C3">
              <w:rPr>
                <w:i/>
              </w:rPr>
              <w:t>Housing Act 1983</w:t>
            </w:r>
          </w:p>
        </w:tc>
      </w:tr>
      <w:tr w:rsidR="003842C7" w14:paraId="33F67D94" w14:textId="77777777" w:rsidTr="003842C7">
        <w:tc>
          <w:tcPr>
            <w:tcW w:w="1426" w:type="pct"/>
          </w:tcPr>
          <w:p w14:paraId="7CFF4722" w14:textId="77777777" w:rsidR="003842C7" w:rsidRDefault="003842C7" w:rsidP="003842C7">
            <w:r>
              <w:t>Registered Housing Agency (RHA)</w:t>
            </w:r>
          </w:p>
        </w:tc>
        <w:tc>
          <w:tcPr>
            <w:tcW w:w="3574" w:type="pct"/>
          </w:tcPr>
          <w:p w14:paraId="6858DBD6" w14:textId="77777777" w:rsidR="003842C7" w:rsidRPr="00BA55B1" w:rsidRDefault="003842C7" w:rsidP="003842C7">
            <w:r w:rsidRPr="00BA55B1">
              <w:t xml:space="preserve">A Registered Housing Association or a Registered Housing Provider, registered with the </w:t>
            </w:r>
            <w:r>
              <w:t>Office of Housing Registrar</w:t>
            </w:r>
          </w:p>
        </w:tc>
      </w:tr>
      <w:tr w:rsidR="003842C7" w14:paraId="727D909E" w14:textId="77777777" w:rsidTr="003842C7">
        <w:tc>
          <w:tcPr>
            <w:tcW w:w="1426" w:type="pct"/>
          </w:tcPr>
          <w:p w14:paraId="123C72A1" w14:textId="77777777" w:rsidR="003842C7" w:rsidRDefault="003842C7" w:rsidP="003842C7">
            <w:r>
              <w:t>Respondent</w:t>
            </w:r>
          </w:p>
        </w:tc>
        <w:tc>
          <w:tcPr>
            <w:tcW w:w="3574" w:type="pct"/>
          </w:tcPr>
          <w:p w14:paraId="3406587D" w14:textId="1B1348F6" w:rsidR="003842C7" w:rsidRPr="00BA55B1" w:rsidRDefault="003842C7" w:rsidP="003842C7">
            <w:r>
              <w:t xml:space="preserve">An eligible </w:t>
            </w:r>
            <w:r w:rsidR="00C42EED">
              <w:t>Community Housing Organisation</w:t>
            </w:r>
            <w:r>
              <w:t xml:space="preserve"> participating in this EOI process</w:t>
            </w:r>
          </w:p>
        </w:tc>
      </w:tr>
      <w:tr w:rsidR="003842C7" w14:paraId="2927F6D9" w14:textId="77777777" w:rsidTr="003842C7">
        <w:tc>
          <w:tcPr>
            <w:tcW w:w="1426" w:type="pct"/>
          </w:tcPr>
          <w:p w14:paraId="5621FC1A" w14:textId="77777777" w:rsidR="003842C7" w:rsidRDefault="003842C7" w:rsidP="003842C7">
            <w:r>
              <w:t>Returnable Schedules</w:t>
            </w:r>
          </w:p>
        </w:tc>
        <w:tc>
          <w:tcPr>
            <w:tcW w:w="3574" w:type="pct"/>
          </w:tcPr>
          <w:p w14:paraId="70D15147" w14:textId="4DE2BD43" w:rsidR="003842C7" w:rsidRDefault="003842C7" w:rsidP="003842C7">
            <w:r w:rsidRPr="00BF6AF5">
              <w:t xml:space="preserve">Schedules 1 to </w:t>
            </w:r>
            <w:r w:rsidR="00AB4EEC" w:rsidRPr="00DE56C3">
              <w:t>7</w:t>
            </w:r>
            <w:r>
              <w:t xml:space="preserve"> to be completed and returned as part of the Respondent’s response to the IEOI</w:t>
            </w:r>
          </w:p>
        </w:tc>
      </w:tr>
      <w:tr w:rsidR="003842C7" w14:paraId="44ED45BF" w14:textId="77777777" w:rsidTr="003842C7">
        <w:tc>
          <w:tcPr>
            <w:tcW w:w="1426" w:type="pct"/>
          </w:tcPr>
          <w:p w14:paraId="7D35A597" w14:textId="77777777" w:rsidR="003842C7" w:rsidRDefault="003842C7" w:rsidP="003842C7">
            <w:r>
              <w:t>VCFA</w:t>
            </w:r>
          </w:p>
        </w:tc>
        <w:tc>
          <w:tcPr>
            <w:tcW w:w="3574" w:type="pct"/>
          </w:tcPr>
          <w:p w14:paraId="0E1E8BFE" w14:textId="77777777" w:rsidR="003842C7" w:rsidDel="00020066" w:rsidRDefault="003842C7" w:rsidP="003842C7">
            <w:r>
              <w:t>Victorian Common Funding Agreement</w:t>
            </w:r>
          </w:p>
        </w:tc>
      </w:tr>
      <w:tr w:rsidR="003842C7" w14:paraId="13221177" w14:textId="77777777" w:rsidTr="003842C7">
        <w:tc>
          <w:tcPr>
            <w:tcW w:w="1426" w:type="pct"/>
          </w:tcPr>
          <w:p w14:paraId="5D998C3F" w14:textId="77777777" w:rsidR="003842C7" w:rsidRDefault="003842C7" w:rsidP="003842C7">
            <w:r>
              <w:t>VPF</w:t>
            </w:r>
          </w:p>
        </w:tc>
        <w:tc>
          <w:tcPr>
            <w:tcW w:w="3574" w:type="pct"/>
          </w:tcPr>
          <w:p w14:paraId="66A64140" w14:textId="77777777" w:rsidR="003842C7" w:rsidRDefault="003842C7" w:rsidP="003842C7">
            <w:r>
              <w:t xml:space="preserve">Victorian Property Fund </w:t>
            </w:r>
          </w:p>
        </w:tc>
      </w:tr>
    </w:tbl>
    <w:p w14:paraId="46A7FC64" w14:textId="53F658C5" w:rsidR="00812BAE" w:rsidRPr="006B29C1" w:rsidRDefault="00812BAE" w:rsidP="006B29C1">
      <w:pPr>
        <w:pStyle w:val="Heading1"/>
      </w:pPr>
      <w:bookmarkStart w:id="2" w:name="_Toc523845036"/>
      <w:r w:rsidRPr="006B29C1">
        <w:lastRenderedPageBreak/>
        <w:t>Introduction</w:t>
      </w:r>
      <w:bookmarkEnd w:id="2"/>
    </w:p>
    <w:p w14:paraId="358A5C8C" w14:textId="64875BA2" w:rsidR="00812BAE" w:rsidRPr="006B29C1" w:rsidRDefault="00812BAE" w:rsidP="006B29C1">
      <w:pPr>
        <w:pStyle w:val="Heading2"/>
      </w:pPr>
      <w:bookmarkStart w:id="3" w:name="_Toc523845037"/>
      <w:r w:rsidRPr="006B29C1">
        <w:t>Invitation</w:t>
      </w:r>
      <w:r w:rsidR="00B72AE5" w:rsidRPr="006B29C1">
        <w:t xml:space="preserve"> for Expressions of Interest</w:t>
      </w:r>
      <w:bookmarkEnd w:id="3"/>
    </w:p>
    <w:p w14:paraId="180D46FF" w14:textId="42830D30" w:rsidR="00812BAE" w:rsidRDefault="00341644" w:rsidP="00812BAE">
      <w:r>
        <w:t>Consumer Affairs Victoria (CAV)</w:t>
      </w:r>
      <w:r w:rsidR="00A21B98">
        <w:t xml:space="preserve"> invites </w:t>
      </w:r>
      <w:r w:rsidR="00812BAE">
        <w:t xml:space="preserve">Expressions of Interest from </w:t>
      </w:r>
      <w:r w:rsidR="00C42EED">
        <w:t>C</w:t>
      </w:r>
      <w:r w:rsidR="00467D1B">
        <w:t xml:space="preserve">ommunity </w:t>
      </w:r>
      <w:r w:rsidR="00C42EED">
        <w:t>H</w:t>
      </w:r>
      <w:r w:rsidR="00467D1B">
        <w:t xml:space="preserve">ousing </w:t>
      </w:r>
      <w:r w:rsidR="00C42EED">
        <w:t>O</w:t>
      </w:r>
      <w:r w:rsidR="00467D1B">
        <w:t>rganisations</w:t>
      </w:r>
      <w:r w:rsidR="0051609C">
        <w:t xml:space="preserve"> </w:t>
      </w:r>
      <w:r w:rsidR="00FB5C10">
        <w:t xml:space="preserve">(CHOs) </w:t>
      </w:r>
      <w:r w:rsidR="0051609C">
        <w:t xml:space="preserve">for funding assistance for </w:t>
      </w:r>
      <w:r w:rsidR="004F7B67">
        <w:t xml:space="preserve">housing </w:t>
      </w:r>
      <w:r w:rsidR="00A76495">
        <w:t xml:space="preserve">development </w:t>
      </w:r>
      <w:r w:rsidR="0051609C">
        <w:t>projects</w:t>
      </w:r>
      <w:r>
        <w:t xml:space="preserve"> </w:t>
      </w:r>
      <w:r w:rsidR="000F7A42">
        <w:t>that will</w:t>
      </w:r>
      <w:r>
        <w:t xml:space="preserve"> </w:t>
      </w:r>
      <w:r w:rsidR="000F4166">
        <w:t>increase the supply of</w:t>
      </w:r>
      <w:r w:rsidR="00812BAE">
        <w:t xml:space="preserve"> </w:t>
      </w:r>
      <w:r w:rsidR="00B67EA5">
        <w:t xml:space="preserve">environmentally sustainable community </w:t>
      </w:r>
      <w:r w:rsidR="00812BAE">
        <w:t xml:space="preserve">housing </w:t>
      </w:r>
      <w:r>
        <w:t>for low income and disadvantaged Victorians</w:t>
      </w:r>
      <w:r w:rsidR="0051609C">
        <w:t>.</w:t>
      </w:r>
    </w:p>
    <w:p w14:paraId="74A83F3B" w14:textId="1FC2524E" w:rsidR="00812BAE" w:rsidRDefault="00812BAE" w:rsidP="00812BAE">
      <w:r>
        <w:t xml:space="preserve">This </w:t>
      </w:r>
      <w:r w:rsidR="00565D5A">
        <w:t xml:space="preserve">Invitation for Expression of Interest (IEOI) </w:t>
      </w:r>
      <w:r w:rsidR="00A17EDD">
        <w:t xml:space="preserve">comprises this </w:t>
      </w:r>
      <w:r>
        <w:t>document</w:t>
      </w:r>
      <w:r w:rsidR="00A17EDD">
        <w:t xml:space="preserve">, the Conditions for Participation, and </w:t>
      </w:r>
      <w:r w:rsidR="00796957">
        <w:t>the Response and Certification form</w:t>
      </w:r>
      <w:r w:rsidR="00A17EDD">
        <w:t>. All these documents provide</w:t>
      </w:r>
      <w:r>
        <w:t xml:space="preserve"> guidance to Respondents and should be read in full before deciding whether to respond</w:t>
      </w:r>
      <w:r w:rsidR="00565D5A">
        <w:t>.</w:t>
      </w:r>
      <w:r w:rsidR="00A17EDD">
        <w:t xml:space="preserve"> </w:t>
      </w:r>
    </w:p>
    <w:p w14:paraId="58952BC3" w14:textId="394BB2D6" w:rsidR="004C5CEA" w:rsidRDefault="004C5CEA" w:rsidP="004C5CEA">
      <w:pPr>
        <w:spacing w:before="0"/>
      </w:pPr>
      <w:r>
        <w:t xml:space="preserve">Following the </w:t>
      </w:r>
      <w:r w:rsidR="00A53DF2">
        <w:t>Expression of Interest (EOI)</w:t>
      </w:r>
      <w:r>
        <w:t xml:space="preserve"> process, CAV </w:t>
      </w:r>
      <w:r w:rsidR="00A17EDD">
        <w:t>intends to</w:t>
      </w:r>
      <w:r>
        <w:t xml:space="preserve"> shortlist favoured </w:t>
      </w:r>
      <w:r w:rsidR="00A53DF2">
        <w:t>proposals</w:t>
      </w:r>
      <w:r>
        <w:t xml:space="preserve"> and</w:t>
      </w:r>
      <w:r w:rsidR="00360209">
        <w:t xml:space="preserve"> may</w:t>
      </w:r>
      <w:r>
        <w:t xml:space="preserve"> invite formal grant applications to the Victorian Property Fund (VPF).</w:t>
      </w:r>
    </w:p>
    <w:p w14:paraId="7CD4D0D4" w14:textId="16DA0190" w:rsidR="00812BAE" w:rsidRPr="006B29C1" w:rsidRDefault="00812BAE" w:rsidP="006B29C1">
      <w:pPr>
        <w:pStyle w:val="Heading2"/>
      </w:pPr>
      <w:bookmarkStart w:id="4" w:name="_Toc523845038"/>
      <w:r w:rsidRPr="006B29C1">
        <w:t>Background</w:t>
      </w:r>
      <w:bookmarkEnd w:id="4"/>
    </w:p>
    <w:p w14:paraId="272D5664" w14:textId="3E4BE0B5" w:rsidR="00B653A5" w:rsidRDefault="001A13DD" w:rsidP="00855A86">
      <w:pPr>
        <w:spacing w:before="0"/>
      </w:pPr>
      <w:r>
        <w:t xml:space="preserve">Under </w:t>
      </w:r>
      <w:r w:rsidR="00855A86">
        <w:t xml:space="preserve">Section 76(3)(g) of the </w:t>
      </w:r>
      <w:r w:rsidR="00855A86" w:rsidRPr="00374F98">
        <w:rPr>
          <w:i/>
        </w:rPr>
        <w:t>Estate Agents Act 1980</w:t>
      </w:r>
      <w:r w:rsidR="00855A86">
        <w:t xml:space="preserve"> (the Act) the Minister for Consumer Affairs (the Minister) </w:t>
      </w:r>
      <w:r>
        <w:t>may approve</w:t>
      </w:r>
      <w:r w:rsidR="00855A86">
        <w:t xml:space="preserve"> grants from the VPF for “projects providing or facilitating housing assistance for low income or disadvanta</w:t>
      </w:r>
      <w:r>
        <w:t>ged Victorians”</w:t>
      </w:r>
      <w:r w:rsidRPr="00D5389E">
        <w:t>.</w:t>
      </w:r>
      <w:r w:rsidR="00C42EED">
        <w:t xml:space="preserve"> </w:t>
      </w:r>
      <w:r w:rsidR="00B653A5">
        <w:t>Under Section 76(3)(h)(</w:t>
      </w:r>
      <w:proofErr w:type="spellStart"/>
      <w:r w:rsidR="00B653A5">
        <w:t>i</w:t>
      </w:r>
      <w:proofErr w:type="spellEnd"/>
      <w:r w:rsidR="00B653A5">
        <w:t>) of the Act, the Minister may also award VPF grant funding for “projects regarding the development of environmentally sustainable housing.”</w:t>
      </w:r>
    </w:p>
    <w:p w14:paraId="0D7260AB" w14:textId="38F98499" w:rsidR="00C42EED" w:rsidRDefault="00C42EED" w:rsidP="00855A86">
      <w:pPr>
        <w:spacing w:before="0"/>
      </w:pPr>
      <w:r>
        <w:t>The Minister makes her</w:t>
      </w:r>
      <w:r w:rsidR="00FB5C10">
        <w:t xml:space="preserve"> or his</w:t>
      </w:r>
      <w:r>
        <w:t xml:space="preserve"> decision</w:t>
      </w:r>
      <w:r w:rsidR="007031D0">
        <w:t xml:space="preserve"> on grant applications</w:t>
      </w:r>
      <w:r>
        <w:t xml:space="preserve"> after consulting with CAV, the Estate Agents Council (EAC</w:t>
      </w:r>
      <w:r w:rsidRPr="00D5389E">
        <w:t>)</w:t>
      </w:r>
      <w:r>
        <w:t>,</w:t>
      </w:r>
      <w:r w:rsidRPr="00D5389E">
        <w:t xml:space="preserve"> and any industry </w:t>
      </w:r>
      <w:r w:rsidRPr="00590B5E">
        <w:t>associations, government departments and other bodies</w:t>
      </w:r>
      <w:r w:rsidRPr="00D5389E">
        <w:t xml:space="preserve"> considered appropriate</w:t>
      </w:r>
      <w:r>
        <w:t>.</w:t>
      </w:r>
    </w:p>
    <w:p w14:paraId="2D54CB4A" w14:textId="0DE43C34" w:rsidR="00855A86" w:rsidRDefault="00855A86" w:rsidP="00855A86">
      <w:pPr>
        <w:spacing w:before="0"/>
      </w:pPr>
      <w:r>
        <w:t xml:space="preserve">CAV is responsible for administering the VPF grants program, which includes evaluating </w:t>
      </w:r>
      <w:r w:rsidR="001A13DD">
        <w:t xml:space="preserve">grant </w:t>
      </w:r>
      <w:r>
        <w:t xml:space="preserve">applications, making recommendations regarding proposals to the Minister, and administering the grants awarded. </w:t>
      </w:r>
    </w:p>
    <w:p w14:paraId="6C801C55" w14:textId="5CD9AE13" w:rsidR="00855A86" w:rsidRDefault="00855A86" w:rsidP="001B504E">
      <w:pPr>
        <w:spacing w:before="0"/>
      </w:pPr>
      <w:r>
        <w:t xml:space="preserve">For </w:t>
      </w:r>
      <w:r w:rsidR="00D71FE1">
        <w:t>general</w:t>
      </w:r>
      <w:r>
        <w:t xml:space="preserve"> information on the VPF grants program, see the Consumer Affairs Victoria website </w:t>
      </w:r>
      <w:hyperlink r:id="rId9" w:history="1">
        <w:r w:rsidRPr="00165A8B">
          <w:rPr>
            <w:rStyle w:val="Hyperlink"/>
          </w:rPr>
          <w:t>www.consumer.vic.gov.au/grants</w:t>
        </w:r>
      </w:hyperlink>
    </w:p>
    <w:p w14:paraId="0B5C42F0" w14:textId="32E0934F" w:rsidR="00812BAE" w:rsidRPr="006B29C1" w:rsidRDefault="00812BAE" w:rsidP="006B29C1">
      <w:pPr>
        <w:pStyle w:val="Heading3"/>
      </w:pPr>
      <w:r w:rsidRPr="006B29C1">
        <w:t>Purpose</w:t>
      </w:r>
      <w:r w:rsidR="00855A86" w:rsidRPr="006B29C1">
        <w:t xml:space="preserve"> of Program</w:t>
      </w:r>
    </w:p>
    <w:p w14:paraId="6D80B6A5" w14:textId="6B633B4C" w:rsidR="008F046B" w:rsidRDefault="00680424" w:rsidP="00680424">
      <w:r>
        <w:t xml:space="preserve">The </w:t>
      </w:r>
      <w:r w:rsidR="00285012">
        <w:t xml:space="preserve">VPF Housing Funding Round </w:t>
      </w:r>
      <w:r w:rsidR="00467D1B">
        <w:t>2018-19</w:t>
      </w:r>
      <w:r w:rsidR="00285012">
        <w:t xml:space="preserve"> (the Program) </w:t>
      </w:r>
      <w:r w:rsidR="00D57172">
        <w:t>will</w:t>
      </w:r>
      <w:r w:rsidR="00285012">
        <w:t xml:space="preserve"> fund projects to </w:t>
      </w:r>
      <w:r w:rsidR="00ED1AFE">
        <w:t>increase</w:t>
      </w:r>
      <w:r w:rsidR="00285012">
        <w:t xml:space="preserve"> the supply of </w:t>
      </w:r>
      <w:r w:rsidR="007B68F7">
        <w:t xml:space="preserve">environmentally sustainable </w:t>
      </w:r>
      <w:r w:rsidR="00AC2661">
        <w:t>community</w:t>
      </w:r>
      <w:r w:rsidR="007B68F7">
        <w:t xml:space="preserve"> housing</w:t>
      </w:r>
      <w:r w:rsidR="00285012">
        <w:t xml:space="preserve"> </w:t>
      </w:r>
      <w:r w:rsidR="00360209">
        <w:t xml:space="preserve">owned and </w:t>
      </w:r>
      <w:r w:rsidR="00B72EE9">
        <w:t xml:space="preserve">managed by </w:t>
      </w:r>
      <w:r w:rsidR="00FB5C10">
        <w:t>CHOs</w:t>
      </w:r>
      <w:r w:rsidR="00395B98">
        <w:t xml:space="preserve"> </w:t>
      </w:r>
      <w:r w:rsidR="00C838E2">
        <w:t xml:space="preserve">and used </w:t>
      </w:r>
      <w:r w:rsidR="00ED1AFE">
        <w:t xml:space="preserve">to </w:t>
      </w:r>
      <w:r w:rsidR="00B653A5">
        <w:t xml:space="preserve">provide long-term </w:t>
      </w:r>
      <w:r w:rsidR="00ED1AFE">
        <w:t>accommodat</w:t>
      </w:r>
      <w:r w:rsidR="00B653A5">
        <w:t>ion for</w:t>
      </w:r>
      <w:r w:rsidR="00ED1AFE">
        <w:t xml:space="preserve"> </w:t>
      </w:r>
      <w:r w:rsidR="00285012">
        <w:t>low income and disadvantaged Victorians.</w:t>
      </w:r>
      <w:r w:rsidR="00AD09FF">
        <w:t xml:space="preserve"> </w:t>
      </w:r>
    </w:p>
    <w:p w14:paraId="7DEBC063" w14:textId="58E6B1FE" w:rsidR="002B573C" w:rsidRDefault="008F046B" w:rsidP="00680424">
      <w:r>
        <w:t xml:space="preserve">The Program </w:t>
      </w:r>
      <w:r w:rsidR="00D57172">
        <w:t xml:space="preserve">aims to </w:t>
      </w:r>
      <w:r w:rsidR="002B573C">
        <w:t xml:space="preserve">support </w:t>
      </w:r>
      <w:r w:rsidR="00FB5C10">
        <w:t>CHOs</w:t>
      </w:r>
      <w:r w:rsidR="00395B98">
        <w:t xml:space="preserve"> </w:t>
      </w:r>
      <w:r w:rsidR="00885759">
        <w:t xml:space="preserve">deliver on </w:t>
      </w:r>
      <w:r w:rsidR="002B573C">
        <w:t>attractive development</w:t>
      </w:r>
      <w:r w:rsidR="00ED1AFE">
        <w:t xml:space="preserve"> </w:t>
      </w:r>
      <w:r w:rsidR="00D5389E">
        <w:t xml:space="preserve">or redevelopment </w:t>
      </w:r>
      <w:r w:rsidR="002B573C">
        <w:t xml:space="preserve">opportunities </w:t>
      </w:r>
      <w:r w:rsidR="00D57172">
        <w:t xml:space="preserve">with </w:t>
      </w:r>
      <w:r w:rsidR="00C87629">
        <w:t xml:space="preserve">a </w:t>
      </w:r>
      <w:r w:rsidR="002B573C">
        <w:t>VPF grant</w:t>
      </w:r>
      <w:r w:rsidR="00C87629">
        <w:t xml:space="preserve"> awarded </w:t>
      </w:r>
      <w:r w:rsidR="002B573C">
        <w:t xml:space="preserve">by the Minister. </w:t>
      </w:r>
    </w:p>
    <w:p w14:paraId="6780627A" w14:textId="622B0370" w:rsidR="00697C51" w:rsidRDefault="00812BAE" w:rsidP="00812BAE">
      <w:r>
        <w:t>Th</w:t>
      </w:r>
      <w:r w:rsidR="00C87629">
        <w:t>is</w:t>
      </w:r>
      <w:r>
        <w:t xml:space="preserve"> </w:t>
      </w:r>
      <w:r w:rsidR="00ED1AFE">
        <w:t>I</w:t>
      </w:r>
      <w:r>
        <w:t>E</w:t>
      </w:r>
      <w:r w:rsidR="007F196E">
        <w:t>O</w:t>
      </w:r>
      <w:r>
        <w:t xml:space="preserve">I is an opportunity for </w:t>
      </w:r>
      <w:r w:rsidR="00C87629">
        <w:t>eligible applicants</w:t>
      </w:r>
      <w:r w:rsidR="00F513C7">
        <w:t xml:space="preserve"> (Respondents)</w:t>
      </w:r>
      <w:r>
        <w:t xml:space="preserve"> to submit responses outlining their credentials</w:t>
      </w:r>
      <w:r w:rsidR="00587C28">
        <w:t xml:space="preserve"> and </w:t>
      </w:r>
      <w:r w:rsidR="00885759">
        <w:t>proposal</w:t>
      </w:r>
      <w:r w:rsidR="00C87629">
        <w:t>s</w:t>
      </w:r>
      <w:r w:rsidR="00885759">
        <w:t xml:space="preserve"> for</w:t>
      </w:r>
      <w:r w:rsidR="00587C28">
        <w:t xml:space="preserve"> </w:t>
      </w:r>
      <w:r w:rsidR="00C87629">
        <w:t xml:space="preserve">development </w:t>
      </w:r>
      <w:r w:rsidR="00587C28">
        <w:t>projects</w:t>
      </w:r>
      <w:r w:rsidR="006A789A">
        <w:t xml:space="preserve"> (Responses)</w:t>
      </w:r>
      <w:r w:rsidR="00883196">
        <w:t xml:space="preserve">. </w:t>
      </w:r>
      <w:r w:rsidR="00D50D14">
        <w:t>At CAV’s sole discretion, s</w:t>
      </w:r>
      <w:r w:rsidR="00883196">
        <w:t xml:space="preserve">hortlisted Respondents (Proponents) </w:t>
      </w:r>
      <w:r w:rsidR="00D50D14">
        <w:t>may</w:t>
      </w:r>
      <w:r w:rsidR="00883196">
        <w:t xml:space="preserve"> be invited to </w:t>
      </w:r>
      <w:r w:rsidR="00885759">
        <w:t>formal</w:t>
      </w:r>
      <w:r w:rsidR="00C87629">
        <w:t xml:space="preserve">ly </w:t>
      </w:r>
      <w:r w:rsidR="00F07DE8">
        <w:t>lodge</w:t>
      </w:r>
      <w:r w:rsidR="00C87629">
        <w:t xml:space="preserve"> a</w:t>
      </w:r>
      <w:r w:rsidR="00885759">
        <w:t xml:space="preserve"> VPF </w:t>
      </w:r>
      <w:r w:rsidR="00587C28">
        <w:t>Grant Application</w:t>
      </w:r>
      <w:r w:rsidR="00F07DE8">
        <w:t xml:space="preserve"> for consideration by the Minister</w:t>
      </w:r>
      <w:r w:rsidR="00ED1AFE">
        <w:t>.</w:t>
      </w:r>
    </w:p>
    <w:p w14:paraId="743B24A2" w14:textId="25473FF5" w:rsidR="00D71FE1" w:rsidRDefault="00527BF8" w:rsidP="00812BAE">
      <w:r>
        <w:t xml:space="preserve">To be </w:t>
      </w:r>
      <w:r w:rsidR="00C87629">
        <w:t>successfully shortlisted</w:t>
      </w:r>
      <w:r>
        <w:t>,</w:t>
      </w:r>
      <w:r w:rsidR="00883196">
        <w:t xml:space="preserve"> </w:t>
      </w:r>
      <w:r w:rsidR="001E5D93">
        <w:t>Respondents</w:t>
      </w:r>
      <w:r w:rsidR="00812BAE">
        <w:t xml:space="preserve"> will </w:t>
      </w:r>
      <w:r>
        <w:t>need</w:t>
      </w:r>
      <w:r w:rsidR="00812BAE">
        <w:t xml:space="preserve"> to </w:t>
      </w:r>
      <w:r w:rsidR="00D50D14">
        <w:t xml:space="preserve">offer a </w:t>
      </w:r>
      <w:r w:rsidR="004E7E71">
        <w:t xml:space="preserve">compliant, </w:t>
      </w:r>
      <w:r w:rsidR="00D50D14">
        <w:t xml:space="preserve">competitive, value-for-money proposal </w:t>
      </w:r>
      <w:r w:rsidR="00AD09FF">
        <w:t>and</w:t>
      </w:r>
      <w:r w:rsidR="00D50D14">
        <w:t xml:space="preserve"> </w:t>
      </w:r>
      <w:r w:rsidR="005A5756">
        <w:t>demonstrate</w:t>
      </w:r>
      <w:r w:rsidR="00812BAE">
        <w:t xml:space="preserve"> their </w:t>
      </w:r>
      <w:r w:rsidR="006A789A">
        <w:t xml:space="preserve">experience and </w:t>
      </w:r>
      <w:r w:rsidR="00812BAE">
        <w:t xml:space="preserve">capacity to deliver </w:t>
      </w:r>
      <w:r w:rsidR="005A5756">
        <w:t>the Development</w:t>
      </w:r>
      <w:r w:rsidR="00AD09FF">
        <w:t xml:space="preserve"> within the required timeframe (i.e. by</w:t>
      </w:r>
      <w:r w:rsidR="00D71FE1">
        <w:t xml:space="preserve"> no later than</w:t>
      </w:r>
      <w:r w:rsidR="00AD09FF">
        <w:t xml:space="preserve"> June 20</w:t>
      </w:r>
      <w:r w:rsidR="00C838E2">
        <w:t>2</w:t>
      </w:r>
      <w:r w:rsidR="00395B98">
        <w:t>1</w:t>
      </w:r>
      <w:r w:rsidR="00AD09FF">
        <w:t>)</w:t>
      </w:r>
      <w:r w:rsidR="00812BAE">
        <w:t xml:space="preserve">. </w:t>
      </w:r>
    </w:p>
    <w:p w14:paraId="20AB023B" w14:textId="47EA9CA0" w:rsidR="00812BAE" w:rsidRPr="004E4218" w:rsidRDefault="000142D2" w:rsidP="00A860F6">
      <w:pPr>
        <w:spacing w:before="0" w:after="200"/>
        <w:rPr>
          <w:highlight w:val="yellow"/>
        </w:rPr>
      </w:pPr>
      <w:proofErr w:type="gramStart"/>
      <w:r>
        <w:t xml:space="preserve">In particular, </w:t>
      </w:r>
      <w:r w:rsidR="005A5756">
        <w:t>Respondents</w:t>
      </w:r>
      <w:proofErr w:type="gramEnd"/>
      <w:r w:rsidR="005A5756">
        <w:t xml:space="preserve"> will need to establish</w:t>
      </w:r>
      <w:r w:rsidR="00812BAE" w:rsidRPr="00AF480C">
        <w:t>:</w:t>
      </w:r>
    </w:p>
    <w:p w14:paraId="56932F4E" w14:textId="77777777" w:rsidR="000234B7" w:rsidRPr="008B165E" w:rsidRDefault="000234B7" w:rsidP="000234B7">
      <w:pPr>
        <w:pStyle w:val="ListBullet"/>
      </w:pPr>
      <w:r w:rsidRPr="008B165E">
        <w:t xml:space="preserve">Financial stability and capacity. </w:t>
      </w:r>
    </w:p>
    <w:p w14:paraId="678AA365" w14:textId="75AF3873" w:rsidR="000234B7" w:rsidRPr="008B165E" w:rsidRDefault="000234B7" w:rsidP="000234B7">
      <w:pPr>
        <w:pStyle w:val="ListBullet"/>
      </w:pPr>
      <w:r w:rsidRPr="008B165E">
        <w:t xml:space="preserve">Significant experience in developing and managing long-term </w:t>
      </w:r>
      <w:r w:rsidR="00A328C0">
        <w:t>affordable community</w:t>
      </w:r>
      <w:r w:rsidRPr="008B165E">
        <w:t xml:space="preserve"> housing for low income or disadvantaged persons.</w:t>
      </w:r>
    </w:p>
    <w:p w14:paraId="4CAB39C0" w14:textId="77777777" w:rsidR="000234B7" w:rsidRPr="008B165E" w:rsidRDefault="000234B7" w:rsidP="000234B7">
      <w:pPr>
        <w:pStyle w:val="ListBullet"/>
      </w:pPr>
      <w:r w:rsidRPr="008B165E">
        <w:t>Capacity to manage and maintain the housing resulting from the Development on an ongoing basis without further Government assistance.</w:t>
      </w:r>
    </w:p>
    <w:p w14:paraId="5FD34F58" w14:textId="77777777" w:rsidR="000234B7" w:rsidRPr="008B165E" w:rsidRDefault="000234B7" w:rsidP="000234B7">
      <w:pPr>
        <w:pStyle w:val="ListBullet"/>
      </w:pPr>
      <w:r w:rsidRPr="008B165E">
        <w:t xml:space="preserve">Ability to leverage the VPF’s financial contribution and deliver competitive quantitative and qualitative value-for-money benefits. </w:t>
      </w:r>
    </w:p>
    <w:p w14:paraId="4897BF94" w14:textId="5145DAF8" w:rsidR="000234B7" w:rsidRPr="008B165E" w:rsidRDefault="000234B7" w:rsidP="000234B7">
      <w:pPr>
        <w:pStyle w:val="ListBullet"/>
      </w:pPr>
      <w:r w:rsidRPr="008B165E">
        <w:t xml:space="preserve">Compliance with the Program’s </w:t>
      </w:r>
      <w:r w:rsidR="000E2EC8">
        <w:t xml:space="preserve">mandatory </w:t>
      </w:r>
      <w:r w:rsidRPr="008B165E">
        <w:t>environmentally sustainable housing design requirements</w:t>
      </w:r>
      <w:r w:rsidR="000E2EC8">
        <w:t xml:space="preserve"> set out in Section 1.2.5</w:t>
      </w:r>
      <w:r w:rsidRPr="008B165E">
        <w:t>.</w:t>
      </w:r>
    </w:p>
    <w:p w14:paraId="009D7E17" w14:textId="77777777" w:rsidR="000234B7" w:rsidRDefault="000234B7" w:rsidP="000234B7">
      <w:pPr>
        <w:pStyle w:val="ListBullet"/>
      </w:pPr>
      <w:r w:rsidRPr="008B165E">
        <w:t>An ability to complete the Development</w:t>
      </w:r>
      <w:r w:rsidRPr="006B29C1">
        <w:t xml:space="preserve"> by June 20</w:t>
      </w:r>
      <w:r>
        <w:t>21.</w:t>
      </w:r>
    </w:p>
    <w:p w14:paraId="606A2BE0" w14:textId="77777777" w:rsidR="000234B7" w:rsidRDefault="000234B7" w:rsidP="000234B7">
      <w:r>
        <w:lastRenderedPageBreak/>
        <w:t>Respondents will also be required to indicate in their proposal how they intend to:</w:t>
      </w:r>
    </w:p>
    <w:p w14:paraId="64220AF6" w14:textId="77777777" w:rsidR="000234B7" w:rsidRDefault="000234B7" w:rsidP="000234B7">
      <w:pPr>
        <w:pStyle w:val="ListBullet"/>
      </w:pPr>
      <w:r>
        <w:t>provide a suitable mechanism to protect the State’s investment.</w:t>
      </w:r>
      <w:r w:rsidRPr="00662283">
        <w:t xml:space="preserve"> </w:t>
      </w:r>
      <w:r>
        <w:t xml:space="preserve">(For example, a RHA that owns the land on which the Development is situated can arrange for the endorsement of the interest of the Director of Housing over the title to the land under Division 7 of Part VIII of the </w:t>
      </w:r>
      <w:r>
        <w:rPr>
          <w:i/>
        </w:rPr>
        <w:t xml:space="preserve">Housing Act </w:t>
      </w:r>
      <w:r w:rsidRPr="00F95EC4">
        <w:t>1983</w:t>
      </w:r>
      <w:r>
        <w:t>.)</w:t>
      </w:r>
    </w:p>
    <w:p w14:paraId="6325AFFC" w14:textId="0E3B8B30" w:rsidR="006D17AC" w:rsidRDefault="000234B7">
      <w:pPr>
        <w:pStyle w:val="ListBullet"/>
      </w:pPr>
      <w:r>
        <w:t>ensure that the Development is properly maintained and continues to be used for its intended purpose, and that all tenancies are f</w:t>
      </w:r>
      <w:r w:rsidR="006E3492">
        <w:t xml:space="preserve">air and appropriately managed. </w:t>
      </w:r>
    </w:p>
    <w:p w14:paraId="37DD455E" w14:textId="489F5468" w:rsidR="00812BAE" w:rsidRPr="002F6646" w:rsidRDefault="003F0003" w:rsidP="006B29C1">
      <w:pPr>
        <w:pStyle w:val="Heading3"/>
      </w:pPr>
      <w:r w:rsidRPr="002F6646">
        <w:t>Program</w:t>
      </w:r>
      <w:r w:rsidR="00DB67C9" w:rsidRPr="002F6646">
        <w:t xml:space="preserve"> o</w:t>
      </w:r>
      <w:r w:rsidR="00812BAE" w:rsidRPr="002F6646">
        <w:t>bjectives</w:t>
      </w:r>
    </w:p>
    <w:p w14:paraId="3EBAF36D" w14:textId="3E1437AB" w:rsidR="001E5D93" w:rsidRDefault="000142D2" w:rsidP="00812BAE">
      <w:r>
        <w:t xml:space="preserve">The Government </w:t>
      </w:r>
      <w:r w:rsidR="00812BAE" w:rsidRPr="00636786">
        <w:t>recognises</w:t>
      </w:r>
      <w:r w:rsidR="005B7920">
        <w:t xml:space="preserve"> </w:t>
      </w:r>
      <w:r w:rsidR="006469E4">
        <w:t xml:space="preserve">the importance of </w:t>
      </w:r>
      <w:r w:rsidR="00474309">
        <w:t xml:space="preserve">affordable, </w:t>
      </w:r>
      <w:r w:rsidR="00985EB5">
        <w:t>safe</w:t>
      </w:r>
      <w:r w:rsidR="007B68F7">
        <w:t xml:space="preserve"> and</w:t>
      </w:r>
      <w:r w:rsidR="00985EB5">
        <w:t xml:space="preserve"> </w:t>
      </w:r>
      <w:r w:rsidR="00623847">
        <w:t>climate-</w:t>
      </w:r>
      <w:r w:rsidR="004E7E71">
        <w:t xml:space="preserve">adapted </w:t>
      </w:r>
      <w:r w:rsidR="007B68F7">
        <w:t xml:space="preserve">housing </w:t>
      </w:r>
      <w:r w:rsidR="00985EB5">
        <w:t>for</w:t>
      </w:r>
      <w:r>
        <w:t xml:space="preserve"> the</w:t>
      </w:r>
      <w:r w:rsidR="00985EB5">
        <w:t xml:space="preserve"> health and wellbeing</w:t>
      </w:r>
      <w:r>
        <w:t xml:space="preserve"> of all </w:t>
      </w:r>
      <w:proofErr w:type="gramStart"/>
      <w:r>
        <w:t>Victorians</w:t>
      </w:r>
      <w:r w:rsidR="006469E4">
        <w:t>, and</w:t>
      </w:r>
      <w:proofErr w:type="gramEnd"/>
      <w:r w:rsidR="006469E4">
        <w:t xml:space="preserve"> </w:t>
      </w:r>
      <w:r>
        <w:t xml:space="preserve">is committed to </w:t>
      </w:r>
      <w:r w:rsidR="0061591F">
        <w:t>providing more</w:t>
      </w:r>
      <w:r w:rsidR="00B67EA5">
        <w:t xml:space="preserve"> affordable and environmentally</w:t>
      </w:r>
      <w:r w:rsidR="0061591F">
        <w:t xml:space="preserve"> </w:t>
      </w:r>
      <w:r w:rsidR="00B67EA5">
        <w:t xml:space="preserve">sustainable </w:t>
      </w:r>
      <w:r w:rsidR="007031D0">
        <w:t>housing</w:t>
      </w:r>
      <w:r w:rsidR="007B68F7">
        <w:t xml:space="preserve"> </w:t>
      </w:r>
      <w:r w:rsidR="0061591F">
        <w:t xml:space="preserve">options for low income and disadvantaged Victorians.  </w:t>
      </w:r>
    </w:p>
    <w:p w14:paraId="251972FE" w14:textId="3FE2B656" w:rsidR="00985EB5" w:rsidRDefault="00642795" w:rsidP="00812BAE">
      <w:r>
        <w:t>K</w:t>
      </w:r>
      <w:r w:rsidR="00985EB5">
        <w:t xml:space="preserve">ey </w:t>
      </w:r>
      <w:r>
        <w:t xml:space="preserve">Program </w:t>
      </w:r>
      <w:r w:rsidR="00985EB5">
        <w:t>objectives</w:t>
      </w:r>
      <w:r>
        <w:t xml:space="preserve"> include</w:t>
      </w:r>
      <w:r w:rsidR="00985EB5">
        <w:t>:</w:t>
      </w:r>
    </w:p>
    <w:p w14:paraId="2D21342F" w14:textId="7FAB9F39" w:rsidR="00642795" w:rsidRDefault="0061591F" w:rsidP="006B29C1">
      <w:pPr>
        <w:pStyle w:val="ListBullet"/>
      </w:pPr>
      <w:r>
        <w:t>increasing</w:t>
      </w:r>
      <w:r w:rsidRPr="00636786">
        <w:t xml:space="preserve"> the </w:t>
      </w:r>
      <w:r>
        <w:t>supply</w:t>
      </w:r>
      <w:r w:rsidRPr="00636786">
        <w:t xml:space="preserve"> of </w:t>
      </w:r>
      <w:r>
        <w:t>long-term affordable</w:t>
      </w:r>
      <w:r w:rsidRPr="00636786">
        <w:t xml:space="preserve"> housing </w:t>
      </w:r>
      <w:r>
        <w:t>available for low income or disadvantaged persons</w:t>
      </w:r>
      <w:r w:rsidR="00CD2682">
        <w:t xml:space="preserve"> </w:t>
      </w:r>
    </w:p>
    <w:p w14:paraId="1E69D07B" w14:textId="6D9039B9" w:rsidR="00395B98" w:rsidRDefault="00E51EF5" w:rsidP="006B29C1">
      <w:pPr>
        <w:pStyle w:val="ListBullet"/>
      </w:pPr>
      <w:r>
        <w:t>f</w:t>
      </w:r>
      <w:r w:rsidR="00642795">
        <w:t xml:space="preserve">acilitating high value-for-money </w:t>
      </w:r>
      <w:r w:rsidR="00CD2682">
        <w:t>housing outcomes</w:t>
      </w:r>
      <w:r w:rsidR="00642795">
        <w:t xml:space="preserve"> that leverage </w:t>
      </w:r>
      <w:r w:rsidR="00676657">
        <w:t>VPF</w:t>
      </w:r>
      <w:r w:rsidR="00F300F0">
        <w:t xml:space="preserve"> </w:t>
      </w:r>
      <w:r w:rsidR="00676657">
        <w:t>grant fu</w:t>
      </w:r>
      <w:r w:rsidR="006C111E">
        <w:t xml:space="preserve">nding </w:t>
      </w:r>
      <w:r w:rsidR="00F300F0">
        <w:t>with</w:t>
      </w:r>
      <w:r w:rsidR="00642795">
        <w:t xml:space="preserve"> </w:t>
      </w:r>
      <w:r w:rsidR="00F300F0">
        <w:t>land</w:t>
      </w:r>
      <w:r w:rsidR="004A1513">
        <w:t>,</w:t>
      </w:r>
      <w:r w:rsidR="00F300F0">
        <w:t xml:space="preserve"> capital </w:t>
      </w:r>
      <w:r w:rsidR="004A1513">
        <w:t xml:space="preserve">or other </w:t>
      </w:r>
      <w:r w:rsidR="00676657">
        <w:t xml:space="preserve">contributions </w:t>
      </w:r>
      <w:r w:rsidR="00642795">
        <w:t xml:space="preserve">from </w:t>
      </w:r>
      <w:r w:rsidR="00595FB2">
        <w:t xml:space="preserve">Government </w:t>
      </w:r>
      <w:r w:rsidR="00474309">
        <w:t xml:space="preserve">or </w:t>
      </w:r>
      <w:r w:rsidR="00F07DE8">
        <w:t xml:space="preserve">non-Government </w:t>
      </w:r>
      <w:r w:rsidR="00642795">
        <w:t>sources</w:t>
      </w:r>
      <w:r w:rsidR="0061591F">
        <w:t>,</w:t>
      </w:r>
      <w:r w:rsidR="00642795">
        <w:t xml:space="preserve"> including </w:t>
      </w:r>
      <w:r w:rsidR="006E3492">
        <w:t xml:space="preserve">CHOs, </w:t>
      </w:r>
      <w:r w:rsidR="00DA043A">
        <w:t>developers</w:t>
      </w:r>
      <w:r w:rsidR="00F300F0">
        <w:t xml:space="preserve">, </w:t>
      </w:r>
      <w:r w:rsidR="00642795">
        <w:t>local councils, churches</w:t>
      </w:r>
      <w:r w:rsidR="00E7009E">
        <w:t xml:space="preserve"> and</w:t>
      </w:r>
      <w:r w:rsidR="00F300F0">
        <w:t xml:space="preserve"> philanthrop</w:t>
      </w:r>
      <w:r w:rsidR="004A1513">
        <w:t>ists</w:t>
      </w:r>
    </w:p>
    <w:p w14:paraId="56BC4D34" w14:textId="188FBE14" w:rsidR="00552348" w:rsidRDefault="00A940C6" w:rsidP="006B29C1">
      <w:pPr>
        <w:pStyle w:val="ListBullet"/>
      </w:pPr>
      <w:r>
        <w:t>supporting the development of</w:t>
      </w:r>
      <w:r w:rsidR="00215969">
        <w:t xml:space="preserve"> </w:t>
      </w:r>
      <w:r w:rsidR="00552348">
        <w:t xml:space="preserve">environmentally sustainable </w:t>
      </w:r>
      <w:r w:rsidR="00AC2661">
        <w:t>community</w:t>
      </w:r>
      <w:r w:rsidR="007031D0">
        <w:t xml:space="preserve"> housing</w:t>
      </w:r>
      <w:r w:rsidR="00215969">
        <w:t xml:space="preserve"> that </w:t>
      </w:r>
      <w:r w:rsidR="00474309">
        <w:t>will</w:t>
      </w:r>
      <w:r w:rsidR="00A328C0">
        <w:t xml:space="preserve"> reduce operating costs and utility bills for CHOs and </w:t>
      </w:r>
      <w:r w:rsidR="006D1FFB">
        <w:t>low-</w:t>
      </w:r>
      <w:r w:rsidR="00A328C0">
        <w:t>income tenants, increase accommodation thermal comfort and improve liveability and health outcomes for low income tenants, and</w:t>
      </w:r>
      <w:r w:rsidR="00474309">
        <w:t xml:space="preserve"> help to </w:t>
      </w:r>
      <w:r w:rsidR="00215969">
        <w:t xml:space="preserve">demonstrate the </w:t>
      </w:r>
      <w:r w:rsidR="0059437A">
        <w:t>long-</w:t>
      </w:r>
      <w:r w:rsidR="001C53E5">
        <w:t xml:space="preserve">term </w:t>
      </w:r>
      <w:r w:rsidR="00215969">
        <w:t xml:space="preserve">business case </w:t>
      </w:r>
      <w:r w:rsidR="00DA536D">
        <w:t>of</w:t>
      </w:r>
      <w:r w:rsidR="00552348">
        <w:t xml:space="preserve"> </w:t>
      </w:r>
      <w:r w:rsidR="001C53E5">
        <w:t>building to a high</w:t>
      </w:r>
      <w:r w:rsidR="00474309">
        <w:t>er</w:t>
      </w:r>
      <w:r w:rsidR="001C53E5">
        <w:t xml:space="preserve"> </w:t>
      </w:r>
      <w:r w:rsidR="0059437A">
        <w:t xml:space="preserve">sustainability </w:t>
      </w:r>
      <w:r w:rsidR="00215969">
        <w:t>standard.</w:t>
      </w:r>
    </w:p>
    <w:p w14:paraId="76CF9697" w14:textId="77777777" w:rsidR="00552348" w:rsidRDefault="00552348" w:rsidP="00DE56C3">
      <w:pPr>
        <w:pStyle w:val="ListBullet"/>
        <w:numPr>
          <w:ilvl w:val="0"/>
          <w:numId w:val="0"/>
        </w:numPr>
      </w:pPr>
    </w:p>
    <w:p w14:paraId="2A85A22A" w14:textId="07EC8F25" w:rsidR="002749FF" w:rsidRDefault="00552348" w:rsidP="00DE56C3">
      <w:pPr>
        <w:pStyle w:val="ListBullet"/>
        <w:numPr>
          <w:ilvl w:val="0"/>
          <w:numId w:val="0"/>
        </w:numPr>
      </w:pPr>
      <w:r>
        <w:t xml:space="preserve">These objectives support government priorities outlined in a range of policies including </w:t>
      </w:r>
      <w:r w:rsidRPr="00DE56C3">
        <w:rPr>
          <w:i/>
        </w:rPr>
        <w:t>Homes for Victorians</w:t>
      </w:r>
      <w:r>
        <w:t xml:space="preserve">, the </w:t>
      </w:r>
      <w:r w:rsidRPr="00DE56C3">
        <w:rPr>
          <w:i/>
        </w:rPr>
        <w:t>Energy Efficiency and Productivity Strategy</w:t>
      </w:r>
      <w:r>
        <w:t xml:space="preserve">, and </w:t>
      </w:r>
      <w:r w:rsidRPr="00DE56C3">
        <w:rPr>
          <w:i/>
        </w:rPr>
        <w:t>Victoria’s Climate Change Adaption Plan 2017-20</w:t>
      </w:r>
      <w:r>
        <w:t>.</w:t>
      </w:r>
    </w:p>
    <w:p w14:paraId="305CF12B" w14:textId="025C6D16" w:rsidR="00FC7685" w:rsidRDefault="00FC7685" w:rsidP="006B29C1">
      <w:pPr>
        <w:pStyle w:val="Heading3"/>
      </w:pPr>
      <w:r>
        <w:t>Potential grant funding available</w:t>
      </w:r>
    </w:p>
    <w:p w14:paraId="1040F2D9" w14:textId="472FF24A" w:rsidR="00F90975" w:rsidRDefault="00F90975" w:rsidP="00F90975">
      <w:r w:rsidRPr="0040771F">
        <w:t>The funding reserved for the Program from the VPF discretionary grants budget is $2</w:t>
      </w:r>
      <w:r>
        <w:t>1</w:t>
      </w:r>
      <w:r w:rsidRPr="0040771F">
        <w:t xml:space="preserve"> million </w:t>
      </w:r>
      <w:r>
        <w:t xml:space="preserve">($7 million per year </w:t>
      </w:r>
      <w:r w:rsidRPr="0040771F">
        <w:t xml:space="preserve">over three financial years </w:t>
      </w:r>
      <w:r>
        <w:t xml:space="preserve">2018-19 to </w:t>
      </w:r>
      <w:r w:rsidRPr="0040771F">
        <w:t>2020</w:t>
      </w:r>
      <w:r>
        <w:t>-21</w:t>
      </w:r>
      <w:r w:rsidRPr="0040771F">
        <w:t>).</w:t>
      </w:r>
      <w:r>
        <w:t xml:space="preserve"> Actual funding awarded (if any) is subject to the discretion of the Minister and may </w:t>
      </w:r>
      <w:r w:rsidR="006E3492">
        <w:t>vary from</w:t>
      </w:r>
      <w:r>
        <w:t xml:space="preserve"> the reserved amount.</w:t>
      </w:r>
    </w:p>
    <w:p w14:paraId="26B13138" w14:textId="77777777" w:rsidR="00F90975" w:rsidRDefault="00F90975" w:rsidP="00F90975">
      <w:r>
        <w:t xml:space="preserve">CAV is required to manage project cash flows from the funding available in each financial year. Payment arrangements are subject to agreement by CAV and will be negotiated if a grant is awarded. </w:t>
      </w:r>
    </w:p>
    <w:p w14:paraId="68DF992D" w14:textId="10158EEE" w:rsidR="00213C28" w:rsidRDefault="00F90975" w:rsidP="00FC7685">
      <w:r>
        <w:t xml:space="preserve">Competition for the limited funding available is expected to be strong, with the total amount sought exceeding the funding available. All Responses received from eligible Respondents that meet mandatory </w:t>
      </w:r>
      <w:r w:rsidRPr="00BF6AF5">
        <w:t xml:space="preserve">Assessment </w:t>
      </w:r>
      <w:r w:rsidRPr="00DE56C3">
        <w:t>Criteria (see Table 6 of Section 4)</w:t>
      </w:r>
      <w:r w:rsidRPr="00BF6AF5">
        <w:t xml:space="preserve"> </w:t>
      </w:r>
      <w:r w:rsidR="006E3492">
        <w:t xml:space="preserve">and </w:t>
      </w:r>
      <w:r w:rsidR="00D12E61">
        <w:t>k</w:t>
      </w:r>
      <w:r w:rsidR="006E3492">
        <w:t xml:space="preserve">ey Program objectives </w:t>
      </w:r>
      <w:r w:rsidRPr="00BF6AF5">
        <w:t>will be f</w:t>
      </w:r>
      <w:r>
        <w:t>ully assessed</w:t>
      </w:r>
      <w:r w:rsidR="00E93C66">
        <w:t xml:space="preserve">. </w:t>
      </w:r>
    </w:p>
    <w:p w14:paraId="36A63F1A" w14:textId="77535439" w:rsidR="00CD2682" w:rsidRDefault="00AD62C3" w:rsidP="006B29C1">
      <w:pPr>
        <w:pStyle w:val="Heading3"/>
      </w:pPr>
      <w:r>
        <w:t>Preferred proposal types</w:t>
      </w:r>
    </w:p>
    <w:p w14:paraId="2637890C" w14:textId="77777777" w:rsidR="00F90975" w:rsidRDefault="00F90975" w:rsidP="00F90975">
      <w:r>
        <w:t xml:space="preserve">The following information is intended to provide further guidance to Respondents as to CAV’s preferred proposal types: </w:t>
      </w:r>
    </w:p>
    <w:p w14:paraId="3B9154B8" w14:textId="77777777" w:rsidR="00F90975" w:rsidRPr="00324C79" w:rsidRDefault="00F90975" w:rsidP="00F90975">
      <w:pPr>
        <w:rPr>
          <w:i/>
        </w:rPr>
      </w:pPr>
      <w:r w:rsidRPr="00324C79">
        <w:rPr>
          <w:i/>
        </w:rPr>
        <w:t>Proposals that are likely to be viewed favourably include:</w:t>
      </w:r>
    </w:p>
    <w:p w14:paraId="516BFBFF" w14:textId="77777777" w:rsidR="00F90975" w:rsidRDefault="00F90975" w:rsidP="00F90975">
      <w:pPr>
        <w:pStyle w:val="ListBullet"/>
      </w:pPr>
      <w:r>
        <w:t xml:space="preserve">Proposals that increase the supply of new singles accommodation suitable for persons living in non-compliant rooming houses  </w:t>
      </w:r>
    </w:p>
    <w:p w14:paraId="36AF47B8" w14:textId="77777777" w:rsidR="00F90975" w:rsidRDefault="00F90975" w:rsidP="00F90975">
      <w:pPr>
        <w:pStyle w:val="ListBullet"/>
      </w:pPr>
      <w:r>
        <w:t>Proposals that will increase the supply of accommodation for women and their dependent children escaping family violence</w:t>
      </w:r>
    </w:p>
    <w:p w14:paraId="7D5F2EC3" w14:textId="4559F65A" w:rsidR="00F90975" w:rsidRDefault="00F90975" w:rsidP="00F90975">
      <w:pPr>
        <w:pStyle w:val="ListBullet"/>
      </w:pPr>
      <w:r>
        <w:t xml:space="preserve">Redevelopment proposals that increase the supply of accommodation on underutilised properties </w:t>
      </w:r>
    </w:p>
    <w:p w14:paraId="4791F5A3" w14:textId="77777777" w:rsidR="00F90975" w:rsidRDefault="00F90975" w:rsidP="00F90975">
      <w:pPr>
        <w:pStyle w:val="ListBullet"/>
      </w:pPr>
      <w:r>
        <w:t xml:space="preserve">Redevelopment proposals that both increase the supply of accommodation and upgrade existing housing in poor condition with limited remaining lifespan </w:t>
      </w:r>
    </w:p>
    <w:p w14:paraId="45893F5D" w14:textId="77777777" w:rsidR="00F90975" w:rsidRDefault="00F90975" w:rsidP="00F90975">
      <w:pPr>
        <w:pStyle w:val="ListBullet"/>
      </w:pPr>
      <w:r>
        <w:lastRenderedPageBreak/>
        <w:t>Proposals that involve the transfer of land to the Respondent from a non-Government source (other than a transfer between related entities) for free or a consideration substantially below market value (evidence of the agreement between the proprietor and Respondent may be required, such as a signed MOU)</w:t>
      </w:r>
      <w:r w:rsidRPr="00821316">
        <w:t xml:space="preserve"> </w:t>
      </w:r>
    </w:p>
    <w:p w14:paraId="3D50A1C3" w14:textId="77777777" w:rsidR="00F90975" w:rsidRDefault="00F90975" w:rsidP="00F90975">
      <w:pPr>
        <w:pStyle w:val="ListBullet"/>
      </w:pPr>
      <w:r>
        <w:t>Proposals involving shovel ready (or near to) projects, where planning and building approvals are already in place or expected shortly, so that the Development can be commenced and completed rapidly</w:t>
      </w:r>
    </w:p>
    <w:p w14:paraId="595A7A8C" w14:textId="70E8BFE4" w:rsidR="00F90975" w:rsidRPr="008B165E" w:rsidRDefault="00F90975" w:rsidP="00F90975">
      <w:pPr>
        <w:pStyle w:val="ListBullet"/>
      </w:pPr>
      <w:r w:rsidRPr="008B165E">
        <w:t xml:space="preserve">Proposals designed to demonstrate leadership in environmentally sustainable design </w:t>
      </w:r>
      <w:r w:rsidR="002A4BE7">
        <w:t xml:space="preserve">and construction </w:t>
      </w:r>
      <w:r w:rsidRPr="008B165E">
        <w:t xml:space="preserve">of </w:t>
      </w:r>
      <w:r w:rsidR="00AC2661">
        <w:t>community</w:t>
      </w:r>
      <w:r w:rsidRPr="008B165E">
        <w:t xml:space="preserve"> housing.</w:t>
      </w:r>
    </w:p>
    <w:p w14:paraId="7F1C3C59" w14:textId="77777777" w:rsidR="00F90975" w:rsidRPr="00324C79" w:rsidRDefault="00F90975" w:rsidP="00F90975">
      <w:pPr>
        <w:rPr>
          <w:i/>
        </w:rPr>
      </w:pPr>
      <w:r w:rsidRPr="00324C79">
        <w:rPr>
          <w:i/>
        </w:rPr>
        <w:t>Proposals that will not be viewed favourably include:</w:t>
      </w:r>
    </w:p>
    <w:p w14:paraId="79442D52" w14:textId="77777777" w:rsidR="00F90975" w:rsidRDefault="00F90975" w:rsidP="00F90975">
      <w:pPr>
        <w:pStyle w:val="ListBullet"/>
      </w:pPr>
      <w:r>
        <w:t>Proposals to purchase existing stock that do not involve development of additional housing</w:t>
      </w:r>
    </w:p>
    <w:p w14:paraId="478BA0E5" w14:textId="77777777" w:rsidR="00F90975" w:rsidRDefault="00F90975" w:rsidP="00F90975">
      <w:pPr>
        <w:pStyle w:val="ListBullet"/>
      </w:pPr>
      <w:r>
        <w:t xml:space="preserve">Proposals to upgrade existing housing that do not increase the supply of housing </w:t>
      </w:r>
    </w:p>
    <w:p w14:paraId="52A83FA4" w14:textId="77777777" w:rsidR="00F90975" w:rsidRDefault="00F90975" w:rsidP="00F90975">
      <w:pPr>
        <w:pStyle w:val="ListBullet"/>
      </w:pPr>
      <w:r>
        <w:t xml:space="preserve">Proposals for development of transitional housing, emergency or crisis housing, or respite housing </w:t>
      </w:r>
    </w:p>
    <w:p w14:paraId="1B9E573D" w14:textId="77777777" w:rsidR="00F90975" w:rsidRDefault="00F90975" w:rsidP="00F90975">
      <w:pPr>
        <w:pStyle w:val="ListBullet"/>
      </w:pPr>
      <w:r>
        <w:t xml:space="preserve">Proposals from CHOs without significant property development and property management experience </w:t>
      </w:r>
    </w:p>
    <w:p w14:paraId="24857EC7" w14:textId="77777777" w:rsidR="00F90975" w:rsidRDefault="00F90975" w:rsidP="00F90975">
      <w:pPr>
        <w:pStyle w:val="ListBullet"/>
      </w:pPr>
      <w:r>
        <w:t>Proposals in a very early stage of development that are conditional on numerous factors beyond the Respondent’s control</w:t>
      </w:r>
    </w:p>
    <w:p w14:paraId="305D53F0" w14:textId="77777777" w:rsidR="00F90975" w:rsidRDefault="00F90975" w:rsidP="00F90975">
      <w:pPr>
        <w:pStyle w:val="ListBullet"/>
      </w:pPr>
      <w:r w:rsidRPr="005F0A92">
        <w:t>Proposals that involve demolishing existing housing units to build new accommodation, resulting in only a small net gain</w:t>
      </w:r>
      <w:r>
        <w:t>.</w:t>
      </w:r>
    </w:p>
    <w:p w14:paraId="0E64B0F6" w14:textId="68E6F6E5" w:rsidR="0003085B" w:rsidRDefault="0003085B" w:rsidP="00DE56C3">
      <w:pPr>
        <w:pStyle w:val="ListBullet"/>
        <w:numPr>
          <w:ilvl w:val="0"/>
          <w:numId w:val="0"/>
        </w:numPr>
      </w:pPr>
    </w:p>
    <w:p w14:paraId="63AF2020" w14:textId="5FDBF932" w:rsidR="005740A8" w:rsidRDefault="005B34AE" w:rsidP="00DE56C3">
      <w:pPr>
        <w:pStyle w:val="Heading3"/>
        <w:tabs>
          <w:tab w:val="clear" w:pos="720"/>
        </w:tabs>
        <w:ind w:left="851" w:hanging="851"/>
      </w:pPr>
      <w:r>
        <w:t>E</w:t>
      </w:r>
      <w:r w:rsidR="005740A8">
        <w:t>nvironmental</w:t>
      </w:r>
      <w:r>
        <w:t>ly sustainable design standards and requirements</w:t>
      </w:r>
    </w:p>
    <w:p w14:paraId="0220C26D" w14:textId="7602C543" w:rsidR="00720072" w:rsidRPr="008B165E" w:rsidRDefault="005B34AE" w:rsidP="00DE56C3">
      <w:pPr>
        <w:pStyle w:val="BodyText"/>
        <w:spacing w:before="120" w:after="120"/>
      </w:pPr>
      <w:bookmarkStart w:id="5" w:name="_Toc523845039"/>
      <w:bookmarkEnd w:id="5"/>
      <w:r>
        <w:t>T</w:t>
      </w:r>
      <w:r w:rsidR="00720072">
        <w:t>he following</w:t>
      </w:r>
      <w:r w:rsidR="000D4B91">
        <w:t xml:space="preserve"> 7</w:t>
      </w:r>
      <w:r w:rsidR="00720072">
        <w:t xml:space="preserve"> </w:t>
      </w:r>
      <w:r w:rsidR="00720072" w:rsidRPr="008B165E">
        <w:t xml:space="preserve">mandatory </w:t>
      </w:r>
      <w:r>
        <w:t xml:space="preserve">environmentally sustainable housing design </w:t>
      </w:r>
      <w:r w:rsidR="00720072" w:rsidRPr="008B165E">
        <w:t>requi</w:t>
      </w:r>
      <w:r w:rsidR="00720072">
        <w:t>rements apply</w:t>
      </w:r>
      <w:r w:rsidR="002A4BE7">
        <w:t xml:space="preserve"> to the Program</w:t>
      </w:r>
      <w:r w:rsidR="00720072" w:rsidRPr="008B165E">
        <w:t>:</w:t>
      </w:r>
    </w:p>
    <w:p w14:paraId="3DCF7C68" w14:textId="6984C611" w:rsidR="00720072" w:rsidRPr="008B32AB" w:rsidRDefault="00720072" w:rsidP="00DE56C3">
      <w:pPr>
        <w:pStyle w:val="BodyText"/>
        <w:numPr>
          <w:ilvl w:val="0"/>
          <w:numId w:val="37"/>
        </w:numPr>
        <w:spacing w:before="120" w:after="120"/>
      </w:pPr>
      <w:r w:rsidRPr="008B165E">
        <w:t>Any proposal for the development of a Class 1</w:t>
      </w:r>
      <w:r w:rsidRPr="008B165E">
        <w:rPr>
          <w:rStyle w:val="FootnoteReference"/>
        </w:rPr>
        <w:footnoteReference w:id="1"/>
      </w:r>
      <w:r w:rsidRPr="008B165E">
        <w:t xml:space="preserve"> dwelling (house) must be designed and built to reach at least a </w:t>
      </w:r>
      <w:r>
        <w:t>7</w:t>
      </w:r>
      <w:r w:rsidRPr="008B165E">
        <w:t>-star rating against the Nationwide House Energy Rating Scheme (</w:t>
      </w:r>
      <w:proofErr w:type="spellStart"/>
      <w:r>
        <w:t>N</w:t>
      </w:r>
      <w:r w:rsidRPr="008B165E">
        <w:t>atHERS</w:t>
      </w:r>
      <w:proofErr w:type="spellEnd"/>
      <w:r w:rsidRPr="008B165E">
        <w:t>)</w:t>
      </w:r>
      <w:r>
        <w:t>. Proposals</w:t>
      </w:r>
      <w:r w:rsidRPr="008B32AB">
        <w:t xml:space="preserve"> </w:t>
      </w:r>
      <w:r>
        <w:t>with</w:t>
      </w:r>
      <w:r w:rsidRPr="008B32AB">
        <w:t xml:space="preserve"> higher </w:t>
      </w:r>
      <w:r>
        <w:t xml:space="preserve">star ratings </w:t>
      </w:r>
      <w:r w:rsidRPr="008B32AB">
        <w:t>will be viewed more favourably.</w:t>
      </w:r>
    </w:p>
    <w:p w14:paraId="5BE46D16" w14:textId="0FE23F47" w:rsidR="00720072" w:rsidRPr="008B165E" w:rsidRDefault="00720072" w:rsidP="00DE56C3">
      <w:pPr>
        <w:pStyle w:val="BodyText"/>
        <w:numPr>
          <w:ilvl w:val="0"/>
          <w:numId w:val="37"/>
        </w:numPr>
        <w:spacing w:before="120" w:after="120"/>
      </w:pPr>
      <w:r w:rsidRPr="008B165E">
        <w:t xml:space="preserve">Any proposal for the development of a new Class 2 building (apartment building or rooming house) must be designed and built to reach an average </w:t>
      </w:r>
      <w:r>
        <w:t>7</w:t>
      </w:r>
      <w:r w:rsidR="002A4BE7">
        <w:t>.5</w:t>
      </w:r>
      <w:r w:rsidRPr="008B165E">
        <w:t xml:space="preserve">-star rating across the development, with no single unit less than </w:t>
      </w:r>
      <w:r>
        <w:t>6.5</w:t>
      </w:r>
      <w:r w:rsidRPr="008B165E">
        <w:t xml:space="preserve"> stars against </w:t>
      </w:r>
      <w:proofErr w:type="spellStart"/>
      <w:r>
        <w:t>N</w:t>
      </w:r>
      <w:r w:rsidRPr="008B165E">
        <w:t>atHERS</w:t>
      </w:r>
      <w:proofErr w:type="spellEnd"/>
      <w:r>
        <w:t>. Proposals with higher star ratings will be viewed more favourably</w:t>
      </w:r>
      <w:r w:rsidRPr="008B165E">
        <w:t xml:space="preserve">.  </w:t>
      </w:r>
    </w:p>
    <w:p w14:paraId="6539C486" w14:textId="1C4D4741" w:rsidR="00720072" w:rsidRDefault="005B34AE" w:rsidP="00DE56C3">
      <w:pPr>
        <w:pStyle w:val="BodyText"/>
        <w:numPr>
          <w:ilvl w:val="0"/>
          <w:numId w:val="37"/>
        </w:numPr>
        <w:spacing w:before="120" w:after="120"/>
      </w:pPr>
      <w:r>
        <w:t>Any p</w:t>
      </w:r>
      <w:r w:rsidR="00720072">
        <w:t xml:space="preserve">roposals for </w:t>
      </w:r>
      <w:r>
        <w:t xml:space="preserve">the </w:t>
      </w:r>
      <w:r w:rsidR="00720072">
        <w:t xml:space="preserve">redevelopment of existing housing (either Class 1 or 2) </w:t>
      </w:r>
      <w:r>
        <w:t>must</w:t>
      </w:r>
      <w:r w:rsidR="00720072">
        <w:t xml:space="preserve"> comply with the efficiency requirements of the National Construction Code. In addition to this, the </w:t>
      </w:r>
      <w:proofErr w:type="spellStart"/>
      <w:r w:rsidR="00720072">
        <w:t>NatHERS</w:t>
      </w:r>
      <w:proofErr w:type="spellEnd"/>
      <w:r w:rsidR="00720072">
        <w:t xml:space="preserve"> rating of the completed housing will need to be at least 5 stars. Applications should provide the </w:t>
      </w:r>
      <w:proofErr w:type="spellStart"/>
      <w:r w:rsidR="00720072">
        <w:t>NatHERS</w:t>
      </w:r>
      <w:proofErr w:type="spellEnd"/>
      <w:r w:rsidR="00720072">
        <w:t xml:space="preserve"> ratings of both the existing and redeveloped housing. Proposals with higher star ratings will be viewed more favourably</w:t>
      </w:r>
      <w:r w:rsidR="00720072" w:rsidRPr="008B165E">
        <w:t xml:space="preserve">. </w:t>
      </w:r>
    </w:p>
    <w:p w14:paraId="6F784D49" w14:textId="76E99A4B" w:rsidR="006C4D16" w:rsidRPr="008B165E" w:rsidRDefault="00720072" w:rsidP="00DE56C3">
      <w:pPr>
        <w:pStyle w:val="BodyText"/>
        <w:numPr>
          <w:ilvl w:val="0"/>
          <w:numId w:val="37"/>
        </w:numPr>
        <w:spacing w:before="120" w:after="120"/>
      </w:pPr>
      <w:r>
        <w:t xml:space="preserve">Any proposal for the </w:t>
      </w:r>
      <w:r w:rsidRPr="00720072">
        <w:t>supply and installation of transportable</w:t>
      </w:r>
      <w:r w:rsidR="00456D62">
        <w:t>/</w:t>
      </w:r>
      <w:r w:rsidR="00215862">
        <w:t>relocatable</w:t>
      </w:r>
      <w:r w:rsidRPr="00720072">
        <w:t xml:space="preserve"> housing must be designed and built to reac</w:t>
      </w:r>
      <w:r w:rsidR="00215862">
        <w:t xml:space="preserve">h a minimum of 6-stars against </w:t>
      </w:r>
      <w:proofErr w:type="spellStart"/>
      <w:r w:rsidR="00215862">
        <w:t>N</w:t>
      </w:r>
      <w:r w:rsidRPr="00720072">
        <w:t>atHERS</w:t>
      </w:r>
      <w:proofErr w:type="spellEnd"/>
      <w:r w:rsidRPr="00720072">
        <w:t>.</w:t>
      </w:r>
    </w:p>
    <w:p w14:paraId="0DC24C01" w14:textId="77777777" w:rsidR="006C4D16" w:rsidRDefault="00720072" w:rsidP="00DE56C3">
      <w:pPr>
        <w:pStyle w:val="BodyText"/>
        <w:numPr>
          <w:ilvl w:val="0"/>
          <w:numId w:val="37"/>
        </w:numPr>
        <w:spacing w:before="120" w:after="120"/>
      </w:pPr>
      <w:r w:rsidRPr="008B165E">
        <w:t xml:space="preserve">Star ratings of plans and specifications must be determined using current accredited software within Victoria (such as </w:t>
      </w:r>
      <w:proofErr w:type="spellStart"/>
      <w:r w:rsidRPr="008B165E">
        <w:t>FirstRate</w:t>
      </w:r>
      <w:proofErr w:type="spellEnd"/>
      <w:r w:rsidRPr="008B165E">
        <w:t xml:space="preserve"> 5 House Energy Rating software or an approved equivalent)</w:t>
      </w:r>
      <w:r>
        <w:t xml:space="preserve">, </w:t>
      </w:r>
      <w:r w:rsidRPr="008B32AB">
        <w:t xml:space="preserve">with </w:t>
      </w:r>
      <w:r>
        <w:t xml:space="preserve">the </w:t>
      </w:r>
      <w:r w:rsidRPr="008B32AB">
        <w:t>rating undertaken by a thermal performance assessor accredited by either the Building Design Association of Victoria (BDAV) or the Australian Building Sustainability Association (ABSA).</w:t>
      </w:r>
      <w:r w:rsidRPr="008B165E">
        <w:t xml:space="preserve"> </w:t>
      </w:r>
    </w:p>
    <w:p w14:paraId="01C43E92" w14:textId="48383056" w:rsidR="006C4D16" w:rsidRPr="008B165E" w:rsidRDefault="006C4D16" w:rsidP="00DE56C3">
      <w:pPr>
        <w:pStyle w:val="BodyText"/>
        <w:numPr>
          <w:ilvl w:val="0"/>
          <w:numId w:val="37"/>
        </w:numPr>
        <w:spacing w:before="120" w:after="120"/>
      </w:pPr>
      <w:r w:rsidRPr="008B165E">
        <w:lastRenderedPageBreak/>
        <w:t xml:space="preserve">Respondents </w:t>
      </w:r>
      <w:r w:rsidR="005B34AE">
        <w:t>must</w:t>
      </w:r>
      <w:r w:rsidRPr="008B165E">
        <w:t xml:space="preserve"> </w:t>
      </w:r>
      <w:r>
        <w:t>assess</w:t>
      </w:r>
      <w:r w:rsidRPr="008B165E">
        <w:t xml:space="preserve"> the build </w:t>
      </w:r>
      <w:r>
        <w:t xml:space="preserve">quality at appropriate points in the build process and at completion </w:t>
      </w:r>
      <w:r w:rsidRPr="008B165E">
        <w:t xml:space="preserve">to </w:t>
      </w:r>
      <w:r>
        <w:t>verify</w:t>
      </w:r>
      <w:r w:rsidRPr="008B165E">
        <w:t xml:space="preserve"> the extent to which the achieve</w:t>
      </w:r>
      <w:r>
        <w:t>d sustainability results comply</w:t>
      </w:r>
      <w:r w:rsidRPr="008B165E">
        <w:t xml:space="preserve"> with approved design specifications and reach the </w:t>
      </w:r>
      <w:r>
        <w:t>approved target</w:t>
      </w:r>
      <w:r w:rsidRPr="008B165E">
        <w:t xml:space="preserve"> star rating. Examples of </w:t>
      </w:r>
      <w:r>
        <w:t xml:space="preserve">appropriate assessment </w:t>
      </w:r>
      <w:r w:rsidRPr="008B165E">
        <w:t xml:space="preserve">methods </w:t>
      </w:r>
      <w:r>
        <w:t>may</w:t>
      </w:r>
      <w:r w:rsidRPr="008B165E">
        <w:t xml:space="preserve"> include:</w:t>
      </w:r>
    </w:p>
    <w:p w14:paraId="60A106CF" w14:textId="77777777" w:rsidR="006C4D16" w:rsidRPr="008B165E" w:rsidRDefault="006C4D16" w:rsidP="00DE56C3">
      <w:pPr>
        <w:pStyle w:val="Bullets1"/>
        <w:numPr>
          <w:ilvl w:val="1"/>
          <w:numId w:val="37"/>
        </w:numPr>
        <w:spacing w:after="0"/>
      </w:pPr>
      <w:r w:rsidRPr="008B165E">
        <w:t xml:space="preserve">As-built certification inspections </w:t>
      </w:r>
    </w:p>
    <w:p w14:paraId="1C8F0DA4" w14:textId="4E93C3E7" w:rsidR="006C4D16" w:rsidRPr="008B165E" w:rsidRDefault="006C4D16" w:rsidP="00DE56C3">
      <w:pPr>
        <w:pStyle w:val="Bullets1"/>
        <w:numPr>
          <w:ilvl w:val="1"/>
          <w:numId w:val="37"/>
        </w:numPr>
        <w:spacing w:after="0"/>
      </w:pPr>
      <w:r w:rsidRPr="008B165E">
        <w:t xml:space="preserve">Insulation integrity </w:t>
      </w:r>
      <w:r>
        <w:t>checking</w:t>
      </w:r>
      <w:r w:rsidRPr="008B165E">
        <w:t xml:space="preserve"> </w:t>
      </w:r>
      <w:r>
        <w:t>(e.g. using a thermal imaging camera)</w:t>
      </w:r>
    </w:p>
    <w:p w14:paraId="370B2046" w14:textId="3DDC0167" w:rsidR="006C4D16" w:rsidRPr="008B165E" w:rsidRDefault="006C4D16" w:rsidP="00DE56C3">
      <w:pPr>
        <w:pStyle w:val="Bullets1"/>
        <w:numPr>
          <w:ilvl w:val="1"/>
          <w:numId w:val="37"/>
        </w:numPr>
        <w:spacing w:after="0"/>
      </w:pPr>
      <w:r>
        <w:t>Air leakage</w:t>
      </w:r>
      <w:r w:rsidR="00B63977">
        <w:t xml:space="preserve"> testing</w:t>
      </w:r>
      <w:r>
        <w:t xml:space="preserve"> (</w:t>
      </w:r>
      <w:r w:rsidR="00B63977">
        <w:t xml:space="preserve">e.g. </w:t>
      </w:r>
      <w:r>
        <w:t>b</w:t>
      </w:r>
      <w:r w:rsidRPr="008B165E">
        <w:t>lower door testing</w:t>
      </w:r>
      <w:r>
        <w:t>)</w:t>
      </w:r>
    </w:p>
    <w:p w14:paraId="40E1F326" w14:textId="63569519" w:rsidR="006C4D16" w:rsidRPr="008B165E" w:rsidRDefault="006C4D16" w:rsidP="00DE56C3">
      <w:pPr>
        <w:pStyle w:val="BodyText"/>
        <w:numPr>
          <w:ilvl w:val="0"/>
          <w:numId w:val="37"/>
        </w:numPr>
      </w:pPr>
      <w:r w:rsidRPr="008B165E">
        <w:t xml:space="preserve">Respondents </w:t>
      </w:r>
      <w:r w:rsidR="005B34AE">
        <w:t>must</w:t>
      </w:r>
      <w:r w:rsidRPr="008B165E">
        <w:t xml:space="preserve"> supply evidence to CAV’s reasonable satisfaction that the approved environmentally sustainable features have been included in the build, and that the </w:t>
      </w:r>
      <w:r w:rsidR="00CD7ADE">
        <w:t>verification</w:t>
      </w:r>
      <w:r w:rsidRPr="008B165E">
        <w:t xml:space="preserve"> process</w:t>
      </w:r>
      <w:r>
        <w:t>es have</w:t>
      </w:r>
      <w:r w:rsidRPr="008B165E">
        <w:t xml:space="preserve"> been completed. </w:t>
      </w:r>
    </w:p>
    <w:p w14:paraId="74353938" w14:textId="2687460D" w:rsidR="00720072" w:rsidRPr="008B165E" w:rsidRDefault="00720072" w:rsidP="00720072">
      <w:pPr>
        <w:pStyle w:val="BodyText"/>
      </w:pPr>
      <w:r w:rsidRPr="008B165E">
        <w:t xml:space="preserve">Respondents </w:t>
      </w:r>
      <w:r w:rsidR="005B34AE">
        <w:t>are</w:t>
      </w:r>
      <w:r w:rsidRPr="008B165E">
        <w:t xml:space="preserve"> required to provide in their Response detailed information regarding the proposed environmentally sustainable design features to be incorporated in their development. Examples of features to be viewed favourably include (but are not limited to):</w:t>
      </w:r>
    </w:p>
    <w:p w14:paraId="38E112CE" w14:textId="77777777" w:rsidR="00720072" w:rsidRPr="00D51A6E" w:rsidRDefault="00720072" w:rsidP="00720072">
      <w:pPr>
        <w:pStyle w:val="ListBullet"/>
      </w:pPr>
      <w:r w:rsidRPr="008B165E">
        <w:t xml:space="preserve">Optimum passive solar design and </w:t>
      </w:r>
      <w:r w:rsidRPr="00D51A6E">
        <w:t>site orientation</w:t>
      </w:r>
    </w:p>
    <w:p w14:paraId="2D9B2D3F" w14:textId="77777777" w:rsidR="00720072" w:rsidRPr="00D51A6E" w:rsidRDefault="00720072" w:rsidP="00720072">
      <w:pPr>
        <w:pStyle w:val="ListBullet"/>
      </w:pPr>
      <w:r w:rsidRPr="00D51A6E">
        <w:t>Good quality, effective, shading for west, north and east facing windows</w:t>
      </w:r>
    </w:p>
    <w:p w14:paraId="35239D82" w14:textId="77777777" w:rsidR="00720072" w:rsidRPr="008B165E" w:rsidRDefault="00720072" w:rsidP="00720072">
      <w:pPr>
        <w:pStyle w:val="ListBullet"/>
      </w:pPr>
      <w:r w:rsidRPr="008B165E">
        <w:t xml:space="preserve">Use of high quality insulation </w:t>
      </w:r>
      <w:r>
        <w:t>under</w:t>
      </w:r>
      <w:r w:rsidRPr="008B165E">
        <w:t xml:space="preserve"> floors</w:t>
      </w:r>
      <w:r>
        <w:t xml:space="preserve"> (where relevant)</w:t>
      </w:r>
      <w:r w:rsidRPr="008B165E">
        <w:t xml:space="preserve">, </w:t>
      </w:r>
      <w:r>
        <w:t xml:space="preserve">in </w:t>
      </w:r>
      <w:r w:rsidRPr="008B165E">
        <w:t xml:space="preserve">walls and </w:t>
      </w:r>
      <w:r>
        <w:t xml:space="preserve">on </w:t>
      </w:r>
      <w:r w:rsidRPr="008B165E">
        <w:t>ceilings</w:t>
      </w:r>
    </w:p>
    <w:p w14:paraId="325E52FA" w14:textId="24F308BC" w:rsidR="00720072" w:rsidRPr="008B165E" w:rsidRDefault="00720072" w:rsidP="00720072">
      <w:pPr>
        <w:pStyle w:val="ListBullet"/>
      </w:pPr>
      <w:r w:rsidRPr="008B165E">
        <w:t>Window</w:t>
      </w:r>
      <w:r>
        <w:t xml:space="preserve">s with good thermal performance, including </w:t>
      </w:r>
      <w:r w:rsidR="005B34AE">
        <w:t xml:space="preserve">double glazing and </w:t>
      </w:r>
      <w:r>
        <w:t>window</w:t>
      </w:r>
      <w:r w:rsidRPr="008B165E">
        <w:t xml:space="preserve"> frame design to minimise heat loss and gain</w:t>
      </w:r>
    </w:p>
    <w:p w14:paraId="67A216FC" w14:textId="77777777" w:rsidR="00720072" w:rsidRPr="008B165E" w:rsidRDefault="00720072" w:rsidP="00720072">
      <w:pPr>
        <w:pStyle w:val="ListBullet"/>
      </w:pPr>
      <w:r w:rsidRPr="008B165E">
        <w:t>Use of materials that have a lower environmental impact, including embodied energy consumption, and which are recyclable or reusable</w:t>
      </w:r>
    </w:p>
    <w:p w14:paraId="5058BD67" w14:textId="77777777" w:rsidR="00720072" w:rsidRPr="008B165E" w:rsidRDefault="00720072" w:rsidP="00720072">
      <w:pPr>
        <w:pStyle w:val="ListBullet"/>
      </w:pPr>
      <w:r w:rsidRPr="008B165E">
        <w:t xml:space="preserve">Energy efficient heating and cooling systems (e.g. </w:t>
      </w:r>
      <w:r>
        <w:t xml:space="preserve">high efficiency </w:t>
      </w:r>
      <w:r w:rsidRPr="008B165E">
        <w:t>electric heat pump split system heating and</w:t>
      </w:r>
      <w:r>
        <w:t xml:space="preserve"> high efficiency</w:t>
      </w:r>
      <w:r w:rsidRPr="008B165E">
        <w:t xml:space="preserve"> electric heat pump hot water systems)</w:t>
      </w:r>
    </w:p>
    <w:p w14:paraId="7766FBEB" w14:textId="77777777" w:rsidR="00720072" w:rsidRPr="008B165E" w:rsidRDefault="00720072" w:rsidP="00720072">
      <w:pPr>
        <w:pStyle w:val="ListBullet"/>
      </w:pPr>
      <w:r w:rsidRPr="008B165E">
        <w:t>Energy efficient lighting (LED or compact fluorescent globes)</w:t>
      </w:r>
    </w:p>
    <w:p w14:paraId="44DB6EF7" w14:textId="77777777" w:rsidR="00720072" w:rsidRPr="008B165E" w:rsidRDefault="00720072" w:rsidP="00720072">
      <w:pPr>
        <w:pStyle w:val="ListBullet"/>
      </w:pPr>
      <w:r w:rsidRPr="008B165E">
        <w:t>Solar photovoltaic systems optimally sized and designed for the development</w:t>
      </w:r>
    </w:p>
    <w:p w14:paraId="313CD8AA" w14:textId="77777777" w:rsidR="00720072" w:rsidRPr="008B165E" w:rsidRDefault="00720072" w:rsidP="00720072">
      <w:pPr>
        <w:pStyle w:val="ListBullet"/>
      </w:pPr>
      <w:r w:rsidRPr="008B165E">
        <w:t>Battery storage for new solar PV systems (the investment business case must be supported by a report from an accredited energy assessor)</w:t>
      </w:r>
    </w:p>
    <w:p w14:paraId="512FD31F" w14:textId="77777777" w:rsidR="002A4BE7" w:rsidRDefault="002A4BE7" w:rsidP="002A4BE7">
      <w:pPr>
        <w:pStyle w:val="ListBullet"/>
      </w:pPr>
      <w:r>
        <w:t xml:space="preserve">All electric buildings powered with renewable energy </w:t>
      </w:r>
    </w:p>
    <w:p w14:paraId="650ED97E" w14:textId="77777777" w:rsidR="002A4BE7" w:rsidRPr="008B165E" w:rsidRDefault="002A4BE7" w:rsidP="002A4BE7">
      <w:pPr>
        <w:pStyle w:val="ListBullet"/>
      </w:pPr>
      <w:r w:rsidRPr="008B165E">
        <w:t>Embedded networks (for Class 2 buildings)</w:t>
      </w:r>
    </w:p>
    <w:p w14:paraId="0650D0EC" w14:textId="77777777" w:rsidR="00720072" w:rsidRPr="008B165E" w:rsidRDefault="00720072" w:rsidP="00720072">
      <w:pPr>
        <w:pStyle w:val="ListBullet"/>
      </w:pPr>
      <w:r w:rsidRPr="008B165E">
        <w:t>Use of water sensitive urban design principles, including stormwater management systems</w:t>
      </w:r>
    </w:p>
    <w:p w14:paraId="6B42BB3D" w14:textId="5AA83FCC" w:rsidR="00720072" w:rsidRPr="008B165E" w:rsidRDefault="00720072" w:rsidP="00720072">
      <w:pPr>
        <w:pStyle w:val="ListBullet"/>
      </w:pPr>
      <w:r w:rsidRPr="008B165E">
        <w:t>Water and energy efficient appliances.</w:t>
      </w:r>
    </w:p>
    <w:p w14:paraId="2D85CADE" w14:textId="77777777" w:rsidR="00720072" w:rsidRDefault="00720072" w:rsidP="00720072">
      <w:pPr>
        <w:pStyle w:val="BodyText"/>
      </w:pPr>
      <w:r w:rsidRPr="008B165E">
        <w:t xml:space="preserve">Respondents are encouraged to explore other financial incentives to include environmentally sustainable features that are available through other federal or state energy efficiency upgrade programs or schemes including the Victorian Government’s Solar Homes Package or the Victorian Energy Upgrades (VEU) Scheme. For more information see </w:t>
      </w:r>
      <w:hyperlink r:id="rId10" w:history="1">
        <w:r w:rsidRPr="008B165E">
          <w:rPr>
            <w:rStyle w:val="Hyperlink"/>
          </w:rPr>
          <w:t>http://www.solar.vic.gov.au/</w:t>
        </w:r>
      </w:hyperlink>
      <w:r w:rsidRPr="008B165E">
        <w:t xml:space="preserve"> and </w:t>
      </w:r>
      <w:hyperlink r:id="rId11" w:history="1">
        <w:r w:rsidRPr="008B165E">
          <w:rPr>
            <w:rStyle w:val="Hyperlink"/>
          </w:rPr>
          <w:t>https://www.veet.vic.gov.au/Public/Public.aspx?id=Home</w:t>
        </w:r>
      </w:hyperlink>
    </w:p>
    <w:p w14:paraId="46BFB83A" w14:textId="3EA9010F" w:rsidR="00812BAE" w:rsidRPr="00B85382" w:rsidRDefault="00812BAE" w:rsidP="006B29C1">
      <w:pPr>
        <w:pStyle w:val="Heading1"/>
      </w:pPr>
      <w:bookmarkStart w:id="6" w:name="_Toc474401448"/>
      <w:bookmarkStart w:id="7" w:name="_Toc474479177"/>
      <w:bookmarkStart w:id="8" w:name="_Toc474505621"/>
      <w:bookmarkStart w:id="9" w:name="_Toc474401449"/>
      <w:bookmarkStart w:id="10" w:name="_Toc474479178"/>
      <w:bookmarkStart w:id="11" w:name="_Toc474505622"/>
      <w:bookmarkStart w:id="12" w:name="_Toc523845040"/>
      <w:bookmarkEnd w:id="6"/>
      <w:bookmarkEnd w:id="7"/>
      <w:bookmarkEnd w:id="8"/>
      <w:bookmarkEnd w:id="9"/>
      <w:bookmarkEnd w:id="10"/>
      <w:bookmarkEnd w:id="11"/>
      <w:r w:rsidRPr="00A24A29">
        <w:lastRenderedPageBreak/>
        <w:t>I</w:t>
      </w:r>
      <w:r>
        <w:t xml:space="preserve">nformation on the </w:t>
      </w:r>
      <w:r w:rsidR="00B948DC">
        <w:t>EOI</w:t>
      </w:r>
      <w:r w:rsidRPr="00A24A29">
        <w:t xml:space="preserve"> </w:t>
      </w:r>
      <w:r w:rsidR="00564CAD">
        <w:t xml:space="preserve">and Grant application </w:t>
      </w:r>
      <w:r w:rsidRPr="00A24A29">
        <w:t>P</w:t>
      </w:r>
      <w:r>
        <w:t>rocess</w:t>
      </w:r>
      <w:bookmarkEnd w:id="12"/>
    </w:p>
    <w:p w14:paraId="440B5306" w14:textId="35C33744" w:rsidR="00883196" w:rsidRDefault="00DD4C08" w:rsidP="006B29C1">
      <w:pPr>
        <w:pStyle w:val="Heading2"/>
      </w:pPr>
      <w:bookmarkStart w:id="13" w:name="_Toc523845041"/>
      <w:r>
        <w:t xml:space="preserve">A </w:t>
      </w:r>
      <w:r w:rsidR="00564CAD">
        <w:t xml:space="preserve">Two-Stage </w:t>
      </w:r>
      <w:r w:rsidR="00883196">
        <w:t>Process</w:t>
      </w:r>
      <w:bookmarkEnd w:id="13"/>
    </w:p>
    <w:p w14:paraId="017CF1BD" w14:textId="56BA59E3" w:rsidR="00883196" w:rsidRPr="00883196" w:rsidRDefault="00883196" w:rsidP="00883196">
      <w:pPr>
        <w:keepNext/>
      </w:pPr>
      <w:r w:rsidRPr="00883196">
        <w:t xml:space="preserve">The </w:t>
      </w:r>
      <w:r w:rsidR="00F71FDF">
        <w:t>two-stage</w:t>
      </w:r>
      <w:r w:rsidR="00F71FDF" w:rsidRPr="00883196">
        <w:t xml:space="preserve"> </w:t>
      </w:r>
      <w:r w:rsidR="009242A2">
        <w:t xml:space="preserve">EOI and Grant Application </w:t>
      </w:r>
      <w:r w:rsidRPr="00883196">
        <w:t xml:space="preserve">process </w:t>
      </w:r>
      <w:r w:rsidR="009242A2">
        <w:t xml:space="preserve">(the Two Stage Process) </w:t>
      </w:r>
      <w:r w:rsidRPr="00883196">
        <w:t>for the Program will consist of:</w:t>
      </w:r>
    </w:p>
    <w:p w14:paraId="315289FF" w14:textId="77777777" w:rsidR="00883196" w:rsidRPr="00A21B98" w:rsidRDefault="00A21B98" w:rsidP="006B29C1">
      <w:pPr>
        <w:pStyle w:val="ListBullet"/>
      </w:pPr>
      <w:r>
        <w:t>T</w:t>
      </w:r>
      <w:r w:rsidR="00883196" w:rsidRPr="00A21B98">
        <w:t>he EOI stage, which:</w:t>
      </w:r>
    </w:p>
    <w:p w14:paraId="4684C72A" w14:textId="029C6E93" w:rsidR="00883196" w:rsidRPr="006B29C1" w:rsidRDefault="00883196" w:rsidP="006B29C1">
      <w:pPr>
        <w:pStyle w:val="ListBullet2"/>
      </w:pPr>
      <w:r w:rsidRPr="006B29C1">
        <w:t xml:space="preserve">commences with the issue of this </w:t>
      </w:r>
      <w:r w:rsidR="00626252" w:rsidRPr="006B29C1">
        <w:t>I</w:t>
      </w:r>
      <w:r w:rsidRPr="006B29C1">
        <w:t>EOI;</w:t>
      </w:r>
    </w:p>
    <w:p w14:paraId="6ED97F31" w14:textId="12748E8A" w:rsidR="00883196" w:rsidRPr="006B29C1" w:rsidRDefault="00883196" w:rsidP="006B29C1">
      <w:pPr>
        <w:pStyle w:val="ListBullet2"/>
      </w:pPr>
      <w:r w:rsidRPr="006B29C1">
        <w:t>involves the e</w:t>
      </w:r>
      <w:r w:rsidR="00326ED7" w:rsidRPr="006B29C1">
        <w:t xml:space="preserve">valuation process </w:t>
      </w:r>
      <w:r w:rsidR="00326ED7" w:rsidRPr="00156FE8">
        <w:t>described at S</w:t>
      </w:r>
      <w:r w:rsidRPr="008475F5">
        <w:t>ection </w:t>
      </w:r>
      <w:r w:rsidR="00D16002" w:rsidRPr="00156FE8">
        <w:fldChar w:fldCharType="begin"/>
      </w:r>
      <w:r w:rsidR="00D16002" w:rsidRPr="0043321B">
        <w:instrText xml:space="preserve"> REF _Ref467775508 \r \h </w:instrText>
      </w:r>
      <w:r w:rsidR="006B29C1" w:rsidRPr="0043321B">
        <w:instrText xml:space="preserve"> \* MERGEFORMAT </w:instrText>
      </w:r>
      <w:r w:rsidR="00D16002" w:rsidRPr="00156FE8">
        <w:fldChar w:fldCharType="separate"/>
      </w:r>
      <w:r w:rsidR="004E7137" w:rsidRPr="00156FE8">
        <w:rPr>
          <w:cs/>
        </w:rPr>
        <w:t>‎</w:t>
      </w:r>
      <w:r w:rsidR="004E7137" w:rsidRPr="008475F5">
        <w:t>4</w:t>
      </w:r>
      <w:r w:rsidR="00D16002" w:rsidRPr="00156FE8">
        <w:fldChar w:fldCharType="end"/>
      </w:r>
      <w:r w:rsidRPr="006B29C1">
        <w:t xml:space="preserve"> of this </w:t>
      </w:r>
      <w:r w:rsidR="00626252" w:rsidRPr="006B29C1">
        <w:t>I</w:t>
      </w:r>
      <w:r w:rsidRPr="006B29C1">
        <w:t>EOI, including the potential for interaction with Respondents during evaluation; and</w:t>
      </w:r>
    </w:p>
    <w:p w14:paraId="28F176BC" w14:textId="51E34324" w:rsidR="00883196" w:rsidRPr="006B29C1" w:rsidRDefault="00883196" w:rsidP="006B29C1">
      <w:pPr>
        <w:pStyle w:val="ListBullet2"/>
      </w:pPr>
      <w:r w:rsidRPr="006B29C1">
        <w:t xml:space="preserve">concludes with the </w:t>
      </w:r>
      <w:r w:rsidR="00326ED7" w:rsidRPr="006B29C1">
        <w:t>notification</w:t>
      </w:r>
      <w:r w:rsidRPr="006B29C1">
        <w:t xml:space="preserve"> of Respondents </w:t>
      </w:r>
      <w:r w:rsidR="00326ED7" w:rsidRPr="006B29C1">
        <w:t xml:space="preserve">who submitted shortlisted Responses </w:t>
      </w:r>
      <w:r w:rsidRPr="006B29C1">
        <w:t>(Proponents)</w:t>
      </w:r>
      <w:r w:rsidR="00326ED7" w:rsidRPr="006B29C1">
        <w:t xml:space="preserve">; </w:t>
      </w:r>
    </w:p>
    <w:p w14:paraId="5264CE8E" w14:textId="72A57D83" w:rsidR="00883196" w:rsidRPr="00A21B98" w:rsidRDefault="00A21B98" w:rsidP="006B29C1">
      <w:pPr>
        <w:pStyle w:val="ListBullet"/>
      </w:pPr>
      <w:r>
        <w:t>T</w:t>
      </w:r>
      <w:r w:rsidR="00883196" w:rsidRPr="00A21B98">
        <w:t xml:space="preserve">he </w:t>
      </w:r>
      <w:r w:rsidR="00F71FDF">
        <w:t>Grant Application</w:t>
      </w:r>
      <w:r w:rsidR="00F71FDF" w:rsidRPr="00A21B98">
        <w:t xml:space="preserve"> </w:t>
      </w:r>
      <w:r w:rsidR="00883196" w:rsidRPr="00A21B98">
        <w:t>stage which:</w:t>
      </w:r>
    </w:p>
    <w:p w14:paraId="005509A3" w14:textId="2A14BDDE" w:rsidR="00883196" w:rsidRPr="00583D8E" w:rsidRDefault="00883196" w:rsidP="006B29C1">
      <w:pPr>
        <w:pStyle w:val="ListBullet2"/>
      </w:pPr>
      <w:r w:rsidRPr="00583D8E">
        <w:t xml:space="preserve">commences </w:t>
      </w:r>
      <w:r w:rsidR="00326ED7" w:rsidRPr="00583D8E">
        <w:t>with</w:t>
      </w:r>
      <w:r w:rsidR="00F71FDF" w:rsidRPr="00583D8E">
        <w:t xml:space="preserve"> CAV </w:t>
      </w:r>
      <w:r w:rsidR="00FF293F" w:rsidRPr="00583D8E">
        <w:t xml:space="preserve">inviting </w:t>
      </w:r>
      <w:r w:rsidR="00326ED7" w:rsidRPr="00583D8E">
        <w:t>Proponents</w:t>
      </w:r>
      <w:r w:rsidR="00F71FDF" w:rsidRPr="00583D8E">
        <w:t xml:space="preserve"> to lodge a </w:t>
      </w:r>
      <w:r w:rsidR="00326ED7" w:rsidRPr="00583D8E">
        <w:t>formal grant application to the VPF (</w:t>
      </w:r>
      <w:r w:rsidR="00F71FDF" w:rsidRPr="00583D8E">
        <w:t>Grant Application</w:t>
      </w:r>
      <w:r w:rsidR="00326ED7" w:rsidRPr="00583D8E">
        <w:t>)</w:t>
      </w:r>
      <w:r w:rsidRPr="00583D8E">
        <w:t>;</w:t>
      </w:r>
    </w:p>
    <w:p w14:paraId="595F62D8" w14:textId="59862D06" w:rsidR="00883196" w:rsidRPr="00583D8E" w:rsidRDefault="00883196" w:rsidP="006B29C1">
      <w:pPr>
        <w:pStyle w:val="ListBullet2"/>
      </w:pPr>
      <w:r w:rsidRPr="00583D8E">
        <w:t xml:space="preserve">continues with the </w:t>
      </w:r>
      <w:r w:rsidR="00F71FDF" w:rsidRPr="00583D8E">
        <w:t xml:space="preserve">receipt </w:t>
      </w:r>
      <w:r w:rsidRPr="00583D8E">
        <w:t xml:space="preserve">and evaluation of </w:t>
      </w:r>
      <w:r w:rsidR="00F71FDF" w:rsidRPr="00583D8E">
        <w:t>Grant Applications</w:t>
      </w:r>
      <w:r w:rsidR="005E3D49" w:rsidRPr="00583D8E">
        <w:t>, including consultation</w:t>
      </w:r>
      <w:r w:rsidR="00F500A7" w:rsidRPr="00583D8E">
        <w:t xml:space="preserve"> by CAV</w:t>
      </w:r>
      <w:r w:rsidR="005E3D49" w:rsidRPr="00583D8E">
        <w:t xml:space="preserve"> with </w:t>
      </w:r>
      <w:r w:rsidR="00F500A7" w:rsidRPr="00583D8E">
        <w:t>DHHS</w:t>
      </w:r>
      <w:r w:rsidR="00784C88" w:rsidRPr="00583D8E">
        <w:t>,</w:t>
      </w:r>
      <w:r w:rsidR="00BF7075">
        <w:t xml:space="preserve"> the Registrar, the</w:t>
      </w:r>
      <w:r w:rsidR="00784C88" w:rsidRPr="00583D8E">
        <w:t xml:space="preserve"> Department of Treasury and Finance</w:t>
      </w:r>
      <w:r w:rsidR="00F500A7" w:rsidRPr="00583D8E">
        <w:t xml:space="preserve"> (DTF)</w:t>
      </w:r>
      <w:r w:rsidR="00422A98" w:rsidRPr="00583D8E">
        <w:t>,</w:t>
      </w:r>
      <w:r w:rsidR="00784C88" w:rsidRPr="00583D8E">
        <w:t xml:space="preserve"> </w:t>
      </w:r>
      <w:r w:rsidR="00DC2F2A">
        <w:t xml:space="preserve">Sustainability Victoria (SV) </w:t>
      </w:r>
      <w:r w:rsidR="005E3D49" w:rsidRPr="00583D8E">
        <w:t xml:space="preserve">and </w:t>
      </w:r>
      <w:r w:rsidR="00626252" w:rsidRPr="00583D8E">
        <w:t xml:space="preserve">the </w:t>
      </w:r>
      <w:r w:rsidR="00784C88" w:rsidRPr="00583D8E">
        <w:t>Estate Agents Council</w:t>
      </w:r>
      <w:r w:rsidR="00F500A7" w:rsidRPr="00583D8E">
        <w:t xml:space="preserve"> (EAC)</w:t>
      </w:r>
      <w:r w:rsidRPr="00583D8E">
        <w:t>; and</w:t>
      </w:r>
    </w:p>
    <w:p w14:paraId="3B5FCDE4" w14:textId="15411D54" w:rsidR="00883196" w:rsidRPr="00583D8E" w:rsidRDefault="00883196" w:rsidP="006B29C1">
      <w:pPr>
        <w:pStyle w:val="ListBullet2"/>
      </w:pPr>
      <w:r w:rsidRPr="00583D8E">
        <w:t xml:space="preserve">concludes with the </w:t>
      </w:r>
      <w:r w:rsidR="00F71FDF" w:rsidRPr="00583D8E">
        <w:t xml:space="preserve">Minister </w:t>
      </w:r>
      <w:proofErr w:type="gramStart"/>
      <w:r w:rsidR="005E3D49" w:rsidRPr="00583D8E">
        <w:t xml:space="preserve">making a </w:t>
      </w:r>
      <w:r w:rsidR="00422A98" w:rsidRPr="00583D8E">
        <w:t>determination</w:t>
      </w:r>
      <w:proofErr w:type="gramEnd"/>
      <w:r w:rsidR="005E3D49" w:rsidRPr="00583D8E">
        <w:t xml:space="preserve"> on each Grant Application</w:t>
      </w:r>
      <w:r w:rsidR="005D6741" w:rsidRPr="00583D8E">
        <w:t>,</w:t>
      </w:r>
      <w:r w:rsidR="005E3D49" w:rsidRPr="00583D8E">
        <w:t xml:space="preserve"> </w:t>
      </w:r>
      <w:r w:rsidR="00422A98" w:rsidRPr="00583D8E">
        <w:t xml:space="preserve">and the </w:t>
      </w:r>
      <w:r w:rsidRPr="00583D8E">
        <w:t xml:space="preserve">announcement </w:t>
      </w:r>
      <w:r w:rsidR="00422A98" w:rsidRPr="00583D8E">
        <w:t xml:space="preserve">of VPF grants to </w:t>
      </w:r>
      <w:r w:rsidR="00F500A7" w:rsidRPr="00583D8E">
        <w:t>successful</w:t>
      </w:r>
      <w:r w:rsidR="00422A98" w:rsidRPr="00583D8E">
        <w:t xml:space="preserve"> </w:t>
      </w:r>
      <w:r w:rsidRPr="00583D8E">
        <w:t>Proponent(s); and</w:t>
      </w:r>
    </w:p>
    <w:p w14:paraId="656A6863" w14:textId="707EC243" w:rsidR="00883196" w:rsidRPr="00A21B98" w:rsidRDefault="00A21B98" w:rsidP="00185427">
      <w:pPr>
        <w:pStyle w:val="ListBullet"/>
      </w:pPr>
      <w:r>
        <w:t>T</w:t>
      </w:r>
      <w:r w:rsidR="00883196" w:rsidRPr="00A21B98">
        <w:t xml:space="preserve">he completion stage, comprising execution of the </w:t>
      </w:r>
      <w:r w:rsidR="00C60EF9">
        <w:t>Funding Agreement</w:t>
      </w:r>
      <w:r w:rsidR="00883196" w:rsidRPr="00A21B98">
        <w:t xml:space="preserve"> </w:t>
      </w:r>
      <w:r w:rsidR="00C60EF9">
        <w:t>and</w:t>
      </w:r>
      <w:r w:rsidR="00C60EF9" w:rsidRPr="00A21B98">
        <w:t xml:space="preserve"> </w:t>
      </w:r>
      <w:r w:rsidR="00883196" w:rsidRPr="00A21B98">
        <w:t xml:space="preserve">completion of any requirements </w:t>
      </w:r>
      <w:r w:rsidR="00C60EF9" w:rsidRPr="00A21B98">
        <w:t xml:space="preserve">of </w:t>
      </w:r>
      <w:r w:rsidR="00C60EF9">
        <w:t xml:space="preserve">CAV </w:t>
      </w:r>
      <w:r w:rsidR="00883196" w:rsidRPr="00A21B98">
        <w:t xml:space="preserve">for </w:t>
      </w:r>
      <w:r w:rsidR="00C60EF9">
        <w:t>payment of the initial advance</w:t>
      </w:r>
      <w:r w:rsidR="00422A98">
        <w:t>.</w:t>
      </w:r>
    </w:p>
    <w:p w14:paraId="3E337F86" w14:textId="289D2C0E" w:rsidR="00812BAE" w:rsidRPr="00B85382" w:rsidRDefault="00812BAE" w:rsidP="006B29C1">
      <w:pPr>
        <w:pStyle w:val="Heading2"/>
      </w:pPr>
      <w:bookmarkStart w:id="14" w:name="_Toc523845042"/>
      <w:r w:rsidRPr="00B85382">
        <w:t xml:space="preserve">Purpose of the </w:t>
      </w:r>
      <w:r w:rsidR="00B948DC">
        <w:t>EOI</w:t>
      </w:r>
      <w:r w:rsidRPr="00320391">
        <w:t xml:space="preserve"> </w:t>
      </w:r>
      <w:r>
        <w:t>Process</w:t>
      </w:r>
      <w:bookmarkEnd w:id="14"/>
    </w:p>
    <w:p w14:paraId="58AFFE30" w14:textId="60A88268" w:rsidR="00812BAE" w:rsidRDefault="00812BAE" w:rsidP="00583D8E">
      <w:r>
        <w:t xml:space="preserve">The purpose of the </w:t>
      </w:r>
      <w:r w:rsidR="00B948DC">
        <w:t>EOI</w:t>
      </w:r>
      <w:r>
        <w:t xml:space="preserve"> process is to</w:t>
      </w:r>
      <w:r w:rsidR="00883196">
        <w:t xml:space="preserve"> </w:t>
      </w:r>
      <w:r w:rsidR="00FF293F">
        <w:t xml:space="preserve">assist CAV </w:t>
      </w:r>
      <w:r w:rsidR="00436033">
        <w:t>identify</w:t>
      </w:r>
      <w:r w:rsidR="00FF293F">
        <w:t xml:space="preserve"> current opportunities to fund d</w:t>
      </w:r>
      <w:r w:rsidR="00436033">
        <w:t xml:space="preserve">evelopment projects and to </w:t>
      </w:r>
      <w:r w:rsidR="00883196">
        <w:t xml:space="preserve">select the </w:t>
      </w:r>
      <w:r w:rsidR="00A21B98">
        <w:t>Responde</w:t>
      </w:r>
      <w:r w:rsidR="00883196">
        <w:t xml:space="preserve">nts whom </w:t>
      </w:r>
      <w:r w:rsidR="001B346C">
        <w:t>CAV</w:t>
      </w:r>
      <w:r w:rsidR="00422714">
        <w:t xml:space="preserve">, at its sole discretion, may choose to </w:t>
      </w:r>
      <w:r w:rsidR="001B346C">
        <w:t xml:space="preserve">invite to </w:t>
      </w:r>
      <w:r w:rsidR="00614B62">
        <w:t>make</w:t>
      </w:r>
      <w:r w:rsidR="001B346C">
        <w:t xml:space="preserve"> </w:t>
      </w:r>
      <w:r w:rsidR="00614B62">
        <w:t xml:space="preserve">a </w:t>
      </w:r>
      <w:r w:rsidR="001B346C">
        <w:t>formal Grant Application</w:t>
      </w:r>
      <w:r w:rsidR="00883196">
        <w:t xml:space="preserve">. </w:t>
      </w:r>
      <w:r>
        <w:t xml:space="preserve"> </w:t>
      </w:r>
    </w:p>
    <w:p w14:paraId="72B74E5A" w14:textId="01F15B1E" w:rsidR="00812BAE" w:rsidRDefault="00812BAE" w:rsidP="006B29C1">
      <w:pPr>
        <w:pStyle w:val="Heading2"/>
      </w:pPr>
      <w:bookmarkStart w:id="15" w:name="_Toc523845043"/>
      <w:r>
        <w:t>Who Should Apply</w:t>
      </w:r>
      <w:bookmarkEnd w:id="15"/>
    </w:p>
    <w:p w14:paraId="7D45C781" w14:textId="58C93A7A" w:rsidR="00812BAE" w:rsidRDefault="00812BAE" w:rsidP="00812BAE">
      <w:r>
        <w:t xml:space="preserve">This </w:t>
      </w:r>
      <w:r w:rsidR="002911C8">
        <w:t>IEOI</w:t>
      </w:r>
      <w:r w:rsidRPr="00320391">
        <w:t xml:space="preserve"> </w:t>
      </w:r>
      <w:r>
        <w:t xml:space="preserve">is </w:t>
      </w:r>
      <w:r w:rsidR="00436033">
        <w:t xml:space="preserve">extended </w:t>
      </w:r>
      <w:r w:rsidR="007F5B9A">
        <w:t xml:space="preserve">to all </w:t>
      </w:r>
      <w:r w:rsidR="00B734A6">
        <w:t xml:space="preserve">Community Housing Organisations </w:t>
      </w:r>
      <w:r w:rsidR="00CF1E8E">
        <w:t xml:space="preserve">with significant experience </w:t>
      </w:r>
      <w:r w:rsidR="00B706C1">
        <w:t>develop</w:t>
      </w:r>
      <w:r w:rsidR="00CF1E8E">
        <w:t>ing</w:t>
      </w:r>
      <w:r w:rsidR="00B706C1">
        <w:t xml:space="preserve"> and manag</w:t>
      </w:r>
      <w:r w:rsidR="00CF1E8E">
        <w:t>ing</w:t>
      </w:r>
      <w:r w:rsidR="00B706C1">
        <w:t xml:space="preserve"> </w:t>
      </w:r>
      <w:r w:rsidR="006D5157">
        <w:t xml:space="preserve">long-term </w:t>
      </w:r>
      <w:r w:rsidR="00B85032">
        <w:t>community</w:t>
      </w:r>
      <w:r w:rsidR="00B706C1">
        <w:t xml:space="preserve"> housing in Victoria</w:t>
      </w:r>
      <w:r w:rsidR="00087334">
        <w:t xml:space="preserve"> and that meet mandatory assessment criteria set out in Table 6 of Section 4</w:t>
      </w:r>
      <w:r w:rsidR="007F5B9A">
        <w:t>.</w:t>
      </w:r>
      <w:r w:rsidR="00CF1E8E">
        <w:t xml:space="preserve"> </w:t>
      </w:r>
      <w:r w:rsidR="00087334">
        <w:t>The IEOI is not restricted to Registered Housing Agencies.</w:t>
      </w:r>
    </w:p>
    <w:p w14:paraId="67464E56" w14:textId="04C7CC9A" w:rsidR="00ED04D8" w:rsidRDefault="00ED04D8" w:rsidP="006B29C1">
      <w:pPr>
        <w:pStyle w:val="Heading2"/>
      </w:pPr>
      <w:bookmarkStart w:id="16" w:name="_Toc523845044"/>
      <w:r>
        <w:t>Who Should Not Apply</w:t>
      </w:r>
      <w:bookmarkEnd w:id="16"/>
    </w:p>
    <w:p w14:paraId="4164F6BE" w14:textId="22559984" w:rsidR="00CF1E8E" w:rsidRDefault="002911C8" w:rsidP="00DE56C3">
      <w:r>
        <w:t xml:space="preserve">The IEOI is not </w:t>
      </w:r>
      <w:r w:rsidR="00281F80">
        <w:t>extended</w:t>
      </w:r>
      <w:r>
        <w:t xml:space="preserve"> to:</w:t>
      </w:r>
    </w:p>
    <w:p w14:paraId="06411E56" w14:textId="76A475D1" w:rsidR="00DC2F2A" w:rsidRDefault="00DC2F2A" w:rsidP="00A55642">
      <w:pPr>
        <w:pStyle w:val="ListBullet"/>
      </w:pPr>
      <w:r>
        <w:t xml:space="preserve">any CHO </w:t>
      </w:r>
      <w:r w:rsidR="008A51A1">
        <w:t>that is not financially stable, or which does not hold s</w:t>
      </w:r>
      <w:r>
        <w:t>ignificant experience in the development and management of</w:t>
      </w:r>
      <w:r w:rsidR="00036275">
        <w:t xml:space="preserve"> long term</w:t>
      </w:r>
      <w:r>
        <w:t xml:space="preserve"> community housing </w:t>
      </w:r>
    </w:p>
    <w:p w14:paraId="7529A110" w14:textId="1BC240EA" w:rsidR="00A55642" w:rsidRPr="002F6646" w:rsidRDefault="00464D16" w:rsidP="00A55642">
      <w:pPr>
        <w:pStyle w:val="ListBullet"/>
      </w:pPr>
      <w:r w:rsidRPr="002F6646">
        <w:t>any RHA</w:t>
      </w:r>
      <w:r w:rsidR="00A55642" w:rsidRPr="002F6646">
        <w:t xml:space="preserve"> that </w:t>
      </w:r>
      <w:r w:rsidRPr="002F6646">
        <w:t>is</w:t>
      </w:r>
      <w:r w:rsidR="00A55642" w:rsidRPr="002F6646">
        <w:t xml:space="preserve"> </w:t>
      </w:r>
      <w:r w:rsidR="00B13869" w:rsidRPr="002F6646">
        <w:t xml:space="preserve">under investigation or </w:t>
      </w:r>
      <w:r w:rsidR="00A55642" w:rsidRPr="002F6646">
        <w:t>subject to a formal intervention</w:t>
      </w:r>
      <w:r w:rsidRPr="002F6646">
        <w:t xml:space="preserve"> </w:t>
      </w:r>
      <w:r w:rsidR="00BF7075" w:rsidRPr="002F6646">
        <w:t xml:space="preserve">action </w:t>
      </w:r>
      <w:r w:rsidRPr="002F6646">
        <w:t>by the Registrar of Housing Agencies</w:t>
      </w:r>
      <w:r w:rsidR="00A55642" w:rsidRPr="002F6646">
        <w:t xml:space="preserve"> under </w:t>
      </w:r>
      <w:r w:rsidR="00BF7075" w:rsidRPr="002F6646">
        <w:t>Divisions 7 or 8</w:t>
      </w:r>
      <w:r w:rsidR="005A3B9F" w:rsidRPr="002F6646">
        <w:t xml:space="preserve"> of the </w:t>
      </w:r>
      <w:r w:rsidR="005A3B9F" w:rsidRPr="00DE56C3">
        <w:rPr>
          <w:i/>
        </w:rPr>
        <w:t>Housing Act 1983</w:t>
      </w:r>
    </w:p>
    <w:p w14:paraId="3FBB3BEA" w14:textId="4091E0D0" w:rsidR="002911C8" w:rsidRDefault="002911C8" w:rsidP="006B29C1">
      <w:pPr>
        <w:pStyle w:val="ListBullet"/>
      </w:pPr>
      <w:r>
        <w:t>for-profit organisations</w:t>
      </w:r>
    </w:p>
    <w:p w14:paraId="2723B8FB" w14:textId="77777777" w:rsidR="00DD4C08" w:rsidRDefault="00DD4C08" w:rsidP="006B29C1">
      <w:pPr>
        <w:pStyle w:val="ListBullet"/>
      </w:pPr>
      <w:r>
        <w:t xml:space="preserve">state or federal government departments or agencies </w:t>
      </w:r>
    </w:p>
    <w:p w14:paraId="7564F959" w14:textId="7FF16EEC" w:rsidR="002911C8" w:rsidRDefault="00614B62" w:rsidP="006B29C1">
      <w:pPr>
        <w:pStyle w:val="ListBullet"/>
      </w:pPr>
      <w:r>
        <w:t>u</w:t>
      </w:r>
      <w:r w:rsidR="002911C8">
        <w:t>niversities</w:t>
      </w:r>
      <w:r w:rsidR="00DD4C08">
        <w:t xml:space="preserve">, TAFEs and other academic </w:t>
      </w:r>
      <w:r w:rsidR="002911C8">
        <w:t>institutions</w:t>
      </w:r>
    </w:p>
    <w:p w14:paraId="17BF2697" w14:textId="51183DD7" w:rsidR="00F5078F" w:rsidRDefault="00F5078F" w:rsidP="006B29C1">
      <w:pPr>
        <w:pStyle w:val="ListBullet"/>
      </w:pPr>
      <w:r>
        <w:t>churches</w:t>
      </w:r>
      <w:r w:rsidR="00DD4C08">
        <w:t xml:space="preserve"> or religious o</w:t>
      </w:r>
      <w:r w:rsidR="00B63FD8">
        <w:t xml:space="preserve">rganisations </w:t>
      </w:r>
    </w:p>
    <w:p w14:paraId="74487868" w14:textId="1B40139D" w:rsidR="007C313A" w:rsidRDefault="007C313A" w:rsidP="006B29C1">
      <w:pPr>
        <w:pStyle w:val="ListBullet"/>
      </w:pPr>
      <w:r>
        <w:t>local councils</w:t>
      </w:r>
    </w:p>
    <w:p w14:paraId="658FE136" w14:textId="4CFA2D5B" w:rsidR="00A860F6" w:rsidRDefault="007C313A" w:rsidP="00A860F6">
      <w:r w:rsidRPr="00681123">
        <w:t xml:space="preserve">Local councils </w:t>
      </w:r>
      <w:r w:rsidR="00F5078F" w:rsidRPr="00681123">
        <w:t xml:space="preserve">or churches </w:t>
      </w:r>
      <w:r w:rsidRPr="00681123">
        <w:t>with</w:t>
      </w:r>
      <w:r w:rsidR="00F5078F" w:rsidRPr="00681123">
        <w:t xml:space="preserve"> land to contribute</w:t>
      </w:r>
      <w:r w:rsidR="00ED04D8" w:rsidRPr="00681123">
        <w:t xml:space="preserve"> </w:t>
      </w:r>
      <w:r w:rsidR="003B3E38" w:rsidRPr="00681123">
        <w:t>towards</w:t>
      </w:r>
      <w:r w:rsidR="00B63FD8" w:rsidRPr="00681123">
        <w:t xml:space="preserve"> </w:t>
      </w:r>
      <w:r w:rsidR="00C4680C" w:rsidRPr="00681123">
        <w:t xml:space="preserve">affordable </w:t>
      </w:r>
      <w:r w:rsidR="00B63FD8" w:rsidRPr="00681123">
        <w:t xml:space="preserve">housing </w:t>
      </w:r>
      <w:r w:rsidR="00614B62" w:rsidRPr="00681123">
        <w:t>development projects</w:t>
      </w:r>
      <w:r w:rsidR="00436033" w:rsidRPr="00681123">
        <w:t xml:space="preserve"> for low income or disadvantaged persons</w:t>
      </w:r>
      <w:r w:rsidR="00161993" w:rsidRPr="00681123">
        <w:t xml:space="preserve"> </w:t>
      </w:r>
      <w:r w:rsidR="00ED04D8" w:rsidRPr="00681123">
        <w:t xml:space="preserve">are encouraged to partner with </w:t>
      </w:r>
      <w:r w:rsidR="00D0606D">
        <w:t xml:space="preserve">a </w:t>
      </w:r>
      <w:r w:rsidR="00DC2F2A">
        <w:t>CHO</w:t>
      </w:r>
      <w:r w:rsidR="005A3B9F">
        <w:t xml:space="preserve"> </w:t>
      </w:r>
      <w:r w:rsidR="00394F81" w:rsidRPr="00681123">
        <w:t xml:space="preserve">who </w:t>
      </w:r>
      <w:r w:rsidR="00F45D9E" w:rsidRPr="00681123">
        <w:t xml:space="preserve">can submit </w:t>
      </w:r>
      <w:r w:rsidR="00762D24" w:rsidRPr="00681123">
        <w:t>a Response</w:t>
      </w:r>
      <w:r w:rsidR="00F45D9E" w:rsidRPr="00681123">
        <w:t xml:space="preserve"> on behalf of the partnership. </w:t>
      </w:r>
      <w:r w:rsidR="00036275">
        <w:t>(For more information on Asset Ownership requirements, see Section 3.6.)</w:t>
      </w:r>
    </w:p>
    <w:p w14:paraId="7903A6F5" w14:textId="5BBFB6EC" w:rsidR="00812BAE" w:rsidRDefault="00812BAE" w:rsidP="006B29C1">
      <w:pPr>
        <w:pStyle w:val="Heading2"/>
      </w:pPr>
      <w:bookmarkStart w:id="17" w:name="_Toc523845045"/>
      <w:r>
        <w:lastRenderedPageBreak/>
        <w:t>Key Dates</w:t>
      </w:r>
      <w:bookmarkEnd w:id="17"/>
    </w:p>
    <w:p w14:paraId="1C28F207" w14:textId="50894E8D" w:rsidR="00812BAE" w:rsidRDefault="00812BAE" w:rsidP="00812BAE">
      <w:r>
        <w:t>Key</w:t>
      </w:r>
      <w:r w:rsidR="007F5B9A">
        <w:t xml:space="preserve"> proposed</w:t>
      </w:r>
      <w:r>
        <w:t xml:space="preserve"> dates for </w:t>
      </w:r>
      <w:r w:rsidR="00633084">
        <w:t xml:space="preserve">the two-stage process </w:t>
      </w:r>
      <w:r>
        <w:t xml:space="preserve">are indicated below. </w:t>
      </w:r>
    </w:p>
    <w:p w14:paraId="69D9B51B" w14:textId="186E43AC" w:rsidR="00812BAE" w:rsidRDefault="00812BAE" w:rsidP="00812BAE">
      <w:pPr>
        <w:pStyle w:val="Caption"/>
        <w:keepNext/>
      </w:pPr>
      <w:bookmarkStart w:id="18" w:name="_Ref467774837"/>
      <w:r>
        <w:t xml:space="preserve">Table </w:t>
      </w:r>
      <w:r w:rsidR="002460DD">
        <w:t>1</w:t>
      </w:r>
      <w:r>
        <w:t xml:space="preserve"> - Target Dates</w:t>
      </w:r>
      <w:bookmarkEnd w:id="18"/>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4332"/>
      </w:tblGrid>
      <w:tr w:rsidR="00B948DC" w14:paraId="3A7ED3B5" w14:textId="77777777" w:rsidTr="007A79DF">
        <w:trPr>
          <w:cantSplit/>
          <w:tblHeader/>
        </w:trPr>
        <w:tc>
          <w:tcPr>
            <w:tcW w:w="2389" w:type="pct"/>
            <w:shd w:val="clear" w:color="auto" w:fill="D9D9D9"/>
            <w:hideMark/>
          </w:tcPr>
          <w:p w14:paraId="6005C059" w14:textId="77777777" w:rsidR="00B948DC" w:rsidRDefault="00B948DC" w:rsidP="00985EB5">
            <w:pPr>
              <w:spacing w:before="40" w:after="40"/>
              <w:jc w:val="center"/>
              <w:rPr>
                <w:rFonts w:asciiTheme="minorHAnsi" w:hAnsiTheme="minorHAnsi" w:cstheme="minorHAnsi"/>
                <w:b/>
                <w:iCs/>
              </w:rPr>
            </w:pPr>
            <w:r>
              <w:rPr>
                <w:rFonts w:cstheme="minorHAnsi"/>
                <w:b/>
                <w:iCs/>
              </w:rPr>
              <w:t>Milestone</w:t>
            </w:r>
          </w:p>
        </w:tc>
        <w:tc>
          <w:tcPr>
            <w:tcW w:w="2611" w:type="pct"/>
            <w:shd w:val="clear" w:color="auto" w:fill="D9D9D9"/>
            <w:hideMark/>
          </w:tcPr>
          <w:p w14:paraId="57B0F39E" w14:textId="77777777" w:rsidR="00B948DC" w:rsidRDefault="00B948DC" w:rsidP="00985EB5">
            <w:pPr>
              <w:spacing w:before="40" w:after="40"/>
              <w:jc w:val="center"/>
              <w:rPr>
                <w:rFonts w:cstheme="minorHAnsi"/>
                <w:b/>
                <w:iCs/>
              </w:rPr>
            </w:pPr>
            <w:r>
              <w:rPr>
                <w:rFonts w:cstheme="minorHAnsi"/>
                <w:b/>
                <w:iCs/>
              </w:rPr>
              <w:t>Date</w:t>
            </w:r>
          </w:p>
        </w:tc>
      </w:tr>
      <w:tr w:rsidR="00B948DC" w14:paraId="54D0C998" w14:textId="77777777" w:rsidTr="007A79DF">
        <w:trPr>
          <w:cantSplit/>
        </w:trPr>
        <w:tc>
          <w:tcPr>
            <w:tcW w:w="2389" w:type="pct"/>
            <w:hideMark/>
          </w:tcPr>
          <w:p w14:paraId="2E8CA265" w14:textId="1EF3A921" w:rsidR="00B948DC" w:rsidRDefault="00B948DC" w:rsidP="007A79DF">
            <w:pPr>
              <w:spacing w:before="40" w:after="40"/>
              <w:rPr>
                <w:rFonts w:cstheme="minorHAnsi"/>
                <w:iCs/>
              </w:rPr>
            </w:pPr>
            <w:r>
              <w:rPr>
                <w:rFonts w:cstheme="minorHAnsi"/>
                <w:iCs/>
              </w:rPr>
              <w:t xml:space="preserve">Release of </w:t>
            </w:r>
            <w:r w:rsidR="0076555D">
              <w:rPr>
                <w:rFonts w:cstheme="minorHAnsi"/>
                <w:iCs/>
              </w:rPr>
              <w:t>I</w:t>
            </w:r>
            <w:r>
              <w:rPr>
                <w:rFonts w:cstheme="minorHAnsi"/>
                <w:iCs/>
              </w:rPr>
              <w:t xml:space="preserve">EOI </w:t>
            </w:r>
          </w:p>
        </w:tc>
        <w:tc>
          <w:tcPr>
            <w:tcW w:w="2611" w:type="pct"/>
            <w:hideMark/>
          </w:tcPr>
          <w:p w14:paraId="643EB5C9" w14:textId="2076FBF8" w:rsidR="00B948DC" w:rsidRDefault="0043321B" w:rsidP="00A64305">
            <w:pPr>
              <w:spacing w:before="40" w:after="40"/>
              <w:rPr>
                <w:rFonts w:cstheme="minorHAnsi"/>
                <w:iCs/>
              </w:rPr>
            </w:pPr>
            <w:r>
              <w:rPr>
                <w:rFonts w:cstheme="minorHAnsi"/>
                <w:iCs/>
              </w:rPr>
              <w:t>10</w:t>
            </w:r>
            <w:r w:rsidR="00DC2F2A">
              <w:rPr>
                <w:rFonts w:cstheme="minorHAnsi"/>
                <w:iCs/>
              </w:rPr>
              <w:t xml:space="preserve"> September </w:t>
            </w:r>
            <w:r w:rsidR="00B948DC">
              <w:rPr>
                <w:rFonts w:cstheme="minorHAnsi"/>
                <w:iCs/>
              </w:rPr>
              <w:t>201</w:t>
            </w:r>
            <w:r w:rsidR="00DC2F2A">
              <w:rPr>
                <w:rFonts w:cstheme="minorHAnsi"/>
                <w:iCs/>
              </w:rPr>
              <w:t>8</w:t>
            </w:r>
          </w:p>
        </w:tc>
      </w:tr>
      <w:tr w:rsidR="00B948DC" w14:paraId="3E1662F3" w14:textId="77777777" w:rsidTr="007A79DF">
        <w:trPr>
          <w:cantSplit/>
          <w:trHeight w:val="217"/>
        </w:trPr>
        <w:tc>
          <w:tcPr>
            <w:tcW w:w="2389" w:type="pct"/>
          </w:tcPr>
          <w:p w14:paraId="12F43AF3" w14:textId="7B840078" w:rsidR="00B948DC" w:rsidRDefault="007A79DF" w:rsidP="00266DB1">
            <w:pPr>
              <w:spacing w:before="40" w:after="40"/>
              <w:rPr>
                <w:rFonts w:cstheme="minorHAnsi"/>
                <w:iCs/>
              </w:rPr>
            </w:pPr>
            <w:r>
              <w:rPr>
                <w:rFonts w:cstheme="minorHAnsi"/>
                <w:iCs/>
              </w:rPr>
              <w:t xml:space="preserve">End of </w:t>
            </w:r>
            <w:r w:rsidRPr="002B45C7">
              <w:rPr>
                <w:rFonts w:cstheme="minorHAnsi"/>
                <w:iCs/>
              </w:rPr>
              <w:t>clarification</w:t>
            </w:r>
            <w:r>
              <w:rPr>
                <w:rFonts w:cstheme="minorHAnsi"/>
                <w:iCs/>
              </w:rPr>
              <w:t xml:space="preserve"> period</w:t>
            </w:r>
            <w:r w:rsidR="00B948DC">
              <w:rPr>
                <w:rFonts w:cstheme="minorHAnsi"/>
                <w:iCs/>
              </w:rPr>
              <w:t xml:space="preserve"> </w:t>
            </w:r>
          </w:p>
        </w:tc>
        <w:tc>
          <w:tcPr>
            <w:tcW w:w="2611" w:type="pct"/>
          </w:tcPr>
          <w:p w14:paraId="3E8637C5" w14:textId="4755CAC3" w:rsidR="00B948DC" w:rsidRDefault="00A366AC">
            <w:pPr>
              <w:spacing w:before="40" w:after="40"/>
              <w:rPr>
                <w:rFonts w:cstheme="minorHAnsi"/>
                <w:iCs/>
              </w:rPr>
            </w:pPr>
            <w:r>
              <w:rPr>
                <w:rFonts w:cstheme="minorHAnsi"/>
                <w:iCs/>
              </w:rPr>
              <w:t xml:space="preserve">8 October </w:t>
            </w:r>
            <w:r w:rsidR="00B948DC">
              <w:rPr>
                <w:rFonts w:cstheme="minorHAnsi"/>
                <w:iCs/>
              </w:rPr>
              <w:t>201</w:t>
            </w:r>
            <w:r>
              <w:rPr>
                <w:rFonts w:cstheme="minorHAnsi"/>
                <w:iCs/>
              </w:rPr>
              <w:t>8</w:t>
            </w:r>
          </w:p>
        </w:tc>
      </w:tr>
      <w:tr w:rsidR="007A79DF" w14:paraId="5EF1F6D2" w14:textId="77777777" w:rsidTr="007A79DF">
        <w:tblPrEx>
          <w:tblLook w:val="0000" w:firstRow="0" w:lastRow="0" w:firstColumn="0" w:lastColumn="0" w:noHBand="0" w:noVBand="0"/>
        </w:tblPrEx>
        <w:trPr>
          <w:trHeight w:val="279"/>
        </w:trPr>
        <w:tc>
          <w:tcPr>
            <w:tcW w:w="2389" w:type="pct"/>
          </w:tcPr>
          <w:p w14:paraId="7BDECAB5" w14:textId="415083F7" w:rsidR="007A79DF" w:rsidRDefault="00DC21A4" w:rsidP="00DC21A4">
            <w:r>
              <w:t xml:space="preserve">Response closing </w:t>
            </w:r>
            <w:r w:rsidR="0043321B">
              <w:t xml:space="preserve">time and </w:t>
            </w:r>
            <w:r>
              <w:t>d</w:t>
            </w:r>
            <w:r w:rsidR="007A79DF">
              <w:t>ate</w:t>
            </w:r>
          </w:p>
        </w:tc>
        <w:tc>
          <w:tcPr>
            <w:tcW w:w="2611" w:type="pct"/>
          </w:tcPr>
          <w:p w14:paraId="2D137811" w14:textId="466DCC9E" w:rsidR="007A79DF" w:rsidRDefault="0043321B" w:rsidP="00F8147F">
            <w:r>
              <w:t xml:space="preserve">6.00pm on </w:t>
            </w:r>
            <w:r w:rsidR="00233FAD">
              <w:t>Monday</w:t>
            </w:r>
            <w:r w:rsidR="005A3B9F">
              <w:t>,</w:t>
            </w:r>
            <w:r w:rsidR="00233FAD">
              <w:t xml:space="preserve"> </w:t>
            </w:r>
            <w:r w:rsidR="006C3C63">
              <w:t xml:space="preserve">29 October </w:t>
            </w:r>
            <w:r w:rsidR="007A79DF">
              <w:t>201</w:t>
            </w:r>
            <w:r w:rsidR="006C3C63">
              <w:t>8</w:t>
            </w:r>
          </w:p>
        </w:tc>
      </w:tr>
      <w:tr w:rsidR="00B948DC" w14:paraId="10083E37" w14:textId="77777777" w:rsidTr="007A79DF">
        <w:trPr>
          <w:cantSplit/>
        </w:trPr>
        <w:tc>
          <w:tcPr>
            <w:tcW w:w="2389" w:type="pct"/>
            <w:hideMark/>
          </w:tcPr>
          <w:p w14:paraId="0396BD8B" w14:textId="04800CC1" w:rsidR="00B948DC" w:rsidRDefault="00DC21A4" w:rsidP="00985EB5">
            <w:pPr>
              <w:spacing w:before="40" w:after="40"/>
              <w:rPr>
                <w:rFonts w:cstheme="minorHAnsi"/>
                <w:iCs/>
              </w:rPr>
            </w:pPr>
            <w:r>
              <w:rPr>
                <w:rFonts w:cstheme="minorHAnsi"/>
                <w:iCs/>
              </w:rPr>
              <w:t>Response</w:t>
            </w:r>
            <w:r w:rsidR="00B948DC">
              <w:rPr>
                <w:rFonts w:cstheme="minorHAnsi"/>
                <w:iCs/>
              </w:rPr>
              <w:t xml:space="preserve"> </w:t>
            </w:r>
            <w:r w:rsidR="00633084">
              <w:rPr>
                <w:rFonts w:cstheme="minorHAnsi"/>
                <w:iCs/>
              </w:rPr>
              <w:t>e</w:t>
            </w:r>
            <w:r w:rsidR="00B948DC">
              <w:rPr>
                <w:rFonts w:cstheme="minorHAnsi"/>
                <w:iCs/>
              </w:rPr>
              <w:t>valuation</w:t>
            </w:r>
            <w:r w:rsidR="0076555D">
              <w:rPr>
                <w:rFonts w:cstheme="minorHAnsi"/>
                <w:iCs/>
              </w:rPr>
              <w:t xml:space="preserve"> period</w:t>
            </w:r>
            <w:r w:rsidR="00E939CC">
              <w:rPr>
                <w:rFonts w:cstheme="minorHAnsi"/>
                <w:iCs/>
              </w:rPr>
              <w:t xml:space="preserve"> </w:t>
            </w:r>
          </w:p>
        </w:tc>
        <w:tc>
          <w:tcPr>
            <w:tcW w:w="2611" w:type="pct"/>
            <w:hideMark/>
          </w:tcPr>
          <w:p w14:paraId="48F23C83" w14:textId="2AF76129" w:rsidR="00B948DC" w:rsidRDefault="006C3C63" w:rsidP="00F8147F">
            <w:pPr>
              <w:spacing w:before="40" w:after="40"/>
              <w:rPr>
                <w:rFonts w:cstheme="minorHAnsi"/>
                <w:iCs/>
              </w:rPr>
            </w:pPr>
            <w:r>
              <w:rPr>
                <w:rFonts w:cstheme="minorHAnsi"/>
                <w:iCs/>
              </w:rPr>
              <w:t xml:space="preserve">30 October </w:t>
            </w:r>
            <w:r w:rsidR="00B948DC">
              <w:rPr>
                <w:rFonts w:cstheme="minorHAnsi"/>
                <w:iCs/>
              </w:rPr>
              <w:t>201</w:t>
            </w:r>
            <w:r>
              <w:rPr>
                <w:rFonts w:cstheme="minorHAnsi"/>
                <w:iCs/>
              </w:rPr>
              <w:t>8</w:t>
            </w:r>
            <w:r w:rsidR="00B948DC">
              <w:rPr>
                <w:rFonts w:cstheme="minorHAnsi"/>
                <w:iCs/>
              </w:rPr>
              <w:t xml:space="preserve"> – </w:t>
            </w:r>
            <w:r>
              <w:rPr>
                <w:rFonts w:cstheme="minorHAnsi"/>
                <w:iCs/>
              </w:rPr>
              <w:t xml:space="preserve">17 December </w:t>
            </w:r>
            <w:r w:rsidR="00233FAD">
              <w:rPr>
                <w:rFonts w:cstheme="minorHAnsi"/>
                <w:iCs/>
              </w:rPr>
              <w:t>201</w:t>
            </w:r>
            <w:r w:rsidR="00F8147F">
              <w:rPr>
                <w:rFonts w:cstheme="minorHAnsi"/>
                <w:iCs/>
              </w:rPr>
              <w:t>8</w:t>
            </w:r>
          </w:p>
        </w:tc>
      </w:tr>
      <w:tr w:rsidR="00B948DC" w14:paraId="102407D0" w14:textId="77777777" w:rsidTr="007A79DF">
        <w:trPr>
          <w:cantSplit/>
        </w:trPr>
        <w:tc>
          <w:tcPr>
            <w:tcW w:w="2389" w:type="pct"/>
          </w:tcPr>
          <w:p w14:paraId="2747888B" w14:textId="62E32B0B" w:rsidR="00B948DC" w:rsidRDefault="00167FCC" w:rsidP="00DC21A4">
            <w:pPr>
              <w:spacing w:before="40" w:after="40"/>
              <w:rPr>
                <w:rFonts w:cstheme="minorHAnsi"/>
                <w:iCs/>
              </w:rPr>
            </w:pPr>
            <w:r>
              <w:rPr>
                <w:rFonts w:cstheme="minorHAnsi"/>
                <w:iCs/>
              </w:rPr>
              <w:t>Respondents notified whether their response is shortlisted</w:t>
            </w:r>
            <w:r w:rsidR="006F7A2C">
              <w:rPr>
                <w:rFonts w:cstheme="minorHAnsi"/>
                <w:iCs/>
              </w:rPr>
              <w:t xml:space="preserve"> </w:t>
            </w:r>
          </w:p>
        </w:tc>
        <w:tc>
          <w:tcPr>
            <w:tcW w:w="2611" w:type="pct"/>
          </w:tcPr>
          <w:p w14:paraId="7E4DF7B0" w14:textId="55FCAAB2" w:rsidR="00B948DC" w:rsidRDefault="006C3C63" w:rsidP="00F8147F">
            <w:pPr>
              <w:spacing w:before="40" w:after="40"/>
              <w:rPr>
                <w:rFonts w:cstheme="minorHAnsi"/>
                <w:iCs/>
              </w:rPr>
            </w:pPr>
            <w:r>
              <w:rPr>
                <w:rFonts w:cstheme="minorHAnsi"/>
                <w:iCs/>
              </w:rPr>
              <w:t>18 December</w:t>
            </w:r>
            <w:r w:rsidR="00F8147F">
              <w:rPr>
                <w:rFonts w:cstheme="minorHAnsi"/>
                <w:iCs/>
              </w:rPr>
              <w:t xml:space="preserve"> 2018</w:t>
            </w:r>
          </w:p>
        </w:tc>
      </w:tr>
      <w:tr w:rsidR="006F7A2C" w14:paraId="31F5895F" w14:textId="77777777" w:rsidTr="007A79DF">
        <w:trPr>
          <w:cantSplit/>
        </w:trPr>
        <w:tc>
          <w:tcPr>
            <w:tcW w:w="2389" w:type="pct"/>
          </w:tcPr>
          <w:p w14:paraId="2F41D57A" w14:textId="7F8E926D" w:rsidR="006F7A2C" w:rsidRDefault="006F7A2C" w:rsidP="00167FCC">
            <w:pPr>
              <w:spacing w:before="40" w:after="40"/>
              <w:rPr>
                <w:rFonts w:cstheme="minorHAnsi"/>
                <w:iCs/>
              </w:rPr>
            </w:pPr>
            <w:r>
              <w:rPr>
                <w:rFonts w:cstheme="minorHAnsi"/>
                <w:iCs/>
              </w:rPr>
              <w:t>Invitations to apply for VPF grant</w:t>
            </w:r>
            <w:r w:rsidR="00DC21A4">
              <w:rPr>
                <w:rFonts w:cstheme="minorHAnsi"/>
                <w:iCs/>
              </w:rPr>
              <w:t>s</w:t>
            </w:r>
            <w:r>
              <w:rPr>
                <w:rFonts w:cstheme="minorHAnsi"/>
                <w:iCs/>
              </w:rPr>
              <w:t xml:space="preserve"> </w:t>
            </w:r>
            <w:r w:rsidR="00167FCC">
              <w:rPr>
                <w:rFonts w:cstheme="minorHAnsi"/>
                <w:iCs/>
              </w:rPr>
              <w:t>issued</w:t>
            </w:r>
            <w:r w:rsidR="009F18F4">
              <w:rPr>
                <w:rFonts w:cstheme="minorHAnsi"/>
                <w:iCs/>
              </w:rPr>
              <w:t xml:space="preserve"> for shortlisted Responses</w:t>
            </w:r>
          </w:p>
        </w:tc>
        <w:tc>
          <w:tcPr>
            <w:tcW w:w="2611" w:type="pct"/>
          </w:tcPr>
          <w:p w14:paraId="0BA7730E" w14:textId="7455883E" w:rsidR="006F7A2C" w:rsidRDefault="006C3C63" w:rsidP="000105CC">
            <w:pPr>
              <w:spacing w:before="40" w:after="40"/>
              <w:rPr>
                <w:rFonts w:cstheme="minorHAnsi"/>
                <w:iCs/>
              </w:rPr>
            </w:pPr>
            <w:r>
              <w:rPr>
                <w:rFonts w:cstheme="minorHAnsi"/>
                <w:iCs/>
              </w:rPr>
              <w:t>18 December 2018</w:t>
            </w:r>
          </w:p>
        </w:tc>
      </w:tr>
      <w:tr w:rsidR="000A28F5" w14:paraId="7C50DACD" w14:textId="77777777" w:rsidTr="007A79DF">
        <w:trPr>
          <w:cantSplit/>
        </w:trPr>
        <w:tc>
          <w:tcPr>
            <w:tcW w:w="2389" w:type="pct"/>
          </w:tcPr>
          <w:p w14:paraId="7AB62F62" w14:textId="1D0EDFF0" w:rsidR="000A28F5" w:rsidDel="00633084" w:rsidRDefault="00DC21A4" w:rsidP="00F36B9D">
            <w:pPr>
              <w:spacing w:before="40" w:after="40"/>
              <w:rPr>
                <w:rFonts w:cstheme="minorHAnsi"/>
                <w:iCs/>
              </w:rPr>
            </w:pPr>
            <w:r>
              <w:rPr>
                <w:rFonts w:cstheme="minorHAnsi"/>
                <w:iCs/>
              </w:rPr>
              <w:t>Grant a</w:t>
            </w:r>
            <w:r w:rsidR="000A28F5">
              <w:rPr>
                <w:rFonts w:cstheme="minorHAnsi"/>
                <w:iCs/>
              </w:rPr>
              <w:t>pplication</w:t>
            </w:r>
            <w:r w:rsidR="0043321B">
              <w:rPr>
                <w:rFonts w:cstheme="minorHAnsi"/>
                <w:iCs/>
              </w:rPr>
              <w:t>s required by</w:t>
            </w:r>
          </w:p>
        </w:tc>
        <w:tc>
          <w:tcPr>
            <w:tcW w:w="2611" w:type="pct"/>
          </w:tcPr>
          <w:p w14:paraId="3A44CBF2" w14:textId="763C9C71" w:rsidR="000A28F5" w:rsidDel="000A28F5" w:rsidRDefault="007B3A0F" w:rsidP="000105CC">
            <w:pPr>
              <w:spacing w:before="40" w:after="40"/>
              <w:rPr>
                <w:rFonts w:cstheme="minorHAnsi"/>
                <w:iCs/>
              </w:rPr>
            </w:pPr>
            <w:r>
              <w:rPr>
                <w:rFonts w:cstheme="minorHAnsi"/>
                <w:iCs/>
              </w:rPr>
              <w:t>21</w:t>
            </w:r>
            <w:r w:rsidR="006C3C63">
              <w:rPr>
                <w:rFonts w:cstheme="minorHAnsi"/>
                <w:iCs/>
              </w:rPr>
              <w:t xml:space="preserve"> January</w:t>
            </w:r>
            <w:r w:rsidR="00233FAD">
              <w:rPr>
                <w:rFonts w:cstheme="minorHAnsi"/>
                <w:iCs/>
              </w:rPr>
              <w:t xml:space="preserve"> 201</w:t>
            </w:r>
            <w:r w:rsidR="006C3C63">
              <w:rPr>
                <w:rFonts w:cstheme="minorHAnsi"/>
                <w:iCs/>
              </w:rPr>
              <w:t>9</w:t>
            </w:r>
          </w:p>
        </w:tc>
      </w:tr>
      <w:tr w:rsidR="000A28F5" w14:paraId="0821441E" w14:textId="77777777" w:rsidTr="007A79DF">
        <w:trPr>
          <w:cantSplit/>
        </w:trPr>
        <w:tc>
          <w:tcPr>
            <w:tcW w:w="2389" w:type="pct"/>
          </w:tcPr>
          <w:p w14:paraId="198B2E1A" w14:textId="7B62BCFA" w:rsidR="000A28F5" w:rsidDel="00633084" w:rsidRDefault="00DC21A4" w:rsidP="00740BEC">
            <w:pPr>
              <w:spacing w:before="40" w:after="40"/>
              <w:rPr>
                <w:rFonts w:cstheme="minorHAnsi"/>
                <w:iCs/>
              </w:rPr>
            </w:pPr>
            <w:r>
              <w:rPr>
                <w:rFonts w:cstheme="minorHAnsi"/>
                <w:iCs/>
              </w:rPr>
              <w:t>Grant a</w:t>
            </w:r>
            <w:r w:rsidR="000A28F5">
              <w:rPr>
                <w:rFonts w:cstheme="minorHAnsi"/>
                <w:iCs/>
              </w:rPr>
              <w:t>pplication evaluation period</w:t>
            </w:r>
          </w:p>
        </w:tc>
        <w:tc>
          <w:tcPr>
            <w:tcW w:w="2611" w:type="pct"/>
          </w:tcPr>
          <w:p w14:paraId="0B744FAD" w14:textId="3C93A704" w:rsidR="000A28F5" w:rsidDel="000A28F5" w:rsidRDefault="006C3C63" w:rsidP="00233FAD">
            <w:pPr>
              <w:spacing w:before="40" w:after="40"/>
              <w:rPr>
                <w:rFonts w:cstheme="minorHAnsi"/>
                <w:iCs/>
              </w:rPr>
            </w:pPr>
            <w:r>
              <w:rPr>
                <w:rFonts w:cstheme="minorHAnsi"/>
                <w:iCs/>
              </w:rPr>
              <w:t xml:space="preserve">January </w:t>
            </w:r>
            <w:r w:rsidR="00233FAD">
              <w:rPr>
                <w:rFonts w:cstheme="minorHAnsi"/>
                <w:iCs/>
              </w:rPr>
              <w:t xml:space="preserve">to </w:t>
            </w:r>
            <w:r>
              <w:rPr>
                <w:rFonts w:cstheme="minorHAnsi"/>
                <w:iCs/>
              </w:rPr>
              <w:t xml:space="preserve">February </w:t>
            </w:r>
            <w:r w:rsidR="00BF0F09">
              <w:rPr>
                <w:rFonts w:cstheme="minorHAnsi"/>
                <w:iCs/>
              </w:rPr>
              <w:t>201</w:t>
            </w:r>
            <w:r>
              <w:rPr>
                <w:rFonts w:cstheme="minorHAnsi"/>
                <w:iCs/>
              </w:rPr>
              <w:t>9</w:t>
            </w:r>
          </w:p>
        </w:tc>
      </w:tr>
      <w:tr w:rsidR="000A28F5" w14:paraId="2AA84B42" w14:textId="77777777" w:rsidTr="007A79DF">
        <w:trPr>
          <w:cantSplit/>
        </w:trPr>
        <w:tc>
          <w:tcPr>
            <w:tcW w:w="2389" w:type="pct"/>
          </w:tcPr>
          <w:p w14:paraId="367D5C10" w14:textId="2A3C82A9" w:rsidR="000A28F5" w:rsidRDefault="000A28F5" w:rsidP="006F7A2C">
            <w:pPr>
              <w:spacing w:before="40" w:after="40"/>
              <w:rPr>
                <w:rFonts w:cstheme="minorHAnsi"/>
                <w:iCs/>
              </w:rPr>
            </w:pPr>
            <w:r>
              <w:rPr>
                <w:rFonts w:cstheme="minorHAnsi"/>
                <w:iCs/>
              </w:rPr>
              <w:t>Ministerial decisions on applications</w:t>
            </w:r>
            <w:r w:rsidR="00F22CE7">
              <w:rPr>
                <w:rFonts w:cstheme="minorHAnsi"/>
                <w:iCs/>
              </w:rPr>
              <w:t xml:space="preserve"> </w:t>
            </w:r>
          </w:p>
        </w:tc>
        <w:tc>
          <w:tcPr>
            <w:tcW w:w="2611" w:type="pct"/>
          </w:tcPr>
          <w:p w14:paraId="0241A01E" w14:textId="2296C20E" w:rsidR="000A28F5" w:rsidRDefault="006C3C63" w:rsidP="000855C5">
            <w:pPr>
              <w:spacing w:before="40" w:after="40"/>
              <w:rPr>
                <w:rFonts w:cstheme="minorHAnsi"/>
                <w:iCs/>
              </w:rPr>
            </w:pPr>
            <w:r>
              <w:rPr>
                <w:rFonts w:cstheme="minorHAnsi"/>
                <w:iCs/>
              </w:rPr>
              <w:t>March</w:t>
            </w:r>
            <w:r w:rsidR="00F22CE7">
              <w:rPr>
                <w:rFonts w:cstheme="minorHAnsi"/>
                <w:iCs/>
              </w:rPr>
              <w:t xml:space="preserve"> </w:t>
            </w:r>
            <w:r w:rsidR="000855C5">
              <w:rPr>
                <w:rFonts w:cstheme="minorHAnsi"/>
                <w:iCs/>
              </w:rPr>
              <w:t>201</w:t>
            </w:r>
            <w:r>
              <w:rPr>
                <w:rFonts w:cstheme="minorHAnsi"/>
                <w:iCs/>
              </w:rPr>
              <w:t>9</w:t>
            </w:r>
          </w:p>
        </w:tc>
      </w:tr>
      <w:tr w:rsidR="00F22CE7" w14:paraId="71FC8732" w14:textId="77777777" w:rsidTr="007A79DF">
        <w:trPr>
          <w:cantSplit/>
        </w:trPr>
        <w:tc>
          <w:tcPr>
            <w:tcW w:w="2389" w:type="pct"/>
          </w:tcPr>
          <w:p w14:paraId="2E5985F0" w14:textId="15F8A9ED" w:rsidR="00F22CE7" w:rsidRDefault="00E653B8">
            <w:pPr>
              <w:spacing w:before="40" w:after="40"/>
              <w:rPr>
                <w:rFonts w:cstheme="minorHAnsi"/>
                <w:iCs/>
              </w:rPr>
            </w:pPr>
            <w:r>
              <w:rPr>
                <w:rFonts w:cstheme="minorHAnsi"/>
                <w:iCs/>
              </w:rPr>
              <w:t xml:space="preserve">Execution of </w:t>
            </w:r>
            <w:r w:rsidR="00DC21A4">
              <w:rPr>
                <w:rFonts w:cstheme="minorHAnsi"/>
                <w:iCs/>
              </w:rPr>
              <w:t>funding a</w:t>
            </w:r>
            <w:r w:rsidR="00C60EF9">
              <w:rPr>
                <w:rFonts w:cstheme="minorHAnsi"/>
                <w:iCs/>
              </w:rPr>
              <w:t>greement</w:t>
            </w:r>
            <w:r w:rsidR="00DC21A4">
              <w:rPr>
                <w:rFonts w:cstheme="minorHAnsi"/>
                <w:iCs/>
              </w:rPr>
              <w:t>s</w:t>
            </w:r>
          </w:p>
        </w:tc>
        <w:tc>
          <w:tcPr>
            <w:tcW w:w="2611" w:type="pct"/>
          </w:tcPr>
          <w:p w14:paraId="3B7426AD" w14:textId="0E4A86BA" w:rsidR="00F22CE7" w:rsidRDefault="006C3C63" w:rsidP="00233FAD">
            <w:pPr>
              <w:spacing w:before="40" w:after="40"/>
              <w:rPr>
                <w:rFonts w:cstheme="minorHAnsi"/>
                <w:iCs/>
              </w:rPr>
            </w:pPr>
            <w:r>
              <w:rPr>
                <w:rFonts w:cstheme="minorHAnsi"/>
                <w:iCs/>
              </w:rPr>
              <w:t>April</w:t>
            </w:r>
            <w:r w:rsidR="00E653B8">
              <w:rPr>
                <w:rFonts w:cstheme="minorHAnsi"/>
                <w:iCs/>
              </w:rPr>
              <w:t xml:space="preserve"> </w:t>
            </w:r>
            <w:r w:rsidR="000855C5">
              <w:rPr>
                <w:rFonts w:cstheme="minorHAnsi"/>
                <w:iCs/>
              </w:rPr>
              <w:t>201</w:t>
            </w:r>
            <w:r>
              <w:rPr>
                <w:rFonts w:cstheme="minorHAnsi"/>
                <w:iCs/>
              </w:rPr>
              <w:t>9</w:t>
            </w:r>
          </w:p>
        </w:tc>
      </w:tr>
    </w:tbl>
    <w:p w14:paraId="514C6731" w14:textId="0F4E8513" w:rsidR="0066213A" w:rsidRDefault="00740BEC" w:rsidP="0066213A">
      <w:r>
        <w:t>CAV</w:t>
      </w:r>
      <w:r w:rsidR="0066213A">
        <w:t xml:space="preserve"> reserves the right to amend the </w:t>
      </w:r>
      <w:r w:rsidR="00C732CF">
        <w:t>key dates</w:t>
      </w:r>
      <w:r w:rsidR="0066213A">
        <w:t xml:space="preserve">. If </w:t>
      </w:r>
      <w:r>
        <w:t>CAV</w:t>
      </w:r>
      <w:r w:rsidR="0066213A">
        <w:t xml:space="preserve"> decides to change any of the key dates</w:t>
      </w:r>
      <w:r w:rsidR="00C732CF">
        <w:t>,</w:t>
      </w:r>
      <w:r w:rsidR="0066213A">
        <w:t xml:space="preserve"> it will </w:t>
      </w:r>
      <w:r w:rsidR="00762D24">
        <w:t>publish the new dates on the CAV website (</w:t>
      </w:r>
      <w:hyperlink r:id="rId12" w:history="1">
        <w:r w:rsidR="00C53735" w:rsidRPr="00506A9E">
          <w:rPr>
            <w:rStyle w:val="Hyperlink"/>
          </w:rPr>
          <w:t>www.consumer.vic.gov.au/vpfhousinground</w:t>
        </w:r>
      </w:hyperlink>
      <w:r w:rsidR="00762D24">
        <w:t>)</w:t>
      </w:r>
      <w:r w:rsidR="0066213A">
        <w:t xml:space="preserve">. </w:t>
      </w:r>
    </w:p>
    <w:p w14:paraId="7B1F9837" w14:textId="52C5B2A7" w:rsidR="00812BAE" w:rsidRDefault="00A64305" w:rsidP="006B29C1">
      <w:pPr>
        <w:pStyle w:val="Heading2"/>
      </w:pPr>
      <w:bookmarkStart w:id="19" w:name="_Toc523845046"/>
      <w:r>
        <w:t xml:space="preserve">EOI </w:t>
      </w:r>
      <w:r w:rsidR="00145886">
        <w:t>Response</w:t>
      </w:r>
      <w:r w:rsidR="00812BAE">
        <w:t xml:space="preserve"> Process</w:t>
      </w:r>
      <w:bookmarkEnd w:id="19"/>
    </w:p>
    <w:p w14:paraId="061F78E2" w14:textId="29DBBEF7" w:rsidR="00812BAE" w:rsidRDefault="00A64305" w:rsidP="006B29C1">
      <w:pPr>
        <w:pStyle w:val="Heading3"/>
      </w:pPr>
      <w:r>
        <w:t>EOI r</w:t>
      </w:r>
      <w:r w:rsidR="00145886">
        <w:t>esponse</w:t>
      </w:r>
      <w:r w:rsidR="004B5053">
        <w:t xml:space="preserve"> </w:t>
      </w:r>
      <w:r w:rsidR="00117477">
        <w:t>limitations</w:t>
      </w:r>
    </w:p>
    <w:p w14:paraId="5C11FD44" w14:textId="65697074" w:rsidR="00B0517F" w:rsidRPr="00EF5F7E" w:rsidRDefault="00FE1124" w:rsidP="00FE1124">
      <w:r w:rsidRPr="00EF5F7E">
        <w:t xml:space="preserve">Respondents </w:t>
      </w:r>
      <w:r w:rsidR="00B45423" w:rsidRPr="00EF5F7E">
        <w:t xml:space="preserve">must </w:t>
      </w:r>
      <w:r w:rsidR="00B0517F" w:rsidRPr="00EF5F7E">
        <w:t xml:space="preserve">not </w:t>
      </w:r>
      <w:r w:rsidR="00B45423" w:rsidRPr="00EF5F7E">
        <w:t xml:space="preserve">submit </w:t>
      </w:r>
      <w:r w:rsidR="0076555D" w:rsidRPr="00EF5F7E">
        <w:t xml:space="preserve">more than one </w:t>
      </w:r>
      <w:r w:rsidR="00422714" w:rsidRPr="00EF5F7E">
        <w:t>R</w:t>
      </w:r>
      <w:r w:rsidR="0076555D" w:rsidRPr="00EF5F7E">
        <w:t>esponse to this IEOI</w:t>
      </w:r>
      <w:r w:rsidR="00B0517F" w:rsidRPr="00EF5F7E">
        <w:t xml:space="preserve">. </w:t>
      </w:r>
    </w:p>
    <w:p w14:paraId="0CB22F80" w14:textId="5253E060" w:rsidR="001467A8" w:rsidRDefault="007B3C79" w:rsidP="0076555D">
      <w:r>
        <w:t>CHO</w:t>
      </w:r>
      <w:r w:rsidRPr="00EF5F7E">
        <w:t xml:space="preserve">s </w:t>
      </w:r>
      <w:r w:rsidR="0076555D" w:rsidRPr="00EF5F7E">
        <w:t xml:space="preserve">that have applied for funding </w:t>
      </w:r>
      <w:r w:rsidR="00117477" w:rsidRPr="00EF5F7E">
        <w:t xml:space="preserve">for a </w:t>
      </w:r>
      <w:proofErr w:type="gramStart"/>
      <w:r w:rsidR="00117477" w:rsidRPr="00EF5F7E">
        <w:t>particular project</w:t>
      </w:r>
      <w:proofErr w:type="gramEnd"/>
      <w:r w:rsidR="00117477" w:rsidRPr="00EF5F7E">
        <w:t xml:space="preserve"> </w:t>
      </w:r>
      <w:r w:rsidR="0076555D" w:rsidRPr="00EF5F7E">
        <w:t xml:space="preserve">under </w:t>
      </w:r>
      <w:r w:rsidR="000D77F3">
        <w:t>a</w:t>
      </w:r>
      <w:r w:rsidR="00762D24" w:rsidRPr="00EF5F7E">
        <w:t xml:space="preserve"> </w:t>
      </w:r>
      <w:r w:rsidR="00215862">
        <w:t>Director of Housing</w:t>
      </w:r>
      <w:r w:rsidR="00087334">
        <w:t xml:space="preserve"> (</w:t>
      </w:r>
      <w:proofErr w:type="spellStart"/>
      <w:r w:rsidR="00087334">
        <w:t>DoH</w:t>
      </w:r>
      <w:proofErr w:type="spellEnd"/>
      <w:r w:rsidR="00087334">
        <w:t>)</w:t>
      </w:r>
      <w:r w:rsidR="00215862">
        <w:t xml:space="preserve"> or </w:t>
      </w:r>
      <w:r w:rsidR="00282EDE">
        <w:t>Department of Health and Human Services (</w:t>
      </w:r>
      <w:r w:rsidR="00117477" w:rsidRPr="00EF5F7E">
        <w:t>DHHS</w:t>
      </w:r>
      <w:r w:rsidR="00282EDE">
        <w:t>)</w:t>
      </w:r>
      <w:r w:rsidR="00117477" w:rsidRPr="00EF5F7E">
        <w:t xml:space="preserve"> funding process</w:t>
      </w:r>
      <w:r w:rsidR="0076555D" w:rsidRPr="00EF5F7E">
        <w:t xml:space="preserve"> should not seek funding for the same </w:t>
      </w:r>
      <w:r w:rsidR="00117477" w:rsidRPr="00EF5F7E">
        <w:t>project</w:t>
      </w:r>
      <w:r w:rsidR="0076555D" w:rsidRPr="00EF5F7E">
        <w:t xml:space="preserve"> under this Program</w:t>
      </w:r>
      <w:r w:rsidR="00117477" w:rsidRPr="00EF5F7E">
        <w:t xml:space="preserve"> unless</w:t>
      </w:r>
      <w:r w:rsidR="001467A8">
        <w:t>:</w:t>
      </w:r>
    </w:p>
    <w:p w14:paraId="1779CA10" w14:textId="1446A9E6" w:rsidR="001467A8" w:rsidRDefault="001467A8" w:rsidP="001467A8">
      <w:pPr>
        <w:pStyle w:val="ListParagraph"/>
        <w:numPr>
          <w:ilvl w:val="0"/>
          <w:numId w:val="10"/>
        </w:numPr>
      </w:pPr>
      <w:r>
        <w:t xml:space="preserve">they have </w:t>
      </w:r>
      <w:r w:rsidR="00117477" w:rsidRPr="00EF5F7E">
        <w:t xml:space="preserve">received notice that their </w:t>
      </w:r>
      <w:proofErr w:type="spellStart"/>
      <w:r w:rsidR="00087334">
        <w:t>DoH</w:t>
      </w:r>
      <w:proofErr w:type="spellEnd"/>
      <w:r w:rsidR="00087334">
        <w:t xml:space="preserve"> or </w:t>
      </w:r>
      <w:r w:rsidR="00117477" w:rsidRPr="00EF5F7E">
        <w:t>DHHS application was unsuccessful</w:t>
      </w:r>
      <w:r>
        <w:t>, or</w:t>
      </w:r>
    </w:p>
    <w:p w14:paraId="558DD490" w14:textId="2F7D86A9" w:rsidR="0076555D" w:rsidRDefault="001467A8" w:rsidP="001467A8">
      <w:pPr>
        <w:pStyle w:val="ListParagraph"/>
        <w:numPr>
          <w:ilvl w:val="0"/>
          <w:numId w:val="10"/>
        </w:numPr>
      </w:pPr>
      <w:r>
        <w:t xml:space="preserve">if their application to </w:t>
      </w:r>
      <w:proofErr w:type="spellStart"/>
      <w:r w:rsidR="00087334">
        <w:t>DoH</w:t>
      </w:r>
      <w:proofErr w:type="spellEnd"/>
      <w:r w:rsidR="00087334">
        <w:t xml:space="preserve"> or </w:t>
      </w:r>
      <w:r>
        <w:t xml:space="preserve">DHHS was successful, they have </w:t>
      </w:r>
      <w:r w:rsidR="007318C2">
        <w:t>obtained</w:t>
      </w:r>
      <w:r w:rsidR="0010056B">
        <w:t xml:space="preserve"> </w:t>
      </w:r>
      <w:proofErr w:type="spellStart"/>
      <w:r w:rsidR="00087334">
        <w:t>DoH</w:t>
      </w:r>
      <w:proofErr w:type="spellEnd"/>
      <w:r w:rsidR="00087334">
        <w:t xml:space="preserve"> or DHHS </w:t>
      </w:r>
      <w:r w:rsidR="0010056B">
        <w:t xml:space="preserve">support </w:t>
      </w:r>
      <w:r w:rsidR="007318C2">
        <w:t xml:space="preserve">to seek further </w:t>
      </w:r>
      <w:r w:rsidR="0010056B">
        <w:t xml:space="preserve">Government </w:t>
      </w:r>
      <w:r w:rsidR="007318C2">
        <w:t>funding for the project through</w:t>
      </w:r>
      <w:r>
        <w:t xml:space="preserve"> the VPF. </w:t>
      </w:r>
    </w:p>
    <w:p w14:paraId="24D518BA" w14:textId="62C18181" w:rsidR="00117477" w:rsidRDefault="00677227" w:rsidP="006B29C1">
      <w:pPr>
        <w:pStyle w:val="Heading3"/>
      </w:pPr>
      <w:r>
        <w:t>R</w:t>
      </w:r>
      <w:r w:rsidR="00117477">
        <w:t>esponse documentation and submission process</w:t>
      </w:r>
    </w:p>
    <w:p w14:paraId="75CCA073" w14:textId="12A29886" w:rsidR="002423C3" w:rsidRDefault="00775D33" w:rsidP="002423C3">
      <w:r>
        <w:t>To submit a</w:t>
      </w:r>
      <w:r w:rsidR="0076555D">
        <w:t xml:space="preserve"> </w:t>
      </w:r>
      <w:r>
        <w:t>Response</w:t>
      </w:r>
      <w:r w:rsidR="0076555D">
        <w:t xml:space="preserve">, Respondents are required to complete and return </w:t>
      </w:r>
      <w:r w:rsidR="002423C3">
        <w:t xml:space="preserve">one (1) digital copy of the completed, signed and dated </w:t>
      </w:r>
      <w:r w:rsidR="00422714">
        <w:t>Response and Certification</w:t>
      </w:r>
      <w:r>
        <w:t xml:space="preserve"> </w:t>
      </w:r>
      <w:r w:rsidR="00964CD7">
        <w:t>f</w:t>
      </w:r>
      <w:r>
        <w:t>orm</w:t>
      </w:r>
      <w:r w:rsidR="00422714">
        <w:t xml:space="preserve">, </w:t>
      </w:r>
      <w:r w:rsidR="00422714" w:rsidRPr="00156FE8">
        <w:t>in</w:t>
      </w:r>
      <w:r w:rsidR="00964CD7" w:rsidRPr="00156FE8">
        <w:t>cluding</w:t>
      </w:r>
      <w:r w:rsidRPr="008475F5">
        <w:t xml:space="preserve"> </w:t>
      </w:r>
      <w:r w:rsidR="0076555D" w:rsidRPr="00441853">
        <w:t xml:space="preserve">Schedules 1 to </w:t>
      </w:r>
      <w:r w:rsidR="00BF6AF5" w:rsidRPr="00DE56C3">
        <w:t>7</w:t>
      </w:r>
      <w:r w:rsidR="0076555D" w:rsidRPr="00156FE8">
        <w:t xml:space="preserve"> (the Returnable Schedules</w:t>
      </w:r>
      <w:r w:rsidR="00964CD7" w:rsidRPr="008475F5">
        <w:t>)</w:t>
      </w:r>
      <w:r w:rsidR="002423C3" w:rsidRPr="00441853">
        <w:t>,</w:t>
      </w:r>
      <w:r w:rsidR="002423C3" w:rsidRPr="002423C3">
        <w:t xml:space="preserve"> </w:t>
      </w:r>
      <w:r w:rsidR="002423C3">
        <w:t>in accordance with the submission requirements set out below. Unsigned copies will not be accepted.</w:t>
      </w:r>
      <w:r w:rsidR="002423C3" w:rsidRPr="002423C3">
        <w:t xml:space="preserve"> </w:t>
      </w:r>
      <w:r w:rsidR="002423C3">
        <w:t xml:space="preserve">A copy of the Response and Certification form can be downloaded from the CAV website. </w:t>
      </w:r>
      <w:hyperlink r:id="rId13" w:history="1">
        <w:r w:rsidR="002423C3" w:rsidRPr="00506A9E">
          <w:rPr>
            <w:rStyle w:val="Hyperlink"/>
          </w:rPr>
          <w:t>www.consumer.vic.gov.au/vpfhousinground</w:t>
        </w:r>
      </w:hyperlink>
    </w:p>
    <w:p w14:paraId="13C2310A" w14:textId="3C91A576" w:rsidR="00087334" w:rsidRDefault="002423C3" w:rsidP="00B241D8">
      <w:r>
        <w:t>Respondents may also be required to provide additional</w:t>
      </w:r>
      <w:r w:rsidRPr="004263AC">
        <w:t xml:space="preserve"> documentary evidence</w:t>
      </w:r>
      <w:r>
        <w:t xml:space="preserve"> to support their Response if requested</w:t>
      </w:r>
      <w:r w:rsidR="00087334">
        <w:t xml:space="preserve"> by CAV</w:t>
      </w:r>
      <w:r>
        <w:t xml:space="preserve">. </w:t>
      </w:r>
      <w:r w:rsidR="008A51A1" w:rsidRPr="00DE56C3">
        <w:t>RHAs are required</w:t>
      </w:r>
      <w:r w:rsidR="00B241D8">
        <w:t xml:space="preserve"> </w:t>
      </w:r>
      <w:r w:rsidR="008A51A1">
        <w:t xml:space="preserve">to </w:t>
      </w:r>
      <w:r w:rsidR="00B241D8">
        <w:t xml:space="preserve">provide </w:t>
      </w:r>
      <w:r w:rsidR="00C732CF">
        <w:t xml:space="preserve">one (1) digital </w:t>
      </w:r>
      <w:r w:rsidR="00B241D8">
        <w:t>copy of their latest annual Housing Registrar Report.</w:t>
      </w:r>
      <w:r w:rsidR="00DA4E68">
        <w:t xml:space="preserve"> </w:t>
      </w:r>
    </w:p>
    <w:p w14:paraId="33CEDD3F" w14:textId="6FB7311B" w:rsidR="00B241D8" w:rsidRDefault="00087334" w:rsidP="00B241D8">
      <w:r>
        <w:t>CAV will acknowledge receipt of Responses by return email.</w:t>
      </w:r>
    </w:p>
    <w:p w14:paraId="72ABF70A" w14:textId="624DF262" w:rsidR="00FB72C9" w:rsidRPr="00B241D8" w:rsidRDefault="00FB72C9" w:rsidP="00B241D8"/>
    <w:p w14:paraId="452D25D9" w14:textId="77777777" w:rsidR="005A3B9F" w:rsidRDefault="005A3B9F">
      <w:pPr>
        <w:spacing w:before="0" w:after="200"/>
        <w:rPr>
          <w:i/>
          <w:iCs/>
          <w:color w:val="1F497D" w:themeColor="text2"/>
          <w:sz w:val="18"/>
          <w:szCs w:val="18"/>
        </w:rPr>
      </w:pPr>
      <w:r>
        <w:br w:type="page"/>
      </w:r>
    </w:p>
    <w:p w14:paraId="3700C0D2" w14:textId="63EE39D2" w:rsidR="00812BAE" w:rsidRDefault="00812BAE" w:rsidP="00812BAE">
      <w:pPr>
        <w:pStyle w:val="Caption"/>
        <w:keepNext/>
      </w:pPr>
      <w:r>
        <w:lastRenderedPageBreak/>
        <w:t xml:space="preserve">Table </w:t>
      </w:r>
      <w:r w:rsidR="002460DD">
        <w:t>2</w:t>
      </w:r>
      <w:r>
        <w:t xml:space="preserve"> </w:t>
      </w:r>
      <w:r w:rsidR="00750966">
        <w:t>–</w:t>
      </w:r>
      <w:r>
        <w:t xml:space="preserve"> </w:t>
      </w:r>
      <w:r w:rsidR="00750966">
        <w:t xml:space="preserve">Response </w:t>
      </w:r>
      <w:r w:rsidRPr="00DB1810">
        <w:t>Submission Requirements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547"/>
        <w:gridCol w:w="5749"/>
      </w:tblGrid>
      <w:tr w:rsidR="00D87155" w14:paraId="1A9341B0" w14:textId="77777777" w:rsidTr="00775D33">
        <w:trPr>
          <w:trHeight w:val="518"/>
        </w:trPr>
        <w:tc>
          <w:tcPr>
            <w:tcW w:w="2547" w:type="dxa"/>
          </w:tcPr>
          <w:p w14:paraId="5A486BB5" w14:textId="5E6E26AC" w:rsidR="00D87155" w:rsidRDefault="00D87155" w:rsidP="00812BAE">
            <w:r>
              <w:t>Email address</w:t>
            </w:r>
            <w:r w:rsidR="003A6114">
              <w:t>ed to</w:t>
            </w:r>
            <w:r>
              <w:t>:</w:t>
            </w:r>
          </w:p>
        </w:tc>
        <w:tc>
          <w:tcPr>
            <w:tcW w:w="5749" w:type="dxa"/>
          </w:tcPr>
          <w:p w14:paraId="2758F3F2" w14:textId="248BED7B" w:rsidR="00D87155" w:rsidRPr="00964CD7" w:rsidRDefault="003B1F6E" w:rsidP="00A64305">
            <w:hyperlink r:id="rId14" w:history="1">
              <w:r w:rsidR="00BA71E6" w:rsidRPr="00964CD7">
                <w:rPr>
                  <w:rStyle w:val="Hyperlink"/>
                  <w:rFonts w:eastAsia="Times New Roman"/>
                  <w:lang w:val="en"/>
                </w:rPr>
                <w:t>vpf.grant.enquiries@justice.vic.gov.au</w:t>
              </w:r>
            </w:hyperlink>
          </w:p>
        </w:tc>
      </w:tr>
      <w:tr w:rsidR="00812BAE" w14:paraId="3B87B87D" w14:textId="77777777" w:rsidTr="00775D33">
        <w:trPr>
          <w:trHeight w:val="518"/>
        </w:trPr>
        <w:tc>
          <w:tcPr>
            <w:tcW w:w="2547" w:type="dxa"/>
          </w:tcPr>
          <w:p w14:paraId="32F1F79B" w14:textId="6688EE21" w:rsidR="00812BAE" w:rsidRDefault="00D87155" w:rsidP="00D87155">
            <w:r>
              <w:t>Email reference</w:t>
            </w:r>
            <w:r w:rsidR="00812BAE">
              <w:t>:</w:t>
            </w:r>
          </w:p>
        </w:tc>
        <w:tc>
          <w:tcPr>
            <w:tcW w:w="5749" w:type="dxa"/>
          </w:tcPr>
          <w:p w14:paraId="07B4BB72" w14:textId="54C736E9" w:rsidR="00812BAE" w:rsidRDefault="00D87155" w:rsidP="005A3B9F">
            <w:pPr>
              <w:spacing w:before="0" w:after="0"/>
            </w:pPr>
            <w:r>
              <w:t xml:space="preserve">“(Your </w:t>
            </w:r>
            <w:r w:rsidR="002423C3">
              <w:t xml:space="preserve">CHO’s </w:t>
            </w:r>
            <w:r>
              <w:t xml:space="preserve">name) – </w:t>
            </w:r>
            <w:r w:rsidR="00964CD7">
              <w:t>Response</w:t>
            </w:r>
            <w:r w:rsidR="003A6114">
              <w:t xml:space="preserve"> for</w:t>
            </w:r>
            <w:r>
              <w:t xml:space="preserve"> VPF Housing Funding Round</w:t>
            </w:r>
            <w:r w:rsidR="00C732CF">
              <w:t xml:space="preserve"> 2018-19</w:t>
            </w:r>
            <w:r>
              <w:t>”</w:t>
            </w:r>
          </w:p>
        </w:tc>
      </w:tr>
      <w:tr w:rsidR="003A6114" w14:paraId="4B959AE6" w14:textId="77777777" w:rsidTr="00775D33">
        <w:trPr>
          <w:trHeight w:val="279"/>
        </w:trPr>
        <w:tc>
          <w:tcPr>
            <w:tcW w:w="2547" w:type="dxa"/>
          </w:tcPr>
          <w:p w14:paraId="49F3DEE8" w14:textId="6362D297" w:rsidR="003A6114" w:rsidRDefault="00764495" w:rsidP="00D87155">
            <w:r>
              <w:t>Format of digital copy of Response:</w:t>
            </w:r>
          </w:p>
        </w:tc>
        <w:tc>
          <w:tcPr>
            <w:tcW w:w="5749" w:type="dxa"/>
          </w:tcPr>
          <w:p w14:paraId="2BBB4D6A" w14:textId="3D117FDB" w:rsidR="003A6114" w:rsidRDefault="003A6114" w:rsidP="00764495">
            <w:r>
              <w:t xml:space="preserve">MS Word or PDF </w:t>
            </w:r>
          </w:p>
        </w:tc>
      </w:tr>
      <w:tr w:rsidR="00812BAE" w14:paraId="62CC74AC" w14:textId="77777777" w:rsidTr="00775D33">
        <w:trPr>
          <w:trHeight w:val="279"/>
        </w:trPr>
        <w:tc>
          <w:tcPr>
            <w:tcW w:w="2547" w:type="dxa"/>
          </w:tcPr>
          <w:p w14:paraId="60BD7677" w14:textId="216AB9D4" w:rsidR="00812BAE" w:rsidRDefault="00764495" w:rsidP="00D87155">
            <w:r>
              <w:t>Emails</w:t>
            </w:r>
            <w:r w:rsidR="00964CD7">
              <w:t xml:space="preserve"> with attached Response</w:t>
            </w:r>
            <w:r>
              <w:t xml:space="preserve"> to be received by CAV no later than</w:t>
            </w:r>
            <w:r w:rsidR="00812BAE">
              <w:t>:</w:t>
            </w:r>
          </w:p>
        </w:tc>
        <w:tc>
          <w:tcPr>
            <w:tcW w:w="5749" w:type="dxa"/>
          </w:tcPr>
          <w:p w14:paraId="5F769203" w14:textId="395CD10A" w:rsidR="00812BAE" w:rsidRDefault="00441853" w:rsidP="005A3B9F">
            <w:r>
              <w:t>6:00</w:t>
            </w:r>
            <w:r w:rsidR="00BF6AF5">
              <w:t xml:space="preserve">pm, </w:t>
            </w:r>
            <w:r w:rsidR="00233FAD">
              <w:t>Monday</w:t>
            </w:r>
            <w:r w:rsidR="005A3B9F">
              <w:t>,</w:t>
            </w:r>
            <w:r w:rsidR="00233FAD" w:rsidRPr="00964CD7">
              <w:t xml:space="preserve"> </w:t>
            </w:r>
            <w:r w:rsidR="002423C3">
              <w:t>29</w:t>
            </w:r>
            <w:r w:rsidR="002423C3" w:rsidRPr="00964CD7">
              <w:t xml:space="preserve"> </w:t>
            </w:r>
            <w:r w:rsidR="002423C3">
              <w:t>October</w:t>
            </w:r>
            <w:r w:rsidR="002423C3" w:rsidRPr="00964CD7">
              <w:t xml:space="preserve"> </w:t>
            </w:r>
            <w:r w:rsidR="00812BAE" w:rsidRPr="00964CD7">
              <w:t>201</w:t>
            </w:r>
            <w:r w:rsidR="002423C3">
              <w:t xml:space="preserve">8 </w:t>
            </w:r>
          </w:p>
        </w:tc>
      </w:tr>
    </w:tbl>
    <w:p w14:paraId="7BE4F220" w14:textId="6FB6A711" w:rsidR="00812BAE" w:rsidRDefault="00641D0B" w:rsidP="006B29C1">
      <w:pPr>
        <w:pStyle w:val="Heading3"/>
      </w:pPr>
      <w:bookmarkStart w:id="20" w:name="_Ref467775059"/>
      <w:r>
        <w:t>Response</w:t>
      </w:r>
      <w:r w:rsidR="00470030">
        <w:t xml:space="preserve"> </w:t>
      </w:r>
      <w:r>
        <w:t>evaluation</w:t>
      </w:r>
      <w:r w:rsidR="004B5053">
        <w:t xml:space="preserve"> p</w:t>
      </w:r>
      <w:r w:rsidR="00812BAE">
        <w:t>rocess</w:t>
      </w:r>
      <w:bookmarkEnd w:id="20"/>
    </w:p>
    <w:p w14:paraId="6E45CDCD" w14:textId="501EB50C" w:rsidR="00883196" w:rsidRDefault="00812BAE" w:rsidP="00812BAE">
      <w:r>
        <w:t xml:space="preserve">The </w:t>
      </w:r>
      <w:r w:rsidR="00641D0B">
        <w:t>completed and signed Response and Certification form</w:t>
      </w:r>
      <w:r>
        <w:t xml:space="preserve"> </w:t>
      </w:r>
      <w:r w:rsidR="00E937A3">
        <w:t>(</w:t>
      </w:r>
      <w:r>
        <w:t xml:space="preserve">and </w:t>
      </w:r>
      <w:r w:rsidR="00DA4E68">
        <w:t xml:space="preserve">any </w:t>
      </w:r>
      <w:r w:rsidR="00E937A3">
        <w:t>additional</w:t>
      </w:r>
      <w:r w:rsidR="00E23858">
        <w:t xml:space="preserve"> </w:t>
      </w:r>
      <w:r w:rsidR="00DA4E68">
        <w:t xml:space="preserve">supporting </w:t>
      </w:r>
      <w:r>
        <w:t xml:space="preserve">documentation </w:t>
      </w:r>
      <w:r w:rsidR="00E23858">
        <w:t>requested by CAV</w:t>
      </w:r>
      <w:r w:rsidR="00B706C1">
        <w:t>)</w:t>
      </w:r>
      <w:r w:rsidR="00E23858">
        <w:t xml:space="preserve"> </w:t>
      </w:r>
      <w:r>
        <w:t xml:space="preserve">will be the material assessed. </w:t>
      </w:r>
      <w:r w:rsidR="00883196">
        <w:t xml:space="preserve">The </w:t>
      </w:r>
      <w:r w:rsidR="00641D0B">
        <w:t>Response evaluation</w:t>
      </w:r>
      <w:r w:rsidR="00883196">
        <w:t xml:space="preserve"> process will involve three stages, as set out in the table below:</w:t>
      </w:r>
    </w:p>
    <w:p w14:paraId="06F51907" w14:textId="0E8968FA" w:rsidR="00FD5DDF" w:rsidRDefault="00FD5DDF" w:rsidP="00FD5DDF">
      <w:pPr>
        <w:pStyle w:val="Caption"/>
        <w:keepNext/>
      </w:pPr>
      <w:r>
        <w:t xml:space="preserve">Table </w:t>
      </w:r>
      <w:r w:rsidR="002460DD">
        <w:t>3</w:t>
      </w:r>
      <w:r>
        <w:t xml:space="preserve"> – Evaluation Process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16"/>
        <w:gridCol w:w="2039"/>
        <w:gridCol w:w="5441"/>
      </w:tblGrid>
      <w:tr w:rsidR="00883196" w14:paraId="3B824FF1" w14:textId="77777777" w:rsidTr="00DB67C9">
        <w:trPr>
          <w:cantSplit/>
          <w:tblHeader/>
        </w:trPr>
        <w:tc>
          <w:tcPr>
            <w:tcW w:w="492" w:type="pct"/>
            <w:shd w:val="clear" w:color="auto" w:fill="808080"/>
            <w:tcMar>
              <w:top w:w="0" w:type="dxa"/>
              <w:left w:w="108" w:type="dxa"/>
              <w:bottom w:w="0" w:type="dxa"/>
              <w:right w:w="108" w:type="dxa"/>
            </w:tcMar>
            <w:hideMark/>
          </w:tcPr>
          <w:p w14:paraId="03CDD639" w14:textId="77777777" w:rsidR="00883196" w:rsidRPr="002368F0" w:rsidRDefault="00883196" w:rsidP="002368F0">
            <w:pPr>
              <w:rPr>
                <w:b/>
                <w:bCs/>
                <w:color w:val="FFFFFF" w:themeColor="background1"/>
              </w:rPr>
            </w:pPr>
            <w:r w:rsidRPr="002368F0">
              <w:rPr>
                <w:b/>
                <w:bCs/>
                <w:color w:val="FFFFFF" w:themeColor="background1"/>
              </w:rPr>
              <w:t>Stage</w:t>
            </w:r>
          </w:p>
        </w:tc>
        <w:tc>
          <w:tcPr>
            <w:tcW w:w="1229" w:type="pct"/>
            <w:shd w:val="clear" w:color="auto" w:fill="808080"/>
            <w:tcMar>
              <w:top w:w="0" w:type="dxa"/>
              <w:left w:w="108" w:type="dxa"/>
              <w:bottom w:w="0" w:type="dxa"/>
              <w:right w:w="108" w:type="dxa"/>
            </w:tcMar>
            <w:hideMark/>
          </w:tcPr>
          <w:p w14:paraId="0A9FF06C" w14:textId="77777777" w:rsidR="00883196" w:rsidRPr="002368F0" w:rsidRDefault="00883196" w:rsidP="002368F0">
            <w:pPr>
              <w:rPr>
                <w:b/>
                <w:bCs/>
                <w:color w:val="FFFFFF" w:themeColor="background1"/>
              </w:rPr>
            </w:pPr>
            <w:r w:rsidRPr="002368F0">
              <w:rPr>
                <w:b/>
                <w:bCs/>
                <w:color w:val="FFFFFF" w:themeColor="background1"/>
              </w:rPr>
              <w:t>Title</w:t>
            </w:r>
          </w:p>
        </w:tc>
        <w:tc>
          <w:tcPr>
            <w:tcW w:w="3279" w:type="pct"/>
            <w:shd w:val="clear" w:color="auto" w:fill="808080"/>
            <w:tcMar>
              <w:top w:w="0" w:type="dxa"/>
              <w:left w:w="108" w:type="dxa"/>
              <w:bottom w:w="0" w:type="dxa"/>
              <w:right w:w="108" w:type="dxa"/>
            </w:tcMar>
            <w:hideMark/>
          </w:tcPr>
          <w:p w14:paraId="34D71D0D" w14:textId="77777777" w:rsidR="00883196" w:rsidRPr="002368F0" w:rsidRDefault="00883196" w:rsidP="002368F0">
            <w:pPr>
              <w:rPr>
                <w:b/>
                <w:bCs/>
                <w:color w:val="FFFFFF" w:themeColor="background1"/>
              </w:rPr>
            </w:pPr>
            <w:r w:rsidRPr="002368F0">
              <w:rPr>
                <w:b/>
                <w:bCs/>
                <w:color w:val="FFFFFF" w:themeColor="background1"/>
              </w:rPr>
              <w:t>Description</w:t>
            </w:r>
          </w:p>
        </w:tc>
      </w:tr>
      <w:tr w:rsidR="00883196" w14:paraId="20240524" w14:textId="77777777" w:rsidTr="00DB67C9">
        <w:trPr>
          <w:cantSplit/>
        </w:trPr>
        <w:tc>
          <w:tcPr>
            <w:tcW w:w="5000" w:type="pct"/>
            <w:gridSpan w:val="3"/>
            <w:shd w:val="clear" w:color="auto" w:fill="F2F2F2"/>
            <w:tcMar>
              <w:top w:w="0" w:type="dxa"/>
              <w:left w:w="108" w:type="dxa"/>
              <w:bottom w:w="0" w:type="dxa"/>
              <w:right w:w="108" w:type="dxa"/>
            </w:tcMar>
            <w:hideMark/>
          </w:tcPr>
          <w:p w14:paraId="1141B0B0" w14:textId="0D28C0AB" w:rsidR="00883196" w:rsidRDefault="00883196" w:rsidP="002368F0">
            <w:r>
              <w:t xml:space="preserve">Individual evaluation of </w:t>
            </w:r>
            <w:r w:rsidR="00641D0B">
              <w:t>Responses</w:t>
            </w:r>
            <w:r>
              <w:t xml:space="preserve"> </w:t>
            </w:r>
          </w:p>
        </w:tc>
      </w:tr>
      <w:tr w:rsidR="00883196" w14:paraId="05CE17BA" w14:textId="77777777" w:rsidTr="00DB67C9">
        <w:trPr>
          <w:cantSplit/>
        </w:trPr>
        <w:tc>
          <w:tcPr>
            <w:tcW w:w="492" w:type="pct"/>
            <w:tcMar>
              <w:top w:w="0" w:type="dxa"/>
              <w:left w:w="108" w:type="dxa"/>
              <w:bottom w:w="0" w:type="dxa"/>
              <w:right w:w="108" w:type="dxa"/>
            </w:tcMar>
            <w:hideMark/>
          </w:tcPr>
          <w:p w14:paraId="20E5E835" w14:textId="77777777" w:rsidR="00883196" w:rsidRPr="00A21B98" w:rsidRDefault="00883196" w:rsidP="002368F0">
            <w:r w:rsidRPr="00A21B98">
              <w:t>1</w:t>
            </w:r>
          </w:p>
        </w:tc>
        <w:tc>
          <w:tcPr>
            <w:tcW w:w="1229" w:type="pct"/>
            <w:tcMar>
              <w:top w:w="0" w:type="dxa"/>
              <w:left w:w="108" w:type="dxa"/>
              <w:bottom w:w="0" w:type="dxa"/>
              <w:right w:w="108" w:type="dxa"/>
            </w:tcMar>
            <w:hideMark/>
          </w:tcPr>
          <w:p w14:paraId="2F0A0096" w14:textId="3E5AFA86" w:rsidR="00883196" w:rsidRDefault="00883196" w:rsidP="002368F0">
            <w:r>
              <w:t xml:space="preserve">Compliance with </w:t>
            </w:r>
            <w:r w:rsidR="00641D0B">
              <w:t>minimum submission r</w:t>
            </w:r>
            <w:r>
              <w:t>equirements</w:t>
            </w:r>
          </w:p>
        </w:tc>
        <w:tc>
          <w:tcPr>
            <w:tcW w:w="3279" w:type="pct"/>
            <w:tcMar>
              <w:top w:w="0" w:type="dxa"/>
              <w:left w:w="108" w:type="dxa"/>
              <w:bottom w:w="0" w:type="dxa"/>
              <w:right w:w="108" w:type="dxa"/>
            </w:tcMar>
            <w:hideMark/>
          </w:tcPr>
          <w:p w14:paraId="2DC55156" w14:textId="22608D7B" w:rsidR="00883196" w:rsidRPr="004D051A" w:rsidRDefault="00883196" w:rsidP="002368F0">
            <w:r>
              <w:t>Compliance checks will be unde</w:t>
            </w:r>
            <w:r w:rsidR="00641D0B">
              <w:t>rtaken to identify whether the R</w:t>
            </w:r>
            <w:r>
              <w:t xml:space="preserve">esponse </w:t>
            </w:r>
            <w:r w:rsidR="00964CD7">
              <w:t xml:space="preserve">is correctly signed and </w:t>
            </w:r>
            <w:r>
              <w:t>align</w:t>
            </w:r>
            <w:r w:rsidR="00641D0B">
              <w:t>s</w:t>
            </w:r>
            <w:r>
              <w:t xml:space="preserve"> with minimum content </w:t>
            </w:r>
            <w:r w:rsidR="00641D0B">
              <w:t xml:space="preserve">and form to be considered </w:t>
            </w:r>
            <w:r>
              <w:t xml:space="preserve">conforming </w:t>
            </w:r>
          </w:p>
        </w:tc>
      </w:tr>
      <w:tr w:rsidR="00883196" w14:paraId="3DC4FF70" w14:textId="77777777" w:rsidTr="00DB67C9">
        <w:trPr>
          <w:cantSplit/>
        </w:trPr>
        <w:tc>
          <w:tcPr>
            <w:tcW w:w="492" w:type="pct"/>
            <w:tcMar>
              <w:top w:w="0" w:type="dxa"/>
              <w:left w:w="108" w:type="dxa"/>
              <w:bottom w:w="0" w:type="dxa"/>
              <w:right w:w="108" w:type="dxa"/>
            </w:tcMar>
            <w:hideMark/>
          </w:tcPr>
          <w:p w14:paraId="4E70F8FC" w14:textId="77777777" w:rsidR="00883196" w:rsidRPr="00A21B98" w:rsidRDefault="00883196" w:rsidP="002368F0">
            <w:r w:rsidRPr="00A21B98">
              <w:t>2</w:t>
            </w:r>
          </w:p>
        </w:tc>
        <w:tc>
          <w:tcPr>
            <w:tcW w:w="1229" w:type="pct"/>
            <w:tcMar>
              <w:top w:w="0" w:type="dxa"/>
              <w:left w:w="108" w:type="dxa"/>
              <w:bottom w:w="0" w:type="dxa"/>
              <w:right w:w="108" w:type="dxa"/>
            </w:tcMar>
            <w:hideMark/>
          </w:tcPr>
          <w:p w14:paraId="5F0CC126" w14:textId="77777777" w:rsidR="00883196" w:rsidRDefault="00883196" w:rsidP="002368F0">
            <w:r>
              <w:t>Pass/fail evaluation</w:t>
            </w:r>
          </w:p>
        </w:tc>
        <w:tc>
          <w:tcPr>
            <w:tcW w:w="3279" w:type="pct"/>
            <w:tcMar>
              <w:top w:w="0" w:type="dxa"/>
              <w:left w:w="108" w:type="dxa"/>
              <w:bottom w:w="0" w:type="dxa"/>
              <w:right w:w="108" w:type="dxa"/>
            </w:tcMar>
            <w:hideMark/>
          </w:tcPr>
          <w:p w14:paraId="075AB456" w14:textId="6D207BAD" w:rsidR="00883196" w:rsidRPr="00236AE1" w:rsidRDefault="00883196" w:rsidP="002368F0">
            <w:r>
              <w:rPr>
                <w:rFonts w:cs="Arial"/>
              </w:rPr>
              <w:t xml:space="preserve">An evaluation of </w:t>
            </w:r>
            <w:r w:rsidR="00641D0B">
              <w:rPr>
                <w:rFonts w:cs="Arial"/>
              </w:rPr>
              <w:t>Responses</w:t>
            </w:r>
            <w:r>
              <w:rPr>
                <w:rFonts w:cs="Arial"/>
              </w:rPr>
              <w:t xml:space="preserve"> against the </w:t>
            </w:r>
            <w:r w:rsidR="00641D0B">
              <w:rPr>
                <w:rFonts w:cs="Arial"/>
              </w:rPr>
              <w:t xml:space="preserve">mandatory </w:t>
            </w:r>
            <w:r>
              <w:rPr>
                <w:rFonts w:cs="Arial"/>
              </w:rPr>
              <w:t xml:space="preserve">pass/fail </w:t>
            </w:r>
            <w:r w:rsidRPr="00156FE8">
              <w:rPr>
                <w:rFonts w:cs="Arial"/>
              </w:rPr>
              <w:t>Assessment Criteria</w:t>
            </w:r>
            <w:r w:rsidR="00964CD7" w:rsidRPr="00156FE8">
              <w:rPr>
                <w:rFonts w:cs="Arial"/>
              </w:rPr>
              <w:t xml:space="preserve"> in Section 4 of this IEOI</w:t>
            </w:r>
          </w:p>
        </w:tc>
      </w:tr>
      <w:tr w:rsidR="00883196" w14:paraId="639A0729" w14:textId="77777777" w:rsidTr="00DB67C9">
        <w:trPr>
          <w:cantSplit/>
        </w:trPr>
        <w:tc>
          <w:tcPr>
            <w:tcW w:w="492" w:type="pct"/>
            <w:tcMar>
              <w:top w:w="0" w:type="dxa"/>
              <w:left w:w="108" w:type="dxa"/>
              <w:bottom w:w="0" w:type="dxa"/>
              <w:right w:w="108" w:type="dxa"/>
            </w:tcMar>
            <w:hideMark/>
          </w:tcPr>
          <w:p w14:paraId="49884E5E" w14:textId="77777777" w:rsidR="00883196" w:rsidRPr="00A21B98" w:rsidRDefault="00883196" w:rsidP="002368F0">
            <w:r w:rsidRPr="00A21B98">
              <w:t>3</w:t>
            </w:r>
          </w:p>
        </w:tc>
        <w:tc>
          <w:tcPr>
            <w:tcW w:w="1229" w:type="pct"/>
            <w:tcMar>
              <w:top w:w="0" w:type="dxa"/>
              <w:left w:w="108" w:type="dxa"/>
              <w:bottom w:w="0" w:type="dxa"/>
              <w:right w:w="108" w:type="dxa"/>
            </w:tcMar>
            <w:hideMark/>
          </w:tcPr>
          <w:p w14:paraId="0D334E75" w14:textId="77777777" w:rsidR="00883196" w:rsidRDefault="00883196" w:rsidP="002368F0">
            <w:r>
              <w:t>Comparative evaluation</w:t>
            </w:r>
          </w:p>
        </w:tc>
        <w:tc>
          <w:tcPr>
            <w:tcW w:w="3279" w:type="pct"/>
            <w:tcMar>
              <w:top w:w="0" w:type="dxa"/>
              <w:left w:w="108" w:type="dxa"/>
              <w:bottom w:w="0" w:type="dxa"/>
              <w:right w:w="108" w:type="dxa"/>
            </w:tcMar>
            <w:hideMark/>
          </w:tcPr>
          <w:p w14:paraId="04559DF9" w14:textId="4AB95850" w:rsidR="00883196" w:rsidRPr="00236AE1" w:rsidRDefault="00883196" w:rsidP="002368F0">
            <w:r>
              <w:rPr>
                <w:rFonts w:cs="Arial"/>
              </w:rPr>
              <w:t xml:space="preserve">An evaluation of </w:t>
            </w:r>
            <w:r w:rsidR="00641D0B">
              <w:rPr>
                <w:rFonts w:cs="Arial"/>
              </w:rPr>
              <w:t>Responses</w:t>
            </w:r>
            <w:r>
              <w:rPr>
                <w:rFonts w:cs="Arial"/>
              </w:rPr>
              <w:t xml:space="preserve"> </w:t>
            </w:r>
            <w:r w:rsidR="00641D0B">
              <w:rPr>
                <w:rFonts w:cs="Arial"/>
              </w:rPr>
              <w:t>that</w:t>
            </w:r>
            <w:r>
              <w:rPr>
                <w:rFonts w:cs="Arial"/>
              </w:rPr>
              <w:t xml:space="preserve"> have passed the pass/fail </w:t>
            </w:r>
            <w:r w:rsidR="00FD5DDF">
              <w:rPr>
                <w:rFonts w:cs="Arial"/>
              </w:rPr>
              <w:t>Assessment</w:t>
            </w:r>
            <w:r>
              <w:rPr>
                <w:rFonts w:cs="Arial"/>
              </w:rPr>
              <w:t xml:space="preserve"> Criteria against </w:t>
            </w:r>
            <w:r w:rsidRPr="00156FE8">
              <w:rPr>
                <w:rFonts w:cs="Arial"/>
              </w:rPr>
              <w:t>the comparative Assessment Criteria</w:t>
            </w:r>
            <w:r w:rsidR="00964CD7" w:rsidRPr="00156FE8">
              <w:rPr>
                <w:rFonts w:cs="Arial"/>
              </w:rPr>
              <w:t xml:space="preserve"> in Section 4</w:t>
            </w:r>
          </w:p>
        </w:tc>
      </w:tr>
    </w:tbl>
    <w:p w14:paraId="2E8FDF5B" w14:textId="24DF1329" w:rsidR="000B271F" w:rsidRDefault="000B271F" w:rsidP="006B29C1">
      <w:pPr>
        <w:pStyle w:val="Heading3"/>
      </w:pPr>
      <w:r>
        <w:t xml:space="preserve">Respondents to be notified of results of </w:t>
      </w:r>
      <w:r w:rsidR="00707D5B">
        <w:t>Response</w:t>
      </w:r>
      <w:r>
        <w:t xml:space="preserve"> evaluation process</w:t>
      </w:r>
    </w:p>
    <w:p w14:paraId="0AFF53E8" w14:textId="437DE35B" w:rsidR="009F499B" w:rsidRDefault="000B271F" w:rsidP="009F499B">
      <w:r>
        <w:t xml:space="preserve">Following completion of the </w:t>
      </w:r>
      <w:r w:rsidR="00641D0B">
        <w:t>Response</w:t>
      </w:r>
      <w:r>
        <w:t xml:space="preserve"> evaluation process, CAV</w:t>
      </w:r>
      <w:r w:rsidRPr="00091E98">
        <w:t xml:space="preserve"> will notify all Respondents of the outcome of the </w:t>
      </w:r>
      <w:r w:rsidR="00707D5B">
        <w:t>Response evaluation</w:t>
      </w:r>
      <w:r w:rsidRPr="00091E98">
        <w:t xml:space="preserve"> process</w:t>
      </w:r>
      <w:r>
        <w:t xml:space="preserve"> by email</w:t>
      </w:r>
      <w:r w:rsidR="00707D5B">
        <w:t>, including whether</w:t>
      </w:r>
      <w:r w:rsidR="00641D0B">
        <w:t xml:space="preserve"> </w:t>
      </w:r>
      <w:r w:rsidR="00707D5B">
        <w:t>the</w:t>
      </w:r>
      <w:r w:rsidR="00964CD7">
        <w:t>ir</w:t>
      </w:r>
      <w:r w:rsidR="00707D5B">
        <w:t xml:space="preserve"> Response has been</w:t>
      </w:r>
      <w:r w:rsidR="00641D0B">
        <w:t xml:space="preserve"> shortlisted</w:t>
      </w:r>
      <w:r w:rsidR="00707D5B">
        <w:t xml:space="preserve">. </w:t>
      </w:r>
      <w:r w:rsidRPr="00091E98">
        <w:t xml:space="preserve"> </w:t>
      </w:r>
    </w:p>
    <w:p w14:paraId="0B5DEA79" w14:textId="4FE0C332" w:rsidR="00842E7B" w:rsidRDefault="00F36B9D" w:rsidP="006B29C1">
      <w:pPr>
        <w:pStyle w:val="Heading2"/>
      </w:pPr>
      <w:bookmarkStart w:id="21" w:name="_Toc523845047"/>
      <w:r>
        <w:t>Grant Application Process</w:t>
      </w:r>
      <w:bookmarkEnd w:id="21"/>
    </w:p>
    <w:p w14:paraId="5264519F" w14:textId="610E68A6" w:rsidR="00707D5B" w:rsidRDefault="00707D5B" w:rsidP="006B29C1">
      <w:pPr>
        <w:pStyle w:val="Heading3"/>
      </w:pPr>
      <w:r>
        <w:t>Invitations to lodge Grant Applications</w:t>
      </w:r>
    </w:p>
    <w:p w14:paraId="022CE7D4" w14:textId="38CC4E0A" w:rsidR="00457C96" w:rsidRDefault="00707D5B" w:rsidP="00590B5E">
      <w:r>
        <w:t>At CAV’s sole discretion</w:t>
      </w:r>
      <w:r w:rsidR="00050A5F">
        <w:t xml:space="preserve">, </w:t>
      </w:r>
      <w:r>
        <w:t xml:space="preserve">those Respondents with </w:t>
      </w:r>
      <w:r w:rsidR="00964CD7">
        <w:t xml:space="preserve">a </w:t>
      </w:r>
      <w:r>
        <w:t xml:space="preserve">shortlisted </w:t>
      </w:r>
      <w:r w:rsidR="00964CD7">
        <w:t xml:space="preserve">Response </w:t>
      </w:r>
      <w:r>
        <w:t>(Proponents) may be invited to</w:t>
      </w:r>
      <w:r w:rsidR="00842E7B">
        <w:t xml:space="preserve"> submit a </w:t>
      </w:r>
      <w:r w:rsidR="002A40A9">
        <w:t xml:space="preserve">formal </w:t>
      </w:r>
      <w:r w:rsidR="00842E7B">
        <w:t xml:space="preserve">VPF grant application </w:t>
      </w:r>
      <w:r w:rsidR="002A40A9">
        <w:t xml:space="preserve">(Grant Application) </w:t>
      </w:r>
      <w:r w:rsidR="00457C96">
        <w:t>regarding the</w:t>
      </w:r>
      <w:r>
        <w:t xml:space="preserve"> </w:t>
      </w:r>
      <w:r w:rsidR="00C63497">
        <w:t xml:space="preserve">proposal </w:t>
      </w:r>
      <w:r w:rsidR="00050A5F">
        <w:t>for formal evaluation</w:t>
      </w:r>
      <w:r w:rsidR="002A40A9">
        <w:t xml:space="preserve">. Following completion of </w:t>
      </w:r>
      <w:r>
        <w:t xml:space="preserve">the </w:t>
      </w:r>
      <w:r w:rsidR="002A40A9">
        <w:t>evaluation of the</w:t>
      </w:r>
      <w:r w:rsidR="005D43D5">
        <w:t xml:space="preserve"> Grant A</w:t>
      </w:r>
      <w:r w:rsidR="002A40A9">
        <w:t>pplication</w:t>
      </w:r>
      <w:r w:rsidR="00E23858">
        <w:t>,</w:t>
      </w:r>
      <w:r w:rsidR="002A40A9">
        <w:t xml:space="preserve"> </w:t>
      </w:r>
      <w:r>
        <w:t>CAV and the EAC will make independent recommendations to the Minister</w:t>
      </w:r>
      <w:r w:rsidR="00E81A3F">
        <w:t>.</w:t>
      </w:r>
      <w:r w:rsidR="002A40A9">
        <w:t xml:space="preserve"> </w:t>
      </w:r>
    </w:p>
    <w:p w14:paraId="59835D4A" w14:textId="10DAB492" w:rsidR="00842E7B" w:rsidRPr="00842E7B" w:rsidRDefault="002A40A9" w:rsidP="00590B5E">
      <w:r>
        <w:t xml:space="preserve">The awarding of VPF grants is at the sole discretion of the Minister. No representation is made as to the likely success of </w:t>
      </w:r>
      <w:r w:rsidR="00DA4E68">
        <w:t>a</w:t>
      </w:r>
      <w:r>
        <w:t xml:space="preserve"> Grant Application</w:t>
      </w:r>
      <w:r w:rsidR="00E23858">
        <w:t xml:space="preserve"> by CAV inviting its lodgement</w:t>
      </w:r>
      <w:r>
        <w:t>.</w:t>
      </w:r>
      <w:r w:rsidR="00E81A3F">
        <w:t xml:space="preserve"> </w:t>
      </w:r>
    </w:p>
    <w:p w14:paraId="09B42926" w14:textId="0CA8C2C2" w:rsidR="00F36B9D" w:rsidRDefault="00F36B9D" w:rsidP="006B29C1">
      <w:pPr>
        <w:pStyle w:val="Heading3"/>
      </w:pPr>
      <w:r>
        <w:lastRenderedPageBreak/>
        <w:t>Grant Application submission requirements</w:t>
      </w:r>
    </w:p>
    <w:p w14:paraId="5FFB803F" w14:textId="0DF8A95F" w:rsidR="00AA7E4A" w:rsidRDefault="00F36B9D" w:rsidP="00F36B9D">
      <w:r>
        <w:t xml:space="preserve">CAV will </w:t>
      </w:r>
      <w:r w:rsidR="000E6FB7">
        <w:t>supply</w:t>
      </w:r>
      <w:r w:rsidR="00842E7B">
        <w:t xml:space="preserve"> </w:t>
      </w:r>
      <w:r>
        <w:t xml:space="preserve">Proponents </w:t>
      </w:r>
      <w:r w:rsidR="000E6FB7">
        <w:t>with a copy</w:t>
      </w:r>
      <w:r w:rsidR="006D41AF">
        <w:t xml:space="preserve"> of the VPF grant application form</w:t>
      </w:r>
      <w:r w:rsidR="005D43D5">
        <w:t xml:space="preserve"> by email. A duly completed and signed Grant Application </w:t>
      </w:r>
      <w:r>
        <w:t xml:space="preserve">must be returned to CAV </w:t>
      </w:r>
      <w:r w:rsidR="00750966">
        <w:t>in accordance with the below Grant Application submission requirements</w:t>
      </w:r>
      <w:r>
        <w:t xml:space="preserve">. </w:t>
      </w:r>
    </w:p>
    <w:p w14:paraId="4769A6F4" w14:textId="0FB7A63C" w:rsidR="00750966" w:rsidRDefault="00750966" w:rsidP="00750966">
      <w:pPr>
        <w:pStyle w:val="Caption"/>
        <w:keepNext/>
      </w:pPr>
      <w:r>
        <w:t>Table 4 – Grant Application Submission Requirements</w:t>
      </w:r>
    </w:p>
    <w:tbl>
      <w:tblP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14"/>
        <w:gridCol w:w="5953"/>
      </w:tblGrid>
      <w:tr w:rsidR="00750966" w14:paraId="20575B1B" w14:textId="77777777" w:rsidTr="00DE56C3">
        <w:trPr>
          <w:trHeight w:val="518"/>
        </w:trPr>
        <w:tc>
          <w:tcPr>
            <w:tcW w:w="3114" w:type="dxa"/>
          </w:tcPr>
          <w:p w14:paraId="0FA9299D" w14:textId="77777777" w:rsidR="00750966" w:rsidRDefault="00750966" w:rsidP="002368F0">
            <w:r>
              <w:t>Email addressed to:</w:t>
            </w:r>
          </w:p>
        </w:tc>
        <w:tc>
          <w:tcPr>
            <w:tcW w:w="5953" w:type="dxa"/>
          </w:tcPr>
          <w:p w14:paraId="67AE2F3E" w14:textId="77777777" w:rsidR="00750966" w:rsidRPr="00964CD7" w:rsidRDefault="003B1F6E" w:rsidP="002368F0">
            <w:hyperlink r:id="rId15" w:history="1">
              <w:r w:rsidR="00750966" w:rsidRPr="00964CD7">
                <w:rPr>
                  <w:rStyle w:val="Hyperlink"/>
                  <w:rFonts w:eastAsia="Times New Roman"/>
                  <w:lang w:val="en"/>
                </w:rPr>
                <w:t>vpf.grant.enquiries@justice.vic.gov.au</w:t>
              </w:r>
            </w:hyperlink>
          </w:p>
        </w:tc>
      </w:tr>
      <w:tr w:rsidR="00750966" w14:paraId="3DFA6923" w14:textId="77777777" w:rsidTr="00DE56C3">
        <w:trPr>
          <w:trHeight w:val="518"/>
        </w:trPr>
        <w:tc>
          <w:tcPr>
            <w:tcW w:w="3114" w:type="dxa"/>
          </w:tcPr>
          <w:p w14:paraId="524EDEC5" w14:textId="77777777" w:rsidR="00750966" w:rsidRDefault="00750966" w:rsidP="002368F0">
            <w:r>
              <w:t>Email reference:</w:t>
            </w:r>
          </w:p>
        </w:tc>
        <w:tc>
          <w:tcPr>
            <w:tcW w:w="5953" w:type="dxa"/>
          </w:tcPr>
          <w:p w14:paraId="36C4FBBE" w14:textId="180FC872" w:rsidR="00750966" w:rsidRDefault="00750966" w:rsidP="002D7FCC">
            <w:r>
              <w:t xml:space="preserve">“(Your </w:t>
            </w:r>
            <w:r w:rsidR="00C732CF">
              <w:t xml:space="preserve">CHO’s </w:t>
            </w:r>
            <w:r>
              <w:t>name) – VPF Housing Grant Application</w:t>
            </w:r>
            <w:r w:rsidR="00C732CF">
              <w:t xml:space="preserve"> 2018-19</w:t>
            </w:r>
            <w:r>
              <w:t>”</w:t>
            </w:r>
          </w:p>
        </w:tc>
      </w:tr>
      <w:tr w:rsidR="00750966" w14:paraId="664E0A00" w14:textId="77777777" w:rsidTr="00DE56C3">
        <w:trPr>
          <w:trHeight w:val="279"/>
        </w:trPr>
        <w:tc>
          <w:tcPr>
            <w:tcW w:w="3114" w:type="dxa"/>
          </w:tcPr>
          <w:p w14:paraId="4AA037A2" w14:textId="6590FDFC" w:rsidR="00750966" w:rsidRDefault="00750966" w:rsidP="002368F0">
            <w:r>
              <w:t>Format of digital copy of Grant Application:</w:t>
            </w:r>
          </w:p>
        </w:tc>
        <w:tc>
          <w:tcPr>
            <w:tcW w:w="5953" w:type="dxa"/>
          </w:tcPr>
          <w:p w14:paraId="7F832C79" w14:textId="77777777" w:rsidR="00750966" w:rsidRDefault="00750966" w:rsidP="002368F0">
            <w:r>
              <w:t xml:space="preserve">MS Word or PDF </w:t>
            </w:r>
          </w:p>
        </w:tc>
      </w:tr>
      <w:tr w:rsidR="00750966" w14:paraId="0A6B67A4" w14:textId="77777777" w:rsidTr="00DE56C3">
        <w:trPr>
          <w:trHeight w:val="279"/>
        </w:trPr>
        <w:tc>
          <w:tcPr>
            <w:tcW w:w="3114" w:type="dxa"/>
          </w:tcPr>
          <w:p w14:paraId="5AE29F81" w14:textId="30897EC1" w:rsidR="00750966" w:rsidRDefault="00750966" w:rsidP="002368F0">
            <w:r>
              <w:t xml:space="preserve">Emails with attached Grant Application to be received by CAV </w:t>
            </w:r>
            <w:r w:rsidR="00834E60">
              <w:t>by</w:t>
            </w:r>
            <w:r>
              <w:t>:</w:t>
            </w:r>
          </w:p>
        </w:tc>
        <w:tc>
          <w:tcPr>
            <w:tcW w:w="5953" w:type="dxa"/>
          </w:tcPr>
          <w:p w14:paraId="430DFB38" w14:textId="5C1F41CB" w:rsidR="00750966" w:rsidRDefault="00750966" w:rsidP="002D7FCC">
            <w:r>
              <w:rPr>
                <w:rFonts w:cstheme="minorHAnsi"/>
                <w:iCs/>
              </w:rPr>
              <w:t>Monday</w:t>
            </w:r>
            <w:r w:rsidR="002D7FCC">
              <w:rPr>
                <w:rFonts w:cstheme="minorHAnsi"/>
                <w:iCs/>
              </w:rPr>
              <w:t>,</w:t>
            </w:r>
            <w:r>
              <w:rPr>
                <w:rFonts w:cstheme="minorHAnsi"/>
                <w:iCs/>
              </w:rPr>
              <w:t xml:space="preserve"> </w:t>
            </w:r>
            <w:r w:rsidR="007B3A0F">
              <w:rPr>
                <w:rFonts w:cstheme="minorHAnsi"/>
                <w:iCs/>
              </w:rPr>
              <w:t>21</w:t>
            </w:r>
            <w:r w:rsidR="00024A39">
              <w:rPr>
                <w:rFonts w:cstheme="minorHAnsi"/>
                <w:iCs/>
              </w:rPr>
              <w:t xml:space="preserve"> January</w:t>
            </w:r>
            <w:r w:rsidR="008D256D">
              <w:rPr>
                <w:rFonts w:cstheme="minorHAnsi"/>
                <w:iCs/>
              </w:rPr>
              <w:t xml:space="preserve"> 201</w:t>
            </w:r>
            <w:r w:rsidR="00024A39">
              <w:rPr>
                <w:rFonts w:cstheme="minorHAnsi"/>
                <w:iCs/>
              </w:rPr>
              <w:t>9</w:t>
            </w:r>
          </w:p>
        </w:tc>
      </w:tr>
    </w:tbl>
    <w:p w14:paraId="2711A875" w14:textId="083BCA50" w:rsidR="00812BAE" w:rsidRPr="004E4218" w:rsidRDefault="008D256D" w:rsidP="006B29C1">
      <w:pPr>
        <w:pStyle w:val="Heading2"/>
      </w:pPr>
      <w:bookmarkStart w:id="22" w:name="_Toc474479187"/>
      <w:bookmarkStart w:id="23" w:name="_Toc474505631"/>
      <w:bookmarkStart w:id="24" w:name="_Toc474401458"/>
      <w:bookmarkStart w:id="25" w:name="_Toc474479188"/>
      <w:bookmarkStart w:id="26" w:name="_Toc474505632"/>
      <w:bookmarkStart w:id="27" w:name="_Toc474401459"/>
      <w:bookmarkStart w:id="28" w:name="_Toc474479189"/>
      <w:bookmarkStart w:id="29" w:name="_Toc474505633"/>
      <w:bookmarkStart w:id="30" w:name="_Toc474401460"/>
      <w:bookmarkStart w:id="31" w:name="_Toc474479190"/>
      <w:bookmarkStart w:id="32" w:name="_Toc474505634"/>
      <w:bookmarkStart w:id="33" w:name="_Toc474401461"/>
      <w:bookmarkStart w:id="34" w:name="_Toc474479191"/>
      <w:bookmarkStart w:id="35" w:name="_Toc474505635"/>
      <w:bookmarkStart w:id="36" w:name="_Toc523845048"/>
      <w:bookmarkEnd w:id="22"/>
      <w:bookmarkEnd w:id="23"/>
      <w:bookmarkEnd w:id="24"/>
      <w:bookmarkEnd w:id="25"/>
      <w:bookmarkEnd w:id="26"/>
      <w:bookmarkEnd w:id="27"/>
      <w:bookmarkEnd w:id="28"/>
      <w:bookmarkEnd w:id="29"/>
      <w:bookmarkEnd w:id="30"/>
      <w:bookmarkEnd w:id="31"/>
      <w:bookmarkEnd w:id="32"/>
      <w:bookmarkEnd w:id="33"/>
      <w:bookmarkEnd w:id="34"/>
      <w:bookmarkEnd w:id="35"/>
      <w:r>
        <w:t>C</w:t>
      </w:r>
      <w:r w:rsidR="00812BAE" w:rsidRPr="004E4218">
        <w:t xml:space="preserve">onditions of </w:t>
      </w:r>
      <w:r>
        <w:t>Participation</w:t>
      </w:r>
      <w:bookmarkEnd w:id="36"/>
      <w:r w:rsidR="00812BAE" w:rsidRPr="004E4218">
        <w:t xml:space="preserve"> </w:t>
      </w:r>
    </w:p>
    <w:p w14:paraId="10417D7F" w14:textId="65AB9593" w:rsidR="008D256D" w:rsidRDefault="008D256D" w:rsidP="00A860F6">
      <w:r>
        <w:t xml:space="preserve">The terms and conditions applying to the </w:t>
      </w:r>
      <w:r w:rsidR="00024A39">
        <w:t>Program</w:t>
      </w:r>
      <w:r>
        <w:t xml:space="preserve"> are</w:t>
      </w:r>
      <w:r w:rsidR="00991D50">
        <w:t xml:space="preserve"> contained in this IEOI document and</w:t>
      </w:r>
      <w:r>
        <w:t xml:space="preserve"> the accompanying</w:t>
      </w:r>
      <w:r w:rsidR="00991D50">
        <w:t xml:space="preserve"> </w:t>
      </w:r>
      <w:r w:rsidR="00991D50" w:rsidRPr="00991D50">
        <w:rPr>
          <w:i/>
        </w:rPr>
        <w:t>Conditions of Participation</w:t>
      </w:r>
      <w:r>
        <w:t xml:space="preserve"> document. Respondents </w:t>
      </w:r>
      <w:r w:rsidR="00991D50">
        <w:t xml:space="preserve">are required to accept these terms and </w:t>
      </w:r>
      <w:r>
        <w:t>should familiarise themselves with the content</w:t>
      </w:r>
      <w:r w:rsidR="00991D50">
        <w:t>s</w:t>
      </w:r>
      <w:r>
        <w:t xml:space="preserve"> of th</w:t>
      </w:r>
      <w:r w:rsidR="00991D50">
        <w:t>ese</w:t>
      </w:r>
      <w:r>
        <w:t xml:space="preserve"> document</w:t>
      </w:r>
      <w:r w:rsidR="00991D50">
        <w:t>s</w:t>
      </w:r>
      <w:r w:rsidR="00BA0AB7">
        <w:t xml:space="preserve"> prior to submitting a Response</w:t>
      </w:r>
      <w:r>
        <w:t>.</w:t>
      </w:r>
    </w:p>
    <w:p w14:paraId="08CD113D" w14:textId="4DEFC3F6" w:rsidR="00812BAE" w:rsidRDefault="004637C2" w:rsidP="006B29C1">
      <w:pPr>
        <w:pStyle w:val="Heading2"/>
      </w:pPr>
      <w:bookmarkStart w:id="37" w:name="_Toc474401463"/>
      <w:bookmarkStart w:id="38" w:name="_Toc523845049"/>
      <w:bookmarkEnd w:id="37"/>
      <w:r>
        <w:t xml:space="preserve">Registration, </w:t>
      </w:r>
      <w:r w:rsidR="00812BAE">
        <w:t>Enquiries and Feedback</w:t>
      </w:r>
      <w:bookmarkEnd w:id="38"/>
      <w:r w:rsidR="00812BAE">
        <w:t xml:space="preserve"> </w:t>
      </w:r>
    </w:p>
    <w:p w14:paraId="3D5E2895" w14:textId="029612BB" w:rsidR="004637C2" w:rsidRDefault="00024A39" w:rsidP="00812BAE">
      <w:r>
        <w:t xml:space="preserve">CHOs </w:t>
      </w:r>
      <w:r w:rsidR="004637C2">
        <w:t xml:space="preserve">interested in participating in </w:t>
      </w:r>
      <w:r w:rsidR="00180EA4">
        <w:t xml:space="preserve">the </w:t>
      </w:r>
      <w:r w:rsidR="00B706C1">
        <w:t>Program</w:t>
      </w:r>
      <w:r w:rsidR="004637C2">
        <w:t xml:space="preserve"> are encouraged to register by sending an email with their contact details to the following email addres</w:t>
      </w:r>
      <w:r w:rsidR="00DA4E68">
        <w:t>s</w:t>
      </w:r>
      <w:r w:rsidR="004637C2">
        <w:t xml:space="preserve">: </w:t>
      </w:r>
    </w:p>
    <w:p w14:paraId="350763DB" w14:textId="5A766B10" w:rsidR="00BA71E6" w:rsidRDefault="003B1F6E" w:rsidP="00BA71E6">
      <w:pPr>
        <w:spacing w:before="0" w:after="0"/>
        <w:ind w:left="720"/>
        <w:rPr>
          <w:rFonts w:eastAsia="Times New Roman"/>
          <w:color w:val="444444"/>
          <w:sz w:val="18"/>
          <w:szCs w:val="18"/>
          <w:lang w:val="en"/>
        </w:rPr>
      </w:pPr>
      <w:hyperlink r:id="rId16" w:history="1">
        <w:r w:rsidR="00BA71E6" w:rsidRPr="00BC67A1">
          <w:rPr>
            <w:rStyle w:val="Hyperlink"/>
            <w:rFonts w:eastAsia="Times New Roman"/>
            <w:sz w:val="18"/>
            <w:szCs w:val="18"/>
            <w:lang w:val="en"/>
          </w:rPr>
          <w:t>vpf.grant.enquiries@justice.vic.gov.au</w:t>
        </w:r>
      </w:hyperlink>
    </w:p>
    <w:p w14:paraId="765F4958" w14:textId="0BF63223" w:rsidR="00BA71E6" w:rsidRDefault="00BA71E6" w:rsidP="004637C2">
      <w:pPr>
        <w:spacing w:before="0" w:after="0"/>
      </w:pPr>
    </w:p>
    <w:p w14:paraId="55934880" w14:textId="44091580" w:rsidR="004637C2" w:rsidRDefault="005A6116" w:rsidP="005A6116">
      <w:pPr>
        <w:spacing w:before="0" w:after="0"/>
      </w:pPr>
      <w:r>
        <w:t xml:space="preserve">with reference: </w:t>
      </w:r>
      <w:r w:rsidR="004637C2">
        <w:t xml:space="preserve">“(Your </w:t>
      </w:r>
      <w:r w:rsidR="00024A39">
        <w:t xml:space="preserve">CHO’s </w:t>
      </w:r>
      <w:r w:rsidR="004637C2">
        <w:t>name) –</w:t>
      </w:r>
      <w:r w:rsidR="00DA4E68">
        <w:t xml:space="preserve"> </w:t>
      </w:r>
      <w:r w:rsidR="004637C2">
        <w:t xml:space="preserve">Registration for </w:t>
      </w:r>
      <w:r w:rsidR="00024A39">
        <w:t xml:space="preserve">VPF </w:t>
      </w:r>
      <w:r w:rsidR="004637C2">
        <w:t>Housing Round</w:t>
      </w:r>
      <w:r w:rsidR="00024A39">
        <w:t xml:space="preserve"> 2018-19</w:t>
      </w:r>
      <w:r w:rsidR="004637C2">
        <w:t>”</w:t>
      </w:r>
    </w:p>
    <w:p w14:paraId="6F6A0A8E" w14:textId="443A409B" w:rsidR="00AD4015" w:rsidRPr="002B45C7" w:rsidRDefault="006D17AC" w:rsidP="00812BAE">
      <w:r>
        <w:t xml:space="preserve">The </w:t>
      </w:r>
      <w:r w:rsidR="0066213A">
        <w:t>Respondent</w:t>
      </w:r>
      <w:r>
        <w:t>’s nominated representative</w:t>
      </w:r>
      <w:r w:rsidR="00883196" w:rsidRPr="00091E98">
        <w:t xml:space="preserve"> may </w:t>
      </w:r>
      <w:r w:rsidR="00883196" w:rsidRPr="002B45C7">
        <w:t xml:space="preserve">seek clarification in respect of any aspect of this </w:t>
      </w:r>
      <w:r w:rsidR="0066213A" w:rsidRPr="002B45C7">
        <w:t xml:space="preserve">IEOI </w:t>
      </w:r>
      <w:r w:rsidR="00883196" w:rsidRPr="002B45C7">
        <w:t xml:space="preserve">by submitting a written request for clarification to </w:t>
      </w:r>
      <w:r w:rsidR="00AD4015" w:rsidRPr="002B45C7">
        <w:t>the Funded Services Branch of</w:t>
      </w:r>
      <w:r w:rsidR="00013845" w:rsidRPr="002B45C7">
        <w:t xml:space="preserve"> Consumer Affairs V</w:t>
      </w:r>
      <w:r w:rsidR="00320C9A" w:rsidRPr="002B45C7">
        <w:t>ictoria</w:t>
      </w:r>
      <w:r w:rsidR="00AD4015" w:rsidRPr="002B45C7">
        <w:t xml:space="preserve"> at the following email address:</w:t>
      </w:r>
    </w:p>
    <w:p w14:paraId="3E1AFB92" w14:textId="6CC1918D" w:rsidR="00812BAE" w:rsidRPr="002B45C7" w:rsidRDefault="003B1F6E" w:rsidP="00590B5E">
      <w:pPr>
        <w:ind w:left="720"/>
      </w:pPr>
      <w:hyperlink r:id="rId17" w:history="1">
        <w:r w:rsidR="00BA71E6" w:rsidRPr="002B45C7">
          <w:rPr>
            <w:rStyle w:val="Hyperlink"/>
            <w:rFonts w:eastAsia="Times New Roman"/>
            <w:sz w:val="18"/>
            <w:szCs w:val="18"/>
            <w:lang w:val="en"/>
          </w:rPr>
          <w:t>vpf.grant.enquiries@justice.vic.gov.au</w:t>
        </w:r>
      </w:hyperlink>
      <w:hyperlink r:id="rId18" w:history="1"/>
    </w:p>
    <w:p w14:paraId="2C31E289" w14:textId="1BC9AB45" w:rsidR="00091E98" w:rsidRPr="00091E98" w:rsidRDefault="00091E98" w:rsidP="00091E98">
      <w:r w:rsidRPr="002B45C7">
        <w:t xml:space="preserve">Clarifications can be submitted up to the </w:t>
      </w:r>
      <w:r w:rsidR="00AD4015" w:rsidRPr="002B45C7">
        <w:t xml:space="preserve">End of </w:t>
      </w:r>
      <w:r w:rsidR="00266DB1" w:rsidRPr="002B45C7">
        <w:t>C</w:t>
      </w:r>
      <w:r w:rsidR="00AD4015" w:rsidRPr="002B45C7">
        <w:t xml:space="preserve">larification </w:t>
      </w:r>
      <w:r w:rsidR="00266DB1" w:rsidRPr="002B45C7">
        <w:t>P</w:t>
      </w:r>
      <w:r w:rsidR="00AD4015" w:rsidRPr="002B45C7">
        <w:t>eriod</w:t>
      </w:r>
      <w:r w:rsidR="00AD4015">
        <w:t xml:space="preserve"> specified</w:t>
      </w:r>
      <w:r w:rsidR="00A21B98">
        <w:t xml:space="preserve"> in </w:t>
      </w:r>
      <w:r w:rsidR="00A21B98">
        <w:fldChar w:fldCharType="begin"/>
      </w:r>
      <w:r w:rsidR="00A21B98">
        <w:instrText xml:space="preserve"> REF _Ref467774837 \h </w:instrText>
      </w:r>
      <w:r w:rsidR="00A21B98">
        <w:fldChar w:fldCharType="separate"/>
      </w:r>
      <w:r w:rsidR="004E7137">
        <w:t>Table 1 - Target Dates</w:t>
      </w:r>
      <w:r w:rsidR="00A21B98">
        <w:fldChar w:fldCharType="end"/>
      </w:r>
      <w:r w:rsidRPr="00091E98">
        <w:t>.</w:t>
      </w:r>
    </w:p>
    <w:p w14:paraId="10CC7B16" w14:textId="296D2AA6" w:rsidR="00091E98" w:rsidRPr="00091E98" w:rsidRDefault="000A4877" w:rsidP="00091E98">
      <w:r>
        <w:t>CAV</w:t>
      </w:r>
      <w:r w:rsidR="00091E98" w:rsidRPr="00091E98">
        <w:t xml:space="preserve"> will have absolute discretion in determining whether to respond to a request for </w:t>
      </w:r>
      <w:r w:rsidR="00091E98" w:rsidRPr="002B45C7">
        <w:t>clarification</w:t>
      </w:r>
      <w:r w:rsidR="00091E98" w:rsidRPr="00091E98">
        <w:t xml:space="preserve">. </w:t>
      </w:r>
      <w:r w:rsidR="008810AC">
        <w:t>Subject to the confidentiality</w:t>
      </w:r>
      <w:r w:rsidR="00182B09">
        <w:t xml:space="preserve"> notification</w:t>
      </w:r>
      <w:r w:rsidR="008810AC">
        <w:t xml:space="preserve"> process below, </w:t>
      </w:r>
      <w:r>
        <w:t>CAV</w:t>
      </w:r>
      <w:r w:rsidR="00091E98" w:rsidRPr="00091E98">
        <w:t xml:space="preserve"> </w:t>
      </w:r>
      <w:r w:rsidR="00242472">
        <w:t>may</w:t>
      </w:r>
      <w:r w:rsidR="008810AC">
        <w:t xml:space="preserve"> provide the information sought to all Respondents</w:t>
      </w:r>
      <w:r w:rsidR="00091E98" w:rsidRPr="00091E98">
        <w:t>.</w:t>
      </w:r>
    </w:p>
    <w:p w14:paraId="0F9AC241" w14:textId="548248B6" w:rsidR="00091E98" w:rsidRPr="00091E98" w:rsidRDefault="00091E98" w:rsidP="00091E98">
      <w:r w:rsidRPr="00091E98">
        <w:t xml:space="preserve">If a </w:t>
      </w:r>
      <w:r w:rsidR="0066213A">
        <w:t>Respondent</w:t>
      </w:r>
      <w:r w:rsidRPr="00091E98">
        <w:t xml:space="preserve"> believes that its request is confidential, it should notify </w:t>
      </w:r>
      <w:r w:rsidR="000A4877">
        <w:t>CAV</w:t>
      </w:r>
      <w:r w:rsidRPr="00091E98">
        <w:t xml:space="preserve"> of this upon submitting the written request. A determination will be made by </w:t>
      </w:r>
      <w:r w:rsidR="000A4877">
        <w:t>CAV</w:t>
      </w:r>
      <w:r w:rsidRPr="00091E98">
        <w:t xml:space="preserve">, in its absolute discretion, as to </w:t>
      </w:r>
      <w:proofErr w:type="gramStart"/>
      <w:r w:rsidRPr="00091E98">
        <w:t>whether or not</w:t>
      </w:r>
      <w:proofErr w:type="gramEnd"/>
      <w:r w:rsidRPr="00091E98">
        <w:t xml:space="preserve"> the enquiry is confidential.</w:t>
      </w:r>
    </w:p>
    <w:p w14:paraId="3F1AE120" w14:textId="252C5020" w:rsidR="00091E98" w:rsidRPr="00091E98" w:rsidRDefault="00091E98" w:rsidP="00091E98">
      <w:r>
        <w:t xml:space="preserve">If </w:t>
      </w:r>
      <w:r w:rsidR="00CB7FB9">
        <w:t>CAV</w:t>
      </w:r>
      <w:r w:rsidRPr="00091E98">
        <w:t xml:space="preserve"> determines the enquiry is: </w:t>
      </w:r>
    </w:p>
    <w:p w14:paraId="053B543B" w14:textId="2B8ABA6D" w:rsidR="00091E98" w:rsidRPr="00091E98" w:rsidRDefault="00091E98" w:rsidP="006B29C1">
      <w:pPr>
        <w:pStyle w:val="ListBullet"/>
      </w:pPr>
      <w:r w:rsidRPr="00091E98">
        <w:t>not confidential, it will advise the</w:t>
      </w:r>
      <w:r>
        <w:t xml:space="preserve"> Respondent</w:t>
      </w:r>
      <w:r w:rsidRPr="00091E98">
        <w:t xml:space="preserve"> of this decision. The </w:t>
      </w:r>
      <w:r>
        <w:t>Respondent</w:t>
      </w:r>
      <w:r w:rsidRPr="00091E98">
        <w:t xml:space="preserve"> may then withdraw the enquiry within two Business Days or proceed with the enquiry as a non-confidential enquiry, in which case </w:t>
      </w:r>
      <w:r w:rsidR="00CB7FB9">
        <w:t>CAV</w:t>
      </w:r>
      <w:r>
        <w:t xml:space="preserve"> will respond to all Respondents</w:t>
      </w:r>
      <w:r w:rsidRPr="00091E98">
        <w:t>; or</w:t>
      </w:r>
    </w:p>
    <w:p w14:paraId="501B1979" w14:textId="237F0352" w:rsidR="00091E98" w:rsidRPr="00091E98" w:rsidRDefault="00091E98" w:rsidP="006B29C1">
      <w:pPr>
        <w:pStyle w:val="ListBullet"/>
      </w:pPr>
      <w:r w:rsidRPr="00091E98">
        <w:t xml:space="preserve">confidential, the answer to the enquiry (if any) will not be issued by </w:t>
      </w:r>
      <w:r w:rsidR="00CB7FB9">
        <w:t>CAV</w:t>
      </w:r>
      <w:r w:rsidRPr="00091E98">
        <w:t xml:space="preserve"> to other </w:t>
      </w:r>
      <w:r>
        <w:t>Respondents</w:t>
      </w:r>
      <w:r w:rsidRPr="00091E98">
        <w:t>.</w:t>
      </w:r>
    </w:p>
    <w:p w14:paraId="3AAD2015" w14:textId="3D42FBA0" w:rsidR="00091E98" w:rsidRDefault="00091E98" w:rsidP="00091E98">
      <w:r w:rsidRPr="00091E98">
        <w:t>Whether or not an enquiry is co</w:t>
      </w:r>
      <w:r>
        <w:t xml:space="preserve">nfidential or determined by </w:t>
      </w:r>
      <w:r w:rsidR="00CE1CCA">
        <w:t>CAV</w:t>
      </w:r>
      <w:r w:rsidRPr="00091E98">
        <w:t xml:space="preserve"> to be confidential or is otherwise withdrawn by a </w:t>
      </w:r>
      <w:r>
        <w:t>Respondent</w:t>
      </w:r>
      <w:r w:rsidRPr="00091E98">
        <w:t xml:space="preserve">, does not limit or otherwise affect </w:t>
      </w:r>
      <w:r w:rsidR="00CE1CCA">
        <w:t>CAV’s</w:t>
      </w:r>
      <w:r w:rsidRPr="00091E98">
        <w:t xml:space="preserve"> rights under this </w:t>
      </w:r>
      <w:r w:rsidR="0066213A">
        <w:t>I</w:t>
      </w:r>
      <w:r w:rsidRPr="00091E98">
        <w:t>EOI.</w:t>
      </w:r>
    </w:p>
    <w:p w14:paraId="47A5E919" w14:textId="041EA2CC" w:rsidR="005A6116" w:rsidRDefault="0063589F" w:rsidP="005A6116">
      <w:r>
        <w:t xml:space="preserve">CAV will supply feedback </w:t>
      </w:r>
      <w:r w:rsidR="004637C2">
        <w:t xml:space="preserve">regarding an unsuccessful </w:t>
      </w:r>
      <w:r w:rsidR="00C63497">
        <w:t xml:space="preserve">Response </w:t>
      </w:r>
      <w:r w:rsidR="00024A39">
        <w:t xml:space="preserve">or </w:t>
      </w:r>
      <w:r w:rsidR="00C63497">
        <w:t xml:space="preserve">Grant </w:t>
      </w:r>
      <w:r w:rsidR="00024A39">
        <w:t xml:space="preserve">Application </w:t>
      </w:r>
      <w:r>
        <w:t xml:space="preserve">upon the request of </w:t>
      </w:r>
      <w:r w:rsidR="004637C2">
        <w:t xml:space="preserve">the </w:t>
      </w:r>
      <w:r>
        <w:t>Resp</w:t>
      </w:r>
      <w:r w:rsidR="004637C2">
        <w:t>ondent</w:t>
      </w:r>
      <w:r>
        <w:t>.</w:t>
      </w:r>
    </w:p>
    <w:p w14:paraId="39A1D8F3" w14:textId="3FE73336" w:rsidR="00812BAE" w:rsidRDefault="00812BAE" w:rsidP="006B29C1">
      <w:pPr>
        <w:pStyle w:val="Heading1"/>
      </w:pPr>
      <w:bookmarkStart w:id="39" w:name="_Toc474401465"/>
      <w:bookmarkStart w:id="40" w:name="_Toc474479195"/>
      <w:bookmarkStart w:id="41" w:name="_Toc474505639"/>
      <w:bookmarkStart w:id="42" w:name="_Toc523845050"/>
      <w:bookmarkEnd w:id="39"/>
      <w:bookmarkEnd w:id="40"/>
      <w:bookmarkEnd w:id="41"/>
      <w:r>
        <w:lastRenderedPageBreak/>
        <w:t>Requirements</w:t>
      </w:r>
      <w:bookmarkEnd w:id="42"/>
    </w:p>
    <w:p w14:paraId="1C28C5D6" w14:textId="3B76054F" w:rsidR="006746A5" w:rsidRDefault="006746A5" w:rsidP="00363E57">
      <w:pPr>
        <w:pStyle w:val="Heading2"/>
      </w:pPr>
      <w:bookmarkStart w:id="43" w:name="_Toc523845051"/>
      <w:r>
        <w:t>Summary of Proposed Arrangements</w:t>
      </w:r>
      <w:bookmarkEnd w:id="43"/>
    </w:p>
    <w:p w14:paraId="633A6E91" w14:textId="3DA9B64F" w:rsidR="006746A5" w:rsidRPr="00821316" w:rsidRDefault="006746A5" w:rsidP="00590B5E">
      <w:r>
        <w:t>The following notes form an indicative summary of the commercial and operating arrangements</w:t>
      </w:r>
      <w:r w:rsidR="00867DF9">
        <w:t xml:space="preserve"> for delivery of the Program</w:t>
      </w:r>
      <w:r>
        <w:t>. In the event of an inconsistency or contradiction between this indicative summary and the Funding Agreement, the Funding Agreement shall prevail.</w:t>
      </w:r>
    </w:p>
    <w:p w14:paraId="3C3B3D99" w14:textId="78EBAA06" w:rsidR="00242472" w:rsidRDefault="00242472" w:rsidP="00363E57">
      <w:pPr>
        <w:pStyle w:val="Heading2"/>
      </w:pPr>
      <w:bookmarkStart w:id="44" w:name="_Toc523845052"/>
      <w:r>
        <w:t>Government contribution limited</w:t>
      </w:r>
      <w:bookmarkEnd w:id="44"/>
    </w:p>
    <w:p w14:paraId="6FDD069C" w14:textId="6A3DA691" w:rsidR="00C55E8C" w:rsidRDefault="00697C51" w:rsidP="00590B5E">
      <w:r>
        <w:t>If a VPF grant is approved, t</w:t>
      </w:r>
      <w:r w:rsidR="00C55E8C">
        <w:t xml:space="preserve">he Government’s contribution </w:t>
      </w:r>
      <w:r w:rsidR="00554CB6">
        <w:t xml:space="preserve">to the Development </w:t>
      </w:r>
      <w:r w:rsidR="00C55E8C">
        <w:t xml:space="preserve">is limited to the </w:t>
      </w:r>
      <w:r>
        <w:t>value</w:t>
      </w:r>
      <w:r w:rsidR="007846BF">
        <w:t xml:space="preserve"> of the </w:t>
      </w:r>
      <w:r w:rsidR="00DA4E68">
        <w:t xml:space="preserve">VPF </w:t>
      </w:r>
      <w:r w:rsidR="007846BF">
        <w:t>grant</w:t>
      </w:r>
      <w:r w:rsidR="00DA4E68">
        <w:t xml:space="preserve"> awarded</w:t>
      </w:r>
      <w:r w:rsidR="00C55E8C">
        <w:t xml:space="preserve">. </w:t>
      </w:r>
      <w:r>
        <w:t xml:space="preserve">The Grant Recipient is expected to meet all other costs associated with the </w:t>
      </w:r>
      <w:r w:rsidRPr="00443238">
        <w:t>Development and ongoing use of the housing for accommodating low income or disadvantaged persons, including the cost of maintaining or improving the housing and providing any required</w:t>
      </w:r>
      <w:r w:rsidR="00B51FB0" w:rsidRPr="00443238">
        <w:t xml:space="preserve"> tenancy</w:t>
      </w:r>
      <w:r w:rsidR="00024A39">
        <w:t xml:space="preserve"> management or</w:t>
      </w:r>
      <w:r w:rsidR="00B51FB0" w:rsidRPr="00443238">
        <w:t xml:space="preserve"> support services</w:t>
      </w:r>
      <w:r w:rsidRPr="00443238">
        <w:t>.</w:t>
      </w:r>
    </w:p>
    <w:p w14:paraId="2C3B50C6" w14:textId="26580C41" w:rsidR="00F51DB7" w:rsidRDefault="00F51DB7" w:rsidP="00363E57">
      <w:pPr>
        <w:pStyle w:val="Heading2"/>
      </w:pPr>
      <w:bookmarkStart w:id="45" w:name="_Toc523845053"/>
      <w:r>
        <w:t xml:space="preserve">Housing to be used for accommodating low income </w:t>
      </w:r>
      <w:r w:rsidR="00BA0AB7">
        <w:t>or</w:t>
      </w:r>
      <w:r>
        <w:t xml:space="preserve"> disadvantaged </w:t>
      </w:r>
      <w:r w:rsidR="00623847">
        <w:t>Victorians</w:t>
      </w:r>
      <w:bookmarkEnd w:id="45"/>
    </w:p>
    <w:p w14:paraId="7A72C355" w14:textId="37A967E1" w:rsidR="007A1B20" w:rsidRDefault="00F51DB7" w:rsidP="00590B5E">
      <w:r w:rsidRPr="00F51DB7">
        <w:t xml:space="preserve">It is </w:t>
      </w:r>
      <w:r w:rsidR="00BA0AB7">
        <w:t>a condition of any grant</w:t>
      </w:r>
      <w:r w:rsidR="00180EA4">
        <w:t xml:space="preserve"> </w:t>
      </w:r>
      <w:r w:rsidRPr="00F51DB7">
        <w:t xml:space="preserve">that </w:t>
      </w:r>
      <w:r w:rsidR="00242472">
        <w:t>any</w:t>
      </w:r>
      <w:r w:rsidRPr="00F51DB7">
        <w:t xml:space="preserve"> housing </w:t>
      </w:r>
      <w:r w:rsidR="00EF5A4E">
        <w:t xml:space="preserve">developed </w:t>
      </w:r>
      <w:r w:rsidR="00242472">
        <w:t xml:space="preserve">or </w:t>
      </w:r>
      <w:r w:rsidR="001774C8">
        <w:t xml:space="preserve">redeveloped </w:t>
      </w:r>
      <w:r w:rsidR="00EF5A4E">
        <w:t>with the VPF funding</w:t>
      </w:r>
      <w:r w:rsidRPr="00F51DB7">
        <w:t xml:space="preserve"> be used </w:t>
      </w:r>
      <w:r w:rsidR="00BA0AB7">
        <w:t>to accommodate low income or disadvantaged Victorians</w:t>
      </w:r>
      <w:r w:rsidRPr="00F51DB7">
        <w:t xml:space="preserve">. </w:t>
      </w:r>
    </w:p>
    <w:p w14:paraId="383C7FE0" w14:textId="4ECF2598" w:rsidR="005A7CFF" w:rsidRPr="00FE2319" w:rsidRDefault="004B5053" w:rsidP="00363E57">
      <w:pPr>
        <w:pStyle w:val="Heading2"/>
      </w:pPr>
      <w:bookmarkStart w:id="46" w:name="_Toc523845054"/>
      <w:bookmarkStart w:id="47" w:name="_Toc467744714"/>
      <w:bookmarkStart w:id="48" w:name="_Toc467744771"/>
      <w:bookmarkStart w:id="49" w:name="_Toc523845055"/>
      <w:bookmarkEnd w:id="46"/>
      <w:bookmarkEnd w:id="47"/>
      <w:bookmarkEnd w:id="48"/>
      <w:r>
        <w:t xml:space="preserve">Contractual </w:t>
      </w:r>
      <w:r w:rsidR="00B2258A">
        <w:t>terms</w:t>
      </w:r>
      <w:bookmarkEnd w:id="49"/>
    </w:p>
    <w:p w14:paraId="649FB754" w14:textId="298C83C4" w:rsidR="001774C8" w:rsidRDefault="00C63497" w:rsidP="001774C8">
      <w:r>
        <w:t>Unless CAV agrees otherwise, the Grant R</w:t>
      </w:r>
      <w:r w:rsidR="001774C8">
        <w:t xml:space="preserve">ecipient must deliver the Development as proposed in the Grant Application. The Grantee must seek CAV’s </w:t>
      </w:r>
      <w:r>
        <w:t xml:space="preserve">prior </w:t>
      </w:r>
      <w:r w:rsidR="001774C8">
        <w:t>written approval</w:t>
      </w:r>
      <w:r>
        <w:t xml:space="preserve"> </w:t>
      </w:r>
      <w:r w:rsidR="001774C8">
        <w:t xml:space="preserve">for any significant change to </w:t>
      </w:r>
      <w:r>
        <w:t xml:space="preserve">Development, including </w:t>
      </w:r>
      <w:r w:rsidR="001774C8">
        <w:t xml:space="preserve">the manner </w:t>
      </w:r>
      <w:r>
        <w:t xml:space="preserve">of delivery and timing </w:t>
      </w:r>
      <w:r w:rsidR="001774C8">
        <w:t xml:space="preserve">of the Development.   </w:t>
      </w:r>
    </w:p>
    <w:p w14:paraId="56492B49" w14:textId="101BE99B" w:rsidR="006173A5" w:rsidRDefault="00920653" w:rsidP="006173A5">
      <w:r>
        <w:t>The</w:t>
      </w:r>
      <w:r w:rsidR="00FC381A">
        <w:t xml:space="preserve"> grant recipient will be required to enter a</w:t>
      </w:r>
      <w:r w:rsidR="0063589F">
        <w:t xml:space="preserve"> </w:t>
      </w:r>
      <w:r w:rsidR="00C17B71">
        <w:t>F</w:t>
      </w:r>
      <w:r w:rsidR="00B2258A">
        <w:t xml:space="preserve">unding </w:t>
      </w:r>
      <w:r w:rsidR="00C17B71">
        <w:t>A</w:t>
      </w:r>
      <w:r w:rsidR="00B2258A">
        <w:t>greement</w:t>
      </w:r>
      <w:r w:rsidR="00C17B71">
        <w:t xml:space="preserve"> </w:t>
      </w:r>
      <w:r w:rsidR="00FC381A">
        <w:t>with</w:t>
      </w:r>
      <w:r w:rsidR="00867DF9">
        <w:t xml:space="preserve"> CAV </w:t>
      </w:r>
      <w:r w:rsidR="00B2258A">
        <w:t>in the form of the Victorian Common Funding Agreement</w:t>
      </w:r>
      <w:r w:rsidR="00C9622B">
        <w:t xml:space="preserve"> (VCFA)</w:t>
      </w:r>
      <w:r w:rsidR="006173A5">
        <w:t xml:space="preserve">. The standard terms and conditions of the </w:t>
      </w:r>
      <w:r w:rsidR="00C9622B">
        <w:t>VCFA</w:t>
      </w:r>
      <w:r w:rsidR="006173A5">
        <w:t xml:space="preserve"> are not negotiable. A copy of these terms is available for download at the Victorian Common Funding Agre</w:t>
      </w:r>
      <w:r w:rsidR="00E1682F">
        <w:t>ement page on the DHHS website (</w:t>
      </w:r>
      <w:hyperlink r:id="rId19" w:history="1">
        <w:r w:rsidR="00E1682F" w:rsidRPr="00FB72C9">
          <w:rPr>
            <w:rStyle w:val="Hyperlink"/>
          </w:rPr>
          <w:t>https://providers.dhhs.vic.gov.au/victorian-common-funding-agreement</w:t>
        </w:r>
      </w:hyperlink>
      <w:r w:rsidR="00E1682F">
        <w:t>)</w:t>
      </w:r>
      <w:r w:rsidR="006173A5">
        <w:t>.</w:t>
      </w:r>
      <w:r w:rsidR="006173A5" w:rsidRPr="00C17B71">
        <w:t xml:space="preserve"> </w:t>
      </w:r>
    </w:p>
    <w:p w14:paraId="37086A60" w14:textId="1799E7C6" w:rsidR="00B2258A" w:rsidRDefault="006173A5">
      <w:r>
        <w:t>T</w:t>
      </w:r>
      <w:r w:rsidR="00C17B71">
        <w:t xml:space="preserve">he </w:t>
      </w:r>
      <w:r w:rsidR="00443238">
        <w:t xml:space="preserve">VCFA </w:t>
      </w:r>
      <w:r w:rsidR="00C17B71">
        <w:t xml:space="preserve">Schedule details </w:t>
      </w:r>
      <w:r w:rsidR="004B52C5">
        <w:t>are to</w:t>
      </w:r>
      <w:r w:rsidR="00C17B71">
        <w:t xml:space="preserve"> be negotiated</w:t>
      </w:r>
      <w:r>
        <w:t xml:space="preserve"> with reference to</w:t>
      </w:r>
      <w:r w:rsidR="003A7995">
        <w:t xml:space="preserve"> the </w:t>
      </w:r>
      <w:r w:rsidR="00B51FB0">
        <w:t xml:space="preserve">specific </w:t>
      </w:r>
      <w:r w:rsidR="003A7995">
        <w:t>needs of</w:t>
      </w:r>
      <w:r>
        <w:t xml:space="preserve"> the Development, including the payment milestones </w:t>
      </w:r>
      <w:r w:rsidR="003A7995">
        <w:t>and timing</w:t>
      </w:r>
      <w:r>
        <w:t xml:space="preserve">. </w:t>
      </w:r>
      <w:r w:rsidR="003A7995">
        <w:t>(</w:t>
      </w:r>
      <w:r>
        <w:t xml:space="preserve">Subject to </w:t>
      </w:r>
      <w:r w:rsidR="004B52C5">
        <w:t xml:space="preserve">CAV’s </w:t>
      </w:r>
      <w:r>
        <w:t xml:space="preserve">agreement, an initial advance of up to 40% of the grant value </w:t>
      </w:r>
      <w:r w:rsidR="003B5C24">
        <w:t>can be</w:t>
      </w:r>
      <w:r>
        <w:t xml:space="preserve"> made upon exe</w:t>
      </w:r>
      <w:r w:rsidR="004B52C5">
        <w:t>cution of the Funding Agreement, with t</w:t>
      </w:r>
      <w:r>
        <w:t xml:space="preserve">he balance of funding paid upon achievement of </w:t>
      </w:r>
      <w:r w:rsidR="00920653">
        <w:t xml:space="preserve">agreed </w:t>
      </w:r>
      <w:r>
        <w:t xml:space="preserve">construction milestones and </w:t>
      </w:r>
      <w:r w:rsidR="00BD7D76">
        <w:t xml:space="preserve">CAV’s acceptance of progress and </w:t>
      </w:r>
      <w:r>
        <w:t>acquittal reports.</w:t>
      </w:r>
      <w:r w:rsidR="003A7995">
        <w:t>)</w:t>
      </w:r>
      <w:r w:rsidR="004E4144">
        <w:t xml:space="preserve"> The Applicant’s grant application will be incorporated in the terms of the funding agreement. </w:t>
      </w:r>
    </w:p>
    <w:p w14:paraId="30506BB6" w14:textId="77777777" w:rsidR="004E4144" w:rsidRDefault="00A95304" w:rsidP="00BA0AB7">
      <w:r>
        <w:t>The grant recipient will be required to report on the actual costs of the Development compared to budget and supply information to evidence project expenditure to CAV’s satisfaction, including</w:t>
      </w:r>
      <w:r w:rsidR="00E30BCF">
        <w:t xml:space="preserve"> </w:t>
      </w:r>
      <w:r w:rsidR="00AC5711">
        <w:t xml:space="preserve">if requested </w:t>
      </w:r>
      <w:r>
        <w:t xml:space="preserve">an audited financial statement of project expenditure. </w:t>
      </w:r>
    </w:p>
    <w:p w14:paraId="2C1FD9A6" w14:textId="18410002" w:rsidR="004E3C83" w:rsidRDefault="00A95304" w:rsidP="00BA0AB7">
      <w:r>
        <w:t xml:space="preserve">In the event the Development is completed for less than the approved project budget, CAV will proportionally reduce the VPF contribution to maintain the VPF’s agreed share towards the Development. </w:t>
      </w:r>
    </w:p>
    <w:p w14:paraId="08FEDDD8" w14:textId="77777777" w:rsidR="00A95304" w:rsidRDefault="00452C52" w:rsidP="00A95304">
      <w:pPr>
        <w:rPr>
          <w:rStyle w:val="Hyperlink"/>
        </w:rPr>
      </w:pPr>
      <w:r>
        <w:t xml:space="preserve">If the value of any grant awarded exceeds a </w:t>
      </w:r>
      <w:r w:rsidR="002A296B">
        <w:t xml:space="preserve">specific </w:t>
      </w:r>
      <w:r>
        <w:t xml:space="preserve">value ($1 million for projects in regional areas, </w:t>
      </w:r>
      <w:r w:rsidR="00720A32">
        <w:t>and $3 million for projects in m</w:t>
      </w:r>
      <w:r>
        <w:t>etropolitan areas)</w:t>
      </w:r>
      <w:r w:rsidRPr="00452C52">
        <w:t xml:space="preserve">, the Respondent </w:t>
      </w:r>
      <w:r w:rsidR="00720A32">
        <w:t>will</w:t>
      </w:r>
      <w:r w:rsidRPr="00452C52">
        <w:t xml:space="preserve"> be required to </w:t>
      </w:r>
      <w:r w:rsidR="002A296B">
        <w:t>meet</w:t>
      </w:r>
      <w:r w:rsidRPr="00452C52">
        <w:t xml:space="preserve"> V</w:t>
      </w:r>
      <w:r>
        <w:t xml:space="preserve">ictorian </w:t>
      </w:r>
      <w:r w:rsidRPr="00452C52">
        <w:t>I</w:t>
      </w:r>
      <w:r>
        <w:t xml:space="preserve">ndustry </w:t>
      </w:r>
      <w:r w:rsidRPr="00452C52">
        <w:t>P</w:t>
      </w:r>
      <w:r>
        <w:t xml:space="preserve">articipation </w:t>
      </w:r>
      <w:r w:rsidR="002A296B">
        <w:t>Policy</w:t>
      </w:r>
      <w:r>
        <w:t xml:space="preserve"> (VIPP)</w:t>
      </w:r>
      <w:r w:rsidR="002A296B">
        <w:t xml:space="preserve"> requirements</w:t>
      </w:r>
      <w:r w:rsidRPr="00452C52">
        <w:t xml:space="preserve">. </w:t>
      </w:r>
      <w:r w:rsidR="0062183A">
        <w:t xml:space="preserve">For more information see </w:t>
      </w:r>
      <w:hyperlink r:id="rId20" w:history="1">
        <w:r w:rsidR="0062183A" w:rsidRPr="00FB72C9">
          <w:rPr>
            <w:rStyle w:val="Hyperlink"/>
          </w:rPr>
          <w:t>https://economicdevelopment.vic.gov.au/victorian-industry-participation-policy</w:t>
        </w:r>
      </w:hyperlink>
    </w:p>
    <w:p w14:paraId="0D2AA37C" w14:textId="4BE7589E" w:rsidR="00A95304" w:rsidRDefault="00A95304" w:rsidP="00A95304">
      <w:r>
        <w:t xml:space="preserve">The </w:t>
      </w:r>
      <w:r w:rsidR="00C63497">
        <w:t>G</w:t>
      </w:r>
      <w:r>
        <w:t xml:space="preserve">rant </w:t>
      </w:r>
      <w:r w:rsidR="00C63497">
        <w:t>R</w:t>
      </w:r>
      <w:r>
        <w:t>ecipient will be required to acknowledge any financial and other support provided by the Victorian Government. CAV require</w:t>
      </w:r>
      <w:r w:rsidR="006D3074">
        <w:t>s</w:t>
      </w:r>
      <w:r>
        <w:t xml:space="preserve"> the right to publicise and report on awarding the funding to the grant recipient.</w:t>
      </w:r>
    </w:p>
    <w:p w14:paraId="6EEBDE9C" w14:textId="17AB834E" w:rsidR="005A7CFF" w:rsidRPr="00FE2319" w:rsidRDefault="005A7CFF" w:rsidP="00363E57">
      <w:pPr>
        <w:pStyle w:val="Heading2"/>
      </w:pPr>
      <w:bookmarkStart w:id="50" w:name="_Toc523845056"/>
      <w:r w:rsidRPr="00FE2319">
        <w:t xml:space="preserve">Regulatory </w:t>
      </w:r>
      <w:r w:rsidR="00AC5711">
        <w:t xml:space="preserve">and environmental design </w:t>
      </w:r>
      <w:r w:rsidRPr="00FE2319">
        <w:t>requirements</w:t>
      </w:r>
      <w:bookmarkEnd w:id="50"/>
      <w:r w:rsidRPr="00FE2319">
        <w:t xml:space="preserve"> </w:t>
      </w:r>
    </w:p>
    <w:p w14:paraId="69B28C2B" w14:textId="17C184A8" w:rsidR="009A0993" w:rsidRDefault="00006AA5" w:rsidP="00E0077B">
      <w:r>
        <w:t>The Respondent</w:t>
      </w:r>
      <w:r w:rsidR="005A7CFF" w:rsidRPr="005A7CFF">
        <w:t xml:space="preserve"> will be required to</w:t>
      </w:r>
      <w:r w:rsidR="00041D98">
        <w:t>:</w:t>
      </w:r>
    </w:p>
    <w:p w14:paraId="0D55024E" w14:textId="77777777" w:rsidR="006C660A" w:rsidRDefault="006C660A" w:rsidP="006C660A">
      <w:pPr>
        <w:pStyle w:val="ListParagraph"/>
        <w:numPr>
          <w:ilvl w:val="0"/>
          <w:numId w:val="8"/>
        </w:numPr>
      </w:pPr>
      <w:r>
        <w:lastRenderedPageBreak/>
        <w:t>comply with the Building Code of Australia, all relevant Australian Standards, and all occupational health and safety laws and regulations</w:t>
      </w:r>
    </w:p>
    <w:p w14:paraId="5C65162B" w14:textId="195D93EF" w:rsidR="006C660A" w:rsidRDefault="005A7CFF" w:rsidP="006C660A">
      <w:pPr>
        <w:pStyle w:val="ListParagraph"/>
        <w:numPr>
          <w:ilvl w:val="0"/>
          <w:numId w:val="8"/>
        </w:numPr>
      </w:pPr>
      <w:r w:rsidRPr="005A7CFF">
        <w:t xml:space="preserve">hold all </w:t>
      </w:r>
      <w:r>
        <w:t xml:space="preserve">relevant </w:t>
      </w:r>
      <w:r w:rsidR="00006AA5">
        <w:t>licences and</w:t>
      </w:r>
      <w:r>
        <w:t xml:space="preserve"> registrations </w:t>
      </w:r>
      <w:r w:rsidR="00006AA5">
        <w:t xml:space="preserve">required to lawfully </w:t>
      </w:r>
      <w:r>
        <w:t>deliver the Development</w:t>
      </w:r>
    </w:p>
    <w:p w14:paraId="49892073" w14:textId="34C336C3" w:rsidR="00041D98" w:rsidRDefault="006C660A">
      <w:pPr>
        <w:pStyle w:val="ListParagraph"/>
        <w:numPr>
          <w:ilvl w:val="0"/>
          <w:numId w:val="8"/>
        </w:numPr>
      </w:pPr>
      <w:r>
        <w:t xml:space="preserve">meet the </w:t>
      </w:r>
      <w:r w:rsidR="001774C8">
        <w:t>mandatory</w:t>
      </w:r>
      <w:r>
        <w:t xml:space="preserve"> requirements for environmental sustainability housing set out in </w:t>
      </w:r>
      <w:r w:rsidR="00D7560C">
        <w:t xml:space="preserve">Section </w:t>
      </w:r>
      <w:r>
        <w:t>1.2.5.</w:t>
      </w:r>
      <w:r w:rsidR="006D3074">
        <w:t xml:space="preserve"> </w:t>
      </w:r>
    </w:p>
    <w:p w14:paraId="59F08C9E" w14:textId="3600E861" w:rsidR="006C660A" w:rsidRDefault="00847D1A">
      <w:pPr>
        <w:ind w:left="60"/>
      </w:pPr>
      <w:r>
        <w:t>If a RHA, t</w:t>
      </w:r>
      <w:r w:rsidR="00041D98">
        <w:t>he Respondent will be required to</w:t>
      </w:r>
      <w:r w:rsidR="006C660A">
        <w:t>:</w:t>
      </w:r>
    </w:p>
    <w:p w14:paraId="5DF4B6EE" w14:textId="5BDF9FB0" w:rsidR="006C660A" w:rsidRPr="002F6646" w:rsidRDefault="006C660A" w:rsidP="006C660A">
      <w:pPr>
        <w:pStyle w:val="ListParagraph"/>
        <w:numPr>
          <w:ilvl w:val="0"/>
          <w:numId w:val="8"/>
        </w:numPr>
      </w:pPr>
      <w:r w:rsidRPr="002F6646">
        <w:t xml:space="preserve">comply with performance standards and other legislative requirements set out in Part VIII of the </w:t>
      </w:r>
      <w:r w:rsidRPr="0071074E">
        <w:rPr>
          <w:i/>
        </w:rPr>
        <w:t>Housing Act 1983</w:t>
      </w:r>
      <w:r w:rsidRPr="002F6646">
        <w:t xml:space="preserve"> </w:t>
      </w:r>
    </w:p>
    <w:p w14:paraId="7D1E65FE" w14:textId="6E1C9798" w:rsidR="00A24489" w:rsidRDefault="00041D98" w:rsidP="00DE56C3">
      <w:pPr>
        <w:pStyle w:val="ListParagraph"/>
        <w:numPr>
          <w:ilvl w:val="0"/>
          <w:numId w:val="8"/>
        </w:numPr>
      </w:pPr>
      <w:r>
        <w:t xml:space="preserve">provide CAV with a copy of its last Housing Registrar Annual </w:t>
      </w:r>
      <w:r w:rsidR="00180E6E">
        <w:t>Report</w:t>
      </w:r>
      <w:r w:rsidR="0062183A">
        <w:t xml:space="preserve"> to evidence compliance with regulatory requirements</w:t>
      </w:r>
      <w:r w:rsidR="003C450F">
        <w:t xml:space="preserve"> of the Office of </w:t>
      </w:r>
      <w:r w:rsidR="005705AF">
        <w:t xml:space="preserve">the </w:t>
      </w:r>
      <w:r w:rsidR="003C450F">
        <w:t>Housing Registrar</w:t>
      </w:r>
      <w:r w:rsidR="0062183A">
        <w:t>.</w:t>
      </w:r>
    </w:p>
    <w:p w14:paraId="3821838B" w14:textId="77777777" w:rsidR="00812BAE" w:rsidRPr="00FE2319" w:rsidRDefault="005A7CFF" w:rsidP="00363E57">
      <w:pPr>
        <w:pStyle w:val="Heading2"/>
      </w:pPr>
      <w:bookmarkStart w:id="51" w:name="_Toc523845057"/>
      <w:bookmarkStart w:id="52" w:name="_Toc523845058"/>
      <w:bookmarkEnd w:id="51"/>
      <w:r w:rsidRPr="00FE2319">
        <w:t>Asset ownership</w:t>
      </w:r>
      <w:bookmarkEnd w:id="52"/>
    </w:p>
    <w:p w14:paraId="08976819" w14:textId="2E569980" w:rsidR="00C044E9" w:rsidRDefault="0052285A">
      <w:r>
        <w:t xml:space="preserve">For </w:t>
      </w:r>
      <w:r w:rsidR="00C044E9">
        <w:t xml:space="preserve">all </w:t>
      </w:r>
      <w:r w:rsidR="00692528">
        <w:t>proposals</w:t>
      </w:r>
      <w:r w:rsidR="00C044E9">
        <w:t>, t</w:t>
      </w:r>
      <w:r w:rsidR="00745D0B">
        <w:t>he</w:t>
      </w:r>
      <w:r w:rsidR="00710301">
        <w:t xml:space="preserve"> Land </w:t>
      </w:r>
      <w:r w:rsidR="00745D0B">
        <w:t>must</w:t>
      </w:r>
      <w:r w:rsidR="00B2258A">
        <w:t xml:space="preserve"> be</w:t>
      </w:r>
      <w:r w:rsidR="00C044E9">
        <w:t xml:space="preserve"> </w:t>
      </w:r>
      <w:r w:rsidR="00B2258A">
        <w:t xml:space="preserve">owned by </w:t>
      </w:r>
      <w:r w:rsidR="00C044E9">
        <w:t xml:space="preserve">(or transferred to) either </w:t>
      </w:r>
      <w:r w:rsidR="00B2258A">
        <w:t xml:space="preserve">the </w:t>
      </w:r>
      <w:r w:rsidR="00C044E9">
        <w:t>Respondent</w:t>
      </w:r>
      <w:r w:rsidR="002F2889">
        <w:t xml:space="preserve"> </w:t>
      </w:r>
      <w:r w:rsidR="00745D0B">
        <w:t>or the State</w:t>
      </w:r>
      <w:r w:rsidR="002F2889">
        <w:t xml:space="preserve"> (via the </w:t>
      </w:r>
      <w:proofErr w:type="spellStart"/>
      <w:r w:rsidR="006D3074">
        <w:t>DoH</w:t>
      </w:r>
      <w:proofErr w:type="spellEnd"/>
      <w:r w:rsidR="006D3074">
        <w:t xml:space="preserve"> </w:t>
      </w:r>
      <w:r w:rsidR="002F2889">
        <w:t xml:space="preserve">or </w:t>
      </w:r>
      <w:r w:rsidR="006D3074">
        <w:t xml:space="preserve">other </w:t>
      </w:r>
      <w:r w:rsidR="002F2889">
        <w:t>Government department)</w:t>
      </w:r>
      <w:r w:rsidR="00215862">
        <w:t xml:space="preserve">. </w:t>
      </w:r>
    </w:p>
    <w:p w14:paraId="03294628" w14:textId="5C2F7C47" w:rsidR="002F3ABF" w:rsidRDefault="00C044E9" w:rsidP="002F3ABF">
      <w:r>
        <w:t>Any Respondent</w:t>
      </w:r>
      <w:r w:rsidR="002F2889">
        <w:t xml:space="preserve"> </w:t>
      </w:r>
      <w:r>
        <w:t xml:space="preserve">proposing a Development involving </w:t>
      </w:r>
      <w:r w:rsidR="00692528">
        <w:t>Land</w:t>
      </w:r>
      <w:r w:rsidR="00710301">
        <w:t xml:space="preserve"> owned by the </w:t>
      </w:r>
      <w:r w:rsidR="006D3074">
        <w:t xml:space="preserve">State </w:t>
      </w:r>
      <w:r>
        <w:t>must</w:t>
      </w:r>
      <w:r w:rsidR="00C07599">
        <w:t xml:space="preserve"> produce evidence of this support to CAV’s satisfaction</w:t>
      </w:r>
      <w:r w:rsidR="00A34B9D">
        <w:t xml:space="preserve"> (e.g. a letter from </w:t>
      </w:r>
      <w:r w:rsidR="002F3ABF">
        <w:t xml:space="preserve">the </w:t>
      </w:r>
      <w:proofErr w:type="spellStart"/>
      <w:r w:rsidR="00A34B9D">
        <w:t>D</w:t>
      </w:r>
      <w:r w:rsidR="002F3ABF">
        <w:t>oH</w:t>
      </w:r>
      <w:proofErr w:type="spellEnd"/>
      <w:r w:rsidR="00A34B9D">
        <w:t xml:space="preserve"> or relevant Government department confirming the State’s willingness to use the Land for the proposed purpose).</w:t>
      </w:r>
      <w:r w:rsidR="002F3ABF" w:rsidRPr="002F3ABF">
        <w:t xml:space="preserve"> </w:t>
      </w:r>
    </w:p>
    <w:p w14:paraId="761F4756" w14:textId="1825F4B3" w:rsidR="002F3ABF" w:rsidRDefault="002F3ABF" w:rsidP="002F3ABF">
      <w:r>
        <w:t>If the Land is or will be owned by a RHA, t</w:t>
      </w:r>
      <w:r w:rsidRPr="00F51DB7">
        <w:t xml:space="preserve">he interest of the </w:t>
      </w:r>
      <w:proofErr w:type="spellStart"/>
      <w:r>
        <w:t>DoH</w:t>
      </w:r>
      <w:proofErr w:type="spellEnd"/>
      <w:r w:rsidRPr="00F51DB7">
        <w:t xml:space="preserve"> </w:t>
      </w:r>
      <w:r>
        <w:t>must b</w:t>
      </w:r>
      <w:r w:rsidRPr="00F51DB7">
        <w:t>e</w:t>
      </w:r>
      <w:r>
        <w:t xml:space="preserve"> endorsed</w:t>
      </w:r>
      <w:r w:rsidRPr="00F51DB7">
        <w:t xml:space="preserve"> over the title</w:t>
      </w:r>
      <w:r>
        <w:t xml:space="preserve"> to the Land</w:t>
      </w:r>
      <w:r w:rsidRPr="00F51DB7">
        <w:t xml:space="preserve">. CAV may make one or more grant payments via the </w:t>
      </w:r>
      <w:proofErr w:type="spellStart"/>
      <w:r>
        <w:t>DoH</w:t>
      </w:r>
      <w:proofErr w:type="spellEnd"/>
      <w:r>
        <w:t xml:space="preserve"> </w:t>
      </w:r>
      <w:r w:rsidRPr="00F51DB7">
        <w:t xml:space="preserve">to facilitate the </w:t>
      </w:r>
      <w:r>
        <w:t>endorsement</w:t>
      </w:r>
      <w:r w:rsidRPr="00F51DB7">
        <w:t xml:space="preserve"> </w:t>
      </w:r>
      <w:r>
        <w:t>process</w:t>
      </w:r>
      <w:r w:rsidRPr="00F51DB7">
        <w:t>.</w:t>
      </w:r>
    </w:p>
    <w:p w14:paraId="159925C0" w14:textId="47B4975B" w:rsidR="002F2889" w:rsidRDefault="002F2889"/>
    <w:p w14:paraId="4BBA52B4" w14:textId="77777777" w:rsidR="00812BAE" w:rsidRPr="00FE2319" w:rsidRDefault="004B5053" w:rsidP="00363E57">
      <w:pPr>
        <w:pStyle w:val="Heading2"/>
      </w:pPr>
      <w:bookmarkStart w:id="53" w:name="_Toc523845059"/>
      <w:r>
        <w:t>Delivery t</w:t>
      </w:r>
      <w:r w:rsidR="00812BAE" w:rsidRPr="00FE2319">
        <w:t>imeframe</w:t>
      </w:r>
      <w:bookmarkEnd w:id="53"/>
    </w:p>
    <w:p w14:paraId="42A8F413" w14:textId="5376859C" w:rsidR="00166842" w:rsidRDefault="00A24489" w:rsidP="00812BAE">
      <w:r>
        <w:t xml:space="preserve">Unless CAV agrees otherwise, </w:t>
      </w:r>
      <w:r w:rsidR="00F63A04">
        <w:t>D</w:t>
      </w:r>
      <w:r w:rsidR="00812BAE">
        <w:t>evelopment</w:t>
      </w:r>
      <w:r w:rsidR="00720A32">
        <w:t>s</w:t>
      </w:r>
      <w:r w:rsidR="00812BAE">
        <w:t xml:space="preserve"> </w:t>
      </w:r>
      <w:r w:rsidR="00720A32">
        <w:t>must</w:t>
      </w:r>
      <w:r w:rsidR="00006AA5">
        <w:t xml:space="preserve"> be completed by no later than June </w:t>
      </w:r>
      <w:r w:rsidR="00DB7454">
        <w:t>202</w:t>
      </w:r>
      <w:r>
        <w:t>1</w:t>
      </w:r>
      <w:r w:rsidR="005A7CFF">
        <w:t xml:space="preserve">. </w:t>
      </w:r>
      <w:r w:rsidR="00AD62FF">
        <w:t>All claims for payment</w:t>
      </w:r>
      <w:r w:rsidR="007846BF">
        <w:t>s</w:t>
      </w:r>
      <w:r w:rsidR="00AD62FF">
        <w:t xml:space="preserve"> should be made </w:t>
      </w:r>
      <w:r w:rsidR="00766AF9">
        <w:t>within</w:t>
      </w:r>
      <w:r w:rsidR="00AD62FF">
        <w:t xml:space="preserve"> this period</w:t>
      </w:r>
      <w:r w:rsidR="00006AA5">
        <w:t xml:space="preserve"> unless CAV’s prior written approval is obtained</w:t>
      </w:r>
      <w:r w:rsidR="00AD62FF">
        <w:t>.</w:t>
      </w:r>
      <w:r w:rsidR="00006AA5">
        <w:t xml:space="preserve"> </w:t>
      </w:r>
    </w:p>
    <w:p w14:paraId="3F3543E3" w14:textId="67310AD8" w:rsidR="00812BAE" w:rsidRPr="00FE2319" w:rsidRDefault="00920653" w:rsidP="00363E57">
      <w:pPr>
        <w:pStyle w:val="Heading2"/>
      </w:pPr>
      <w:bookmarkStart w:id="54" w:name="_Toc467744814"/>
      <w:bookmarkStart w:id="55" w:name="_Toc467744819"/>
      <w:bookmarkStart w:id="56" w:name="_Toc467744820"/>
      <w:bookmarkStart w:id="57" w:name="_Toc467744825"/>
      <w:bookmarkStart w:id="58" w:name="_Toc467744826"/>
      <w:bookmarkStart w:id="59" w:name="_Toc467744829"/>
      <w:bookmarkStart w:id="60" w:name="_Toc467744832"/>
      <w:bookmarkStart w:id="61" w:name="_Toc467744834"/>
      <w:bookmarkStart w:id="62" w:name="_Toc467744835"/>
      <w:bookmarkStart w:id="63" w:name="_Toc467744836"/>
      <w:bookmarkStart w:id="64" w:name="_Toc467744837"/>
      <w:bookmarkStart w:id="65" w:name="_Toc467744840"/>
      <w:bookmarkStart w:id="66" w:name="_Toc467744842"/>
      <w:bookmarkStart w:id="67" w:name="_Toc467744845"/>
      <w:bookmarkStart w:id="68" w:name="_Toc467744846"/>
      <w:bookmarkStart w:id="69" w:name="_Toc467744847"/>
      <w:bookmarkStart w:id="70" w:name="_Toc467744849"/>
      <w:bookmarkStart w:id="71" w:name="_Toc467744850"/>
      <w:bookmarkStart w:id="72" w:name="_Toc467744851"/>
      <w:bookmarkStart w:id="73" w:name="_Toc467744853"/>
      <w:bookmarkStart w:id="74" w:name="_Toc467744854"/>
      <w:bookmarkStart w:id="75" w:name="_Toc467744855"/>
      <w:bookmarkStart w:id="76" w:name="_Toc467744856"/>
      <w:bookmarkStart w:id="77" w:name="_Toc467744858"/>
      <w:bookmarkStart w:id="78" w:name="_Toc467744859"/>
      <w:bookmarkStart w:id="79" w:name="_Toc467744861"/>
      <w:bookmarkStart w:id="80" w:name="_Toc467744862"/>
      <w:bookmarkStart w:id="81" w:name="_Toc467744864"/>
      <w:bookmarkStart w:id="82" w:name="_Toc467744865"/>
      <w:bookmarkStart w:id="83" w:name="_Toc467744867"/>
      <w:bookmarkStart w:id="84" w:name="_Toc467744868"/>
      <w:bookmarkStart w:id="85" w:name="_Toc467744869"/>
      <w:bookmarkStart w:id="86" w:name="_Toc467744871"/>
      <w:bookmarkStart w:id="87" w:name="_Toc467744872"/>
      <w:bookmarkStart w:id="88" w:name="_Toc467744874"/>
      <w:bookmarkStart w:id="89" w:name="_Toc467744876"/>
      <w:bookmarkStart w:id="90" w:name="_Toc467744877"/>
      <w:bookmarkStart w:id="91" w:name="_Toc451229784"/>
      <w:bookmarkStart w:id="92" w:name="_Toc451230326"/>
      <w:bookmarkStart w:id="93" w:name="_Toc451230354"/>
      <w:bookmarkStart w:id="94" w:name="_Toc451230398"/>
      <w:bookmarkStart w:id="95" w:name="_Toc451230514"/>
      <w:bookmarkStart w:id="96" w:name="_Toc451230568"/>
      <w:bookmarkStart w:id="97" w:name="_Toc451230718"/>
      <w:bookmarkStart w:id="98" w:name="_Toc451236449"/>
      <w:bookmarkStart w:id="99" w:name="_Toc451229785"/>
      <w:bookmarkStart w:id="100" w:name="_Toc451230327"/>
      <w:bookmarkStart w:id="101" w:name="_Toc451230355"/>
      <w:bookmarkStart w:id="102" w:name="_Toc451230399"/>
      <w:bookmarkStart w:id="103" w:name="_Toc451230515"/>
      <w:bookmarkStart w:id="104" w:name="_Toc451230569"/>
      <w:bookmarkStart w:id="105" w:name="_Toc451230719"/>
      <w:bookmarkStart w:id="106" w:name="_Toc451236450"/>
      <w:bookmarkStart w:id="107" w:name="_Toc451229790"/>
      <w:bookmarkStart w:id="108" w:name="_Toc451230332"/>
      <w:bookmarkStart w:id="109" w:name="_Toc451230360"/>
      <w:bookmarkStart w:id="110" w:name="_Toc451230404"/>
      <w:bookmarkStart w:id="111" w:name="_Toc451230520"/>
      <w:bookmarkStart w:id="112" w:name="_Toc451230574"/>
      <w:bookmarkStart w:id="113" w:name="_Toc451230724"/>
      <w:bookmarkStart w:id="114" w:name="_Toc451236455"/>
      <w:bookmarkStart w:id="115" w:name="_Toc467744878"/>
      <w:bookmarkStart w:id="116" w:name="_Toc467744879"/>
      <w:bookmarkStart w:id="117" w:name="_Toc467744880"/>
      <w:bookmarkStart w:id="118" w:name="_Toc467744881"/>
      <w:bookmarkStart w:id="119" w:name="_Toc467744882"/>
      <w:bookmarkStart w:id="120" w:name="_Toc467744883"/>
      <w:bookmarkStart w:id="121" w:name="_Toc467744884"/>
      <w:bookmarkStart w:id="122" w:name="_Toc467744887"/>
      <w:bookmarkStart w:id="123" w:name="_Toc467744888"/>
      <w:bookmarkStart w:id="124" w:name="_Toc467744889"/>
      <w:bookmarkStart w:id="125" w:name="_Toc467744904"/>
      <w:bookmarkStart w:id="126" w:name="_Toc467744907"/>
      <w:bookmarkStart w:id="127" w:name="_Toc467744908"/>
      <w:bookmarkStart w:id="128" w:name="_Toc467744911"/>
      <w:bookmarkStart w:id="129" w:name="_Toc467744912"/>
      <w:bookmarkStart w:id="130" w:name="_Toc467744913"/>
      <w:bookmarkStart w:id="131" w:name="_Toc467744918"/>
      <w:bookmarkStart w:id="132" w:name="_Toc467744921"/>
      <w:bookmarkStart w:id="133" w:name="_Toc467744924"/>
      <w:bookmarkStart w:id="134" w:name="_Toc467744926"/>
      <w:bookmarkStart w:id="135" w:name="_Toc467744927"/>
      <w:bookmarkStart w:id="136" w:name="_Toc467744939"/>
      <w:bookmarkStart w:id="137" w:name="_Toc467744940"/>
      <w:bookmarkStart w:id="138" w:name="_Toc467744942"/>
      <w:bookmarkStart w:id="139" w:name="_Toc467744943"/>
      <w:bookmarkStart w:id="140" w:name="_Toc467744946"/>
      <w:bookmarkStart w:id="141" w:name="_Toc467744950"/>
      <w:bookmarkStart w:id="142" w:name="_Toc467744955"/>
      <w:bookmarkStart w:id="143" w:name="_Toc467744958"/>
      <w:bookmarkStart w:id="144" w:name="_Toc467744959"/>
      <w:bookmarkStart w:id="145" w:name="_Toc467744962"/>
      <w:bookmarkStart w:id="146" w:name="_Toc467744963"/>
      <w:bookmarkStart w:id="147" w:name="_Toc467744964"/>
      <w:bookmarkStart w:id="148" w:name="_Toc467744965"/>
      <w:bookmarkStart w:id="149" w:name="_Toc467744966"/>
      <w:bookmarkStart w:id="150" w:name="_Toc467744967"/>
      <w:bookmarkStart w:id="151" w:name="_Toc467744972"/>
      <w:bookmarkStart w:id="152" w:name="_Toc467744974"/>
      <w:bookmarkStart w:id="153" w:name="_Toc467744975"/>
      <w:bookmarkStart w:id="154" w:name="_Toc467744976"/>
      <w:bookmarkStart w:id="155" w:name="_Toc467744977"/>
      <w:bookmarkStart w:id="156" w:name="_Toc467744982"/>
      <w:bookmarkStart w:id="157" w:name="_Toc467744983"/>
      <w:bookmarkStart w:id="158" w:name="_Toc467744991"/>
      <w:bookmarkStart w:id="159" w:name="_Toc467744992"/>
      <w:bookmarkStart w:id="160" w:name="_Toc467745003"/>
      <w:bookmarkStart w:id="161" w:name="_Toc467745005"/>
      <w:bookmarkStart w:id="162" w:name="_Toc467745006"/>
      <w:bookmarkStart w:id="163" w:name="_Toc467745009"/>
      <w:bookmarkStart w:id="164" w:name="_Toc467745012"/>
      <w:bookmarkStart w:id="165" w:name="_Toc467745015"/>
      <w:bookmarkStart w:id="166" w:name="_Toc467745017"/>
      <w:bookmarkStart w:id="167" w:name="_Toc467745018"/>
      <w:bookmarkStart w:id="168" w:name="_Toc467745020"/>
      <w:bookmarkStart w:id="169" w:name="_Toc467745021"/>
      <w:bookmarkStart w:id="170" w:name="_Toc52384506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A</w:t>
      </w:r>
      <w:r w:rsidR="004B5053">
        <w:t>sset management</w:t>
      </w:r>
      <w:r>
        <w:t xml:space="preserve"> and tenancy support</w:t>
      </w:r>
      <w:r w:rsidR="004B5053">
        <w:t xml:space="preserve"> s</w:t>
      </w:r>
      <w:r w:rsidR="00812BAE">
        <w:t>ervices</w:t>
      </w:r>
      <w:bookmarkEnd w:id="170"/>
    </w:p>
    <w:p w14:paraId="797A2C4F" w14:textId="04F09867" w:rsidR="00812BAE" w:rsidRDefault="00697C51" w:rsidP="00812BAE">
      <w:r>
        <w:t>The provision of funding for t</w:t>
      </w:r>
      <w:r w:rsidR="00812BAE" w:rsidRPr="00636786">
        <w:t>enant and asset management services</w:t>
      </w:r>
      <w:r w:rsidR="00C55E8C">
        <w:t xml:space="preserve">, including the cost of ongoing maintenance of the </w:t>
      </w:r>
      <w:r w:rsidR="002768BC">
        <w:t xml:space="preserve">Development </w:t>
      </w:r>
      <w:r w:rsidR="00C55E8C">
        <w:t xml:space="preserve">and </w:t>
      </w:r>
      <w:r>
        <w:t>any wrap-</w:t>
      </w:r>
      <w:r w:rsidR="00C55E8C">
        <w:t xml:space="preserve">around support services required for the tenants </w:t>
      </w:r>
      <w:r w:rsidR="00812BAE" w:rsidRPr="00636786">
        <w:t xml:space="preserve">are not within the </w:t>
      </w:r>
      <w:r w:rsidR="005C1129">
        <w:t>Program’s</w:t>
      </w:r>
      <w:r w:rsidR="00812BAE" w:rsidRPr="00636786">
        <w:t xml:space="preserve"> scope</w:t>
      </w:r>
      <w:r w:rsidR="0006568A">
        <w:t xml:space="preserve"> and no further funding </w:t>
      </w:r>
      <w:r w:rsidR="00FC53F3">
        <w:t xml:space="preserve">can be expected </w:t>
      </w:r>
      <w:r w:rsidR="00920653">
        <w:t xml:space="preserve">or assumed </w:t>
      </w:r>
      <w:r w:rsidR="00FC53F3">
        <w:t>to</w:t>
      </w:r>
      <w:r w:rsidR="00460C19">
        <w:t xml:space="preserve"> be </w:t>
      </w:r>
      <w:r w:rsidR="0006568A">
        <w:t>available for these services</w:t>
      </w:r>
      <w:r w:rsidR="00920653">
        <w:t xml:space="preserve"> from CAV, </w:t>
      </w:r>
      <w:proofErr w:type="spellStart"/>
      <w:r w:rsidR="002768BC">
        <w:t>DoH</w:t>
      </w:r>
      <w:proofErr w:type="spellEnd"/>
      <w:r w:rsidR="002768BC">
        <w:t xml:space="preserve">, </w:t>
      </w:r>
      <w:r w:rsidR="00920653">
        <w:t>DHHS or any other Government department or agency</w:t>
      </w:r>
      <w:r w:rsidR="0006568A">
        <w:t>. Responsibility for securing</w:t>
      </w:r>
      <w:r w:rsidR="00FC53F3">
        <w:t xml:space="preserve"> </w:t>
      </w:r>
      <w:r w:rsidR="0006568A">
        <w:t>funding</w:t>
      </w:r>
      <w:r w:rsidR="008347F0">
        <w:t xml:space="preserve"> for these</w:t>
      </w:r>
      <w:r w:rsidR="00B063FB">
        <w:t xml:space="preserve"> costs or</w:t>
      </w:r>
      <w:r w:rsidR="008347F0">
        <w:t xml:space="preserve"> services lies with the Respondent.</w:t>
      </w:r>
    </w:p>
    <w:p w14:paraId="5F02D286" w14:textId="7F0CC06C" w:rsidR="00761845" w:rsidRPr="00FE2319" w:rsidRDefault="00FD2B32" w:rsidP="00363E57">
      <w:pPr>
        <w:pStyle w:val="Heading2"/>
      </w:pPr>
      <w:bookmarkStart w:id="171" w:name="_Toc523845061"/>
      <w:bookmarkStart w:id="172" w:name="_Toc69878312"/>
      <w:bookmarkStart w:id="173" w:name="_Toc65388685"/>
      <w:r>
        <w:t xml:space="preserve">Other </w:t>
      </w:r>
      <w:r w:rsidR="00460C19">
        <w:t xml:space="preserve">responsibilities and </w:t>
      </w:r>
      <w:r>
        <w:t>r</w:t>
      </w:r>
      <w:r w:rsidR="00761845">
        <w:t>isk</w:t>
      </w:r>
      <w:r>
        <w:t>s</w:t>
      </w:r>
      <w:r w:rsidR="00460C19">
        <w:t xml:space="preserve"> </w:t>
      </w:r>
      <w:r w:rsidR="00A34A18">
        <w:t xml:space="preserve">to be </w:t>
      </w:r>
      <w:r w:rsidR="00460C19">
        <w:t>assumed by Respondent</w:t>
      </w:r>
      <w:bookmarkEnd w:id="171"/>
    </w:p>
    <w:p w14:paraId="3ABF5D89" w14:textId="0ABDF2ED" w:rsidR="00761845" w:rsidRDefault="00FD2B32" w:rsidP="00761845">
      <w:r>
        <w:t>The Table below</w:t>
      </w:r>
      <w:r w:rsidR="00984858">
        <w:t xml:space="preserve"> provides an</w:t>
      </w:r>
      <w:r w:rsidR="00342516">
        <w:t xml:space="preserve"> indicative</w:t>
      </w:r>
      <w:r>
        <w:t xml:space="preserve"> list</w:t>
      </w:r>
      <w:r w:rsidR="00460C19">
        <w:t xml:space="preserve"> </w:t>
      </w:r>
      <w:r w:rsidR="00342516">
        <w:t xml:space="preserve">of </w:t>
      </w:r>
      <w:r w:rsidR="00460C19">
        <w:t>areas of responsibility and</w:t>
      </w:r>
      <w:r>
        <w:t xml:space="preserve"> risk expected to be assumed by the Respondent</w:t>
      </w:r>
      <w:r w:rsidR="00761845" w:rsidRPr="00761845">
        <w:t>.</w:t>
      </w:r>
      <w:r w:rsidR="00A34A18">
        <w:t xml:space="preserve"> </w:t>
      </w:r>
      <w:r w:rsidR="00342516">
        <w:t>These include</w:t>
      </w:r>
      <w:r w:rsidR="001F4E5D">
        <w:t xml:space="preserve"> but </w:t>
      </w:r>
      <w:r w:rsidR="002768BC">
        <w:t xml:space="preserve">are </w:t>
      </w:r>
      <w:r w:rsidR="001F4E5D">
        <w:t>not limited to</w:t>
      </w:r>
      <w:r w:rsidR="00342516">
        <w:t>:</w:t>
      </w:r>
    </w:p>
    <w:p w14:paraId="5A7414E1" w14:textId="6B43405B" w:rsidR="00091EC3" w:rsidRDefault="00091EC3" w:rsidP="00091EC3">
      <w:pPr>
        <w:pStyle w:val="Caption"/>
        <w:keepNext/>
      </w:pPr>
      <w:r>
        <w:t xml:space="preserve">Table </w:t>
      </w:r>
      <w:r w:rsidR="00750966">
        <w:t>5</w:t>
      </w:r>
      <w:r>
        <w:t xml:space="preserve"> –</w:t>
      </w:r>
      <w:r w:rsidR="00FD2B32">
        <w:t>R</w:t>
      </w:r>
      <w:r>
        <w:t>isk</w:t>
      </w:r>
      <w:r w:rsidR="00FD2B32">
        <w:t xml:space="preserve"> to be</w:t>
      </w:r>
      <w:r>
        <w:t xml:space="preserve"> </w:t>
      </w:r>
      <w:r w:rsidR="00FD2B32">
        <w:t>assumed by Respondent</w:t>
      </w:r>
    </w:p>
    <w:tbl>
      <w:tblPr>
        <w:tblW w:w="4949" w:type="pct"/>
        <w:jc w:val="center"/>
        <w:tblBorders>
          <w:bottom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128"/>
        <w:gridCol w:w="6093"/>
      </w:tblGrid>
      <w:tr w:rsidR="00FD2B32" w:rsidRPr="003A0087" w14:paraId="78622C8E" w14:textId="77777777" w:rsidTr="00590B5E">
        <w:trPr>
          <w:trHeight w:val="363"/>
          <w:tblHeader/>
          <w:jc w:val="center"/>
        </w:trPr>
        <w:tc>
          <w:tcPr>
            <w:tcW w:w="1294" w:type="pct"/>
            <w:shd w:val="clear" w:color="auto" w:fill="D9D9D9" w:themeFill="background1" w:themeFillShade="D9"/>
            <w:vAlign w:val="bottom"/>
          </w:tcPr>
          <w:p w14:paraId="3251D9D9" w14:textId="58D2D26F" w:rsidR="00FD2B32" w:rsidRPr="002368F0" w:rsidRDefault="00FD2B32" w:rsidP="002368F0">
            <w:pPr>
              <w:rPr>
                <w:b/>
                <w:bCs/>
              </w:rPr>
            </w:pPr>
            <w:r w:rsidRPr="002368F0">
              <w:rPr>
                <w:b/>
                <w:bCs/>
              </w:rPr>
              <w:t>Risk</w:t>
            </w:r>
          </w:p>
        </w:tc>
        <w:tc>
          <w:tcPr>
            <w:tcW w:w="3706" w:type="pct"/>
            <w:shd w:val="clear" w:color="auto" w:fill="D9D9D9" w:themeFill="background1" w:themeFillShade="D9"/>
          </w:tcPr>
          <w:p w14:paraId="091F3912" w14:textId="77777777" w:rsidR="00FD2B32" w:rsidRPr="002368F0" w:rsidRDefault="00FD2B32" w:rsidP="002368F0">
            <w:pPr>
              <w:rPr>
                <w:b/>
                <w:bCs/>
              </w:rPr>
            </w:pPr>
            <w:r w:rsidRPr="002368F0">
              <w:rPr>
                <w:b/>
                <w:bCs/>
              </w:rPr>
              <w:t>Summary description</w:t>
            </w:r>
          </w:p>
        </w:tc>
      </w:tr>
      <w:tr w:rsidR="00FD2B32" w:rsidRPr="003A0087" w14:paraId="199D943C" w14:textId="77777777" w:rsidTr="00590B5E">
        <w:trPr>
          <w:trHeight w:val="230"/>
          <w:jc w:val="center"/>
        </w:trPr>
        <w:tc>
          <w:tcPr>
            <w:tcW w:w="1294" w:type="pct"/>
            <w:vAlign w:val="center"/>
          </w:tcPr>
          <w:p w14:paraId="3AC802A8" w14:textId="2E4C1899" w:rsidR="00FD2B32" w:rsidRPr="003A0087" w:rsidRDefault="00FD2B32" w:rsidP="002368F0">
            <w:r w:rsidRPr="003A0087">
              <w:t>Site conditions</w:t>
            </w:r>
          </w:p>
        </w:tc>
        <w:tc>
          <w:tcPr>
            <w:tcW w:w="3706" w:type="pct"/>
          </w:tcPr>
          <w:p w14:paraId="261AA7D9" w14:textId="6011CE36" w:rsidR="00FD2B32" w:rsidRPr="003A0087" w:rsidRDefault="00FD2B32" w:rsidP="002368F0">
            <w:r w:rsidRPr="003A0087">
              <w:t>Responsibility f</w:t>
            </w:r>
            <w:r>
              <w:t>or</w:t>
            </w:r>
            <w:r w:rsidRPr="003A0087">
              <w:t xml:space="preserve"> ensuring that the site is suitable for construction </w:t>
            </w:r>
            <w:r>
              <w:t xml:space="preserve">or redevelopment </w:t>
            </w:r>
            <w:r w:rsidRPr="003A0087">
              <w:t>of dwellings including any</w:t>
            </w:r>
            <w:r w:rsidR="009F03AD">
              <w:t xml:space="preserve"> demolition or</w:t>
            </w:r>
            <w:r w:rsidRPr="003A0087">
              <w:t xml:space="preserve"> enabling works</w:t>
            </w:r>
            <w:r>
              <w:t>.</w:t>
            </w:r>
            <w:r w:rsidRPr="003A0087">
              <w:t xml:space="preserve"> </w:t>
            </w:r>
          </w:p>
        </w:tc>
      </w:tr>
      <w:tr w:rsidR="00FD2B32" w:rsidRPr="003A0087" w14:paraId="3CED6859" w14:textId="77777777" w:rsidTr="00590B5E">
        <w:trPr>
          <w:trHeight w:val="230"/>
          <w:jc w:val="center"/>
        </w:trPr>
        <w:tc>
          <w:tcPr>
            <w:tcW w:w="1294" w:type="pct"/>
            <w:vAlign w:val="center"/>
          </w:tcPr>
          <w:p w14:paraId="4D4C8083" w14:textId="77777777" w:rsidR="00FD2B32" w:rsidRPr="003A0087" w:rsidRDefault="00FD2B32" w:rsidP="002368F0">
            <w:r w:rsidRPr="003A0087">
              <w:t>Planning and other approvals</w:t>
            </w:r>
          </w:p>
        </w:tc>
        <w:tc>
          <w:tcPr>
            <w:tcW w:w="3706" w:type="pct"/>
          </w:tcPr>
          <w:p w14:paraId="0AEAFCB5" w14:textId="77777777" w:rsidR="00FD2B32" w:rsidRPr="003A0087" w:rsidRDefault="00FD2B32" w:rsidP="002368F0">
            <w:r w:rsidRPr="003A0087">
              <w:t>Obtaining planning approval, modifying approvals, risk of delay or additional costs of planning approvals</w:t>
            </w:r>
            <w:r>
              <w:t>.</w:t>
            </w:r>
          </w:p>
        </w:tc>
      </w:tr>
      <w:tr w:rsidR="00FD2B32" w:rsidRPr="003A0087" w14:paraId="5D5B2821" w14:textId="77777777" w:rsidTr="00590B5E">
        <w:trPr>
          <w:trHeight w:val="230"/>
          <w:jc w:val="center"/>
        </w:trPr>
        <w:tc>
          <w:tcPr>
            <w:tcW w:w="1294" w:type="pct"/>
            <w:vAlign w:val="center"/>
          </w:tcPr>
          <w:p w14:paraId="7AC8E297" w14:textId="77777777" w:rsidR="00FD2B32" w:rsidRPr="003A0087" w:rsidRDefault="00FD2B32" w:rsidP="002368F0">
            <w:r>
              <w:lastRenderedPageBreak/>
              <w:t>C</w:t>
            </w:r>
            <w:r w:rsidRPr="003A0087">
              <w:t>ontamination</w:t>
            </w:r>
            <w:r>
              <w:t xml:space="preserve"> &amp; environment</w:t>
            </w:r>
          </w:p>
        </w:tc>
        <w:tc>
          <w:tcPr>
            <w:tcW w:w="3706" w:type="pct"/>
          </w:tcPr>
          <w:p w14:paraId="07A9A6E8" w14:textId="52D59AD9" w:rsidR="00FD2B32" w:rsidRPr="003A0087" w:rsidRDefault="00FD2B32" w:rsidP="002368F0">
            <w:r w:rsidRPr="003A0087">
              <w:t>Risk of unknown pre-existing contamination being discovered that causes delay or additional costs during the delivery phase</w:t>
            </w:r>
            <w:r>
              <w:t>.</w:t>
            </w:r>
          </w:p>
        </w:tc>
      </w:tr>
      <w:tr w:rsidR="00FD2B32" w:rsidRPr="003A0087" w14:paraId="4B56F316" w14:textId="77777777" w:rsidTr="00590B5E">
        <w:trPr>
          <w:trHeight w:val="230"/>
          <w:jc w:val="center"/>
        </w:trPr>
        <w:tc>
          <w:tcPr>
            <w:tcW w:w="1294" w:type="pct"/>
            <w:vAlign w:val="center"/>
          </w:tcPr>
          <w:p w14:paraId="0D1F6118" w14:textId="0662B81F" w:rsidR="00FD2B32" w:rsidRPr="003A0087" w:rsidRDefault="00FD2B32" w:rsidP="002368F0">
            <w:r w:rsidRPr="003A0087">
              <w:t xml:space="preserve">Stakeholder and </w:t>
            </w:r>
            <w:r w:rsidR="00DB7454">
              <w:t>c</w:t>
            </w:r>
            <w:r w:rsidRPr="003A0087">
              <w:t>ommunity</w:t>
            </w:r>
            <w:r w:rsidR="000D5B59">
              <w:t xml:space="preserve"> liaison</w:t>
            </w:r>
          </w:p>
        </w:tc>
        <w:tc>
          <w:tcPr>
            <w:tcW w:w="3706" w:type="pct"/>
          </w:tcPr>
          <w:p w14:paraId="07DC86CD" w14:textId="3E2437C1" w:rsidR="00FD2B32" w:rsidRPr="003A0087" w:rsidRDefault="00FD2B32" w:rsidP="002368F0">
            <w:r>
              <w:t>All community or stakeholder management activities, including (but not limited to</w:t>
            </w:r>
            <w:r w:rsidR="00720A32">
              <w:t>)</w:t>
            </w:r>
            <w:r>
              <w:t xml:space="preserve"> e</w:t>
            </w:r>
            <w:r w:rsidRPr="003A0087">
              <w:t>xceeding noise and/or vibration limits or other disruptions to the community at the site, causing delay to completion</w:t>
            </w:r>
            <w:r>
              <w:t>.</w:t>
            </w:r>
          </w:p>
        </w:tc>
      </w:tr>
      <w:tr w:rsidR="00FD2B32" w:rsidRPr="003A0087" w14:paraId="017AEBA8" w14:textId="77777777" w:rsidTr="00590B5E">
        <w:trPr>
          <w:trHeight w:val="230"/>
          <w:jc w:val="center"/>
        </w:trPr>
        <w:tc>
          <w:tcPr>
            <w:tcW w:w="1294" w:type="pct"/>
            <w:vAlign w:val="center"/>
          </w:tcPr>
          <w:p w14:paraId="55B5DCC4" w14:textId="77777777" w:rsidR="00FD2B32" w:rsidRPr="003A0087" w:rsidRDefault="00FD2B32" w:rsidP="002368F0">
            <w:r w:rsidRPr="003A0087">
              <w:t>Design</w:t>
            </w:r>
          </w:p>
        </w:tc>
        <w:tc>
          <w:tcPr>
            <w:tcW w:w="3706" w:type="pct"/>
          </w:tcPr>
          <w:p w14:paraId="3CE3365A" w14:textId="77777777" w:rsidR="00FD2B32" w:rsidRPr="003A0087" w:rsidRDefault="00FD2B32" w:rsidP="002368F0">
            <w:r w:rsidRPr="003A0087">
              <w:t xml:space="preserve">Delivery of design packages that meet the relevant regulatory requirements, quality standards, functional specifications and/or performance outcomes. </w:t>
            </w:r>
          </w:p>
        </w:tc>
      </w:tr>
      <w:tr w:rsidR="00FD2B32" w:rsidRPr="003A0087" w14:paraId="22F7D52C" w14:textId="77777777" w:rsidTr="00590B5E">
        <w:trPr>
          <w:trHeight w:val="230"/>
          <w:jc w:val="center"/>
        </w:trPr>
        <w:tc>
          <w:tcPr>
            <w:tcW w:w="1294" w:type="pct"/>
            <w:vAlign w:val="center"/>
          </w:tcPr>
          <w:p w14:paraId="63AF4FEA" w14:textId="77777777" w:rsidR="00FD2B32" w:rsidRPr="003A0087" w:rsidRDefault="00FD2B32" w:rsidP="002368F0">
            <w:r w:rsidRPr="003A0087">
              <w:t>Construction</w:t>
            </w:r>
          </w:p>
        </w:tc>
        <w:tc>
          <w:tcPr>
            <w:tcW w:w="3706" w:type="pct"/>
          </w:tcPr>
          <w:p w14:paraId="5799B393" w14:textId="77777777" w:rsidR="00FD2B32" w:rsidRPr="003A0087" w:rsidRDefault="00FD2B32" w:rsidP="002368F0">
            <w:r w:rsidRPr="003A0087">
              <w:t>Delivery of agreed works in accordance with law, accreditation and planning requirements by either self-performing or engaging sub-contractors.</w:t>
            </w:r>
          </w:p>
          <w:p w14:paraId="3E8B0577" w14:textId="5CF17AA2" w:rsidR="00FD2B32" w:rsidRPr="003A0087" w:rsidRDefault="00FD2B32" w:rsidP="002368F0">
            <w:r w:rsidRPr="003A0087">
              <w:t xml:space="preserve">Completion risk, solvency of </w:t>
            </w:r>
            <w:r w:rsidR="00342516">
              <w:t>b</w:t>
            </w:r>
            <w:r w:rsidRPr="003A0087">
              <w:t>uilder/</w:t>
            </w:r>
            <w:r w:rsidR="00342516">
              <w:t>d</w:t>
            </w:r>
            <w:r w:rsidRPr="003A0087">
              <w:t>eveloper</w:t>
            </w:r>
            <w:r>
              <w:t>.</w:t>
            </w:r>
          </w:p>
          <w:p w14:paraId="765D71C1" w14:textId="42117655" w:rsidR="00FD2B32" w:rsidRPr="003A0087" w:rsidRDefault="00FD2B32" w:rsidP="002368F0">
            <w:r w:rsidRPr="003A0087">
              <w:t>Quality of</w:t>
            </w:r>
            <w:r>
              <w:t xml:space="preserve"> housing stock.</w:t>
            </w:r>
          </w:p>
        </w:tc>
      </w:tr>
      <w:tr w:rsidR="00FD2B32" w:rsidRPr="003A0087" w14:paraId="13F5E6CB" w14:textId="77777777" w:rsidTr="00590B5E">
        <w:trPr>
          <w:trHeight w:val="230"/>
          <w:jc w:val="center"/>
        </w:trPr>
        <w:tc>
          <w:tcPr>
            <w:tcW w:w="1294" w:type="pct"/>
            <w:vAlign w:val="center"/>
          </w:tcPr>
          <w:p w14:paraId="18B9B5C1" w14:textId="77777777" w:rsidR="00FD2B32" w:rsidRPr="003A0087" w:rsidRDefault="00FD2B32" w:rsidP="002368F0">
            <w:r w:rsidRPr="003A0087">
              <w:t>Site access</w:t>
            </w:r>
          </w:p>
        </w:tc>
        <w:tc>
          <w:tcPr>
            <w:tcW w:w="3706" w:type="pct"/>
          </w:tcPr>
          <w:p w14:paraId="277E6C81" w14:textId="77777777" w:rsidR="00FD2B32" w:rsidRPr="003A0087" w:rsidRDefault="00FD2B32" w:rsidP="002368F0">
            <w:r w:rsidRPr="003A0087">
              <w:t>Maintaining access to sites during construction.</w:t>
            </w:r>
          </w:p>
        </w:tc>
      </w:tr>
      <w:tr w:rsidR="00FD2B32" w:rsidRPr="003A0087" w14:paraId="51DA0D55" w14:textId="77777777" w:rsidTr="00590B5E">
        <w:trPr>
          <w:trHeight w:val="230"/>
          <w:jc w:val="center"/>
        </w:trPr>
        <w:tc>
          <w:tcPr>
            <w:tcW w:w="1294" w:type="pct"/>
            <w:vAlign w:val="center"/>
          </w:tcPr>
          <w:p w14:paraId="28B485C0" w14:textId="621CDF69" w:rsidR="00FD2B32" w:rsidRPr="003A0087" w:rsidRDefault="00FD2B32" w:rsidP="002368F0">
            <w:r w:rsidRPr="003A0087">
              <w:t>Cost and time overruns</w:t>
            </w:r>
          </w:p>
        </w:tc>
        <w:tc>
          <w:tcPr>
            <w:tcW w:w="3706" w:type="pct"/>
          </w:tcPr>
          <w:p w14:paraId="307BCF9F" w14:textId="6EB8996E" w:rsidR="00FD2B32" w:rsidRPr="003A0087" w:rsidRDefault="00FD2B32" w:rsidP="002368F0">
            <w:r w:rsidRPr="003A0087">
              <w:t>Additional costs and delays to completion</w:t>
            </w:r>
            <w:r>
              <w:t>.</w:t>
            </w:r>
            <w:r w:rsidRPr="003A0087">
              <w:t xml:space="preserve"> </w:t>
            </w:r>
          </w:p>
        </w:tc>
      </w:tr>
      <w:tr w:rsidR="00FD2B32" w:rsidRPr="003A0087" w14:paraId="4F3F5311" w14:textId="77777777" w:rsidTr="00590B5E">
        <w:trPr>
          <w:trHeight w:val="648"/>
          <w:jc w:val="center"/>
        </w:trPr>
        <w:tc>
          <w:tcPr>
            <w:tcW w:w="1294" w:type="pct"/>
            <w:vAlign w:val="center"/>
          </w:tcPr>
          <w:p w14:paraId="6230F307" w14:textId="143E3C6E" w:rsidR="00FD2B32" w:rsidRPr="003A0087" w:rsidRDefault="00FD2B32" w:rsidP="002368F0">
            <w:r w:rsidRPr="003A0087">
              <w:t xml:space="preserve">Rental </w:t>
            </w:r>
            <w:r w:rsidR="00DB7454">
              <w:t>a</w:t>
            </w:r>
            <w:r w:rsidRPr="003A0087">
              <w:t>ssistance payments</w:t>
            </w:r>
            <w:r>
              <w:t xml:space="preserve"> </w:t>
            </w:r>
          </w:p>
        </w:tc>
        <w:tc>
          <w:tcPr>
            <w:tcW w:w="3706" w:type="pct"/>
          </w:tcPr>
          <w:p w14:paraId="0AE84CA1" w14:textId="4081860D" w:rsidR="00FD2B32" w:rsidRPr="003A0087" w:rsidRDefault="00FD2B32" w:rsidP="002368F0">
            <w:r w:rsidRPr="003A0087">
              <w:t xml:space="preserve">Collection of Commonwealth Rental Assistance payments on behalf of </w:t>
            </w:r>
            <w:r w:rsidR="00207CCA">
              <w:t>t</w:t>
            </w:r>
            <w:r w:rsidRPr="003A0087">
              <w:t>enants</w:t>
            </w:r>
          </w:p>
        </w:tc>
      </w:tr>
      <w:tr w:rsidR="00FD2B32" w:rsidRPr="003A0087" w14:paraId="04BE50C1" w14:textId="77777777" w:rsidTr="00590B5E">
        <w:trPr>
          <w:trHeight w:val="648"/>
          <w:jc w:val="center"/>
        </w:trPr>
        <w:tc>
          <w:tcPr>
            <w:tcW w:w="1294" w:type="pct"/>
            <w:vAlign w:val="center"/>
          </w:tcPr>
          <w:p w14:paraId="4B629A94" w14:textId="77777777" w:rsidR="00FD2B32" w:rsidRPr="00396D40" w:rsidRDefault="00FD2B32" w:rsidP="002368F0">
            <w:r w:rsidRPr="00396D40">
              <w:t>Accessing funding for provision of wrap around services (as required)</w:t>
            </w:r>
          </w:p>
        </w:tc>
        <w:tc>
          <w:tcPr>
            <w:tcW w:w="3706" w:type="pct"/>
          </w:tcPr>
          <w:p w14:paraId="20D0ECB8" w14:textId="77777777" w:rsidR="00FD2B32" w:rsidRPr="00396D40" w:rsidRDefault="00FD2B32" w:rsidP="002368F0">
            <w:r w:rsidRPr="00396D40">
              <w:t>Funding source of wraparound services that are specific to the needs of the clients.</w:t>
            </w:r>
          </w:p>
        </w:tc>
      </w:tr>
      <w:tr w:rsidR="00FD2B32" w:rsidRPr="003A0087" w14:paraId="59CFFF5A" w14:textId="77777777" w:rsidTr="00590B5E">
        <w:trPr>
          <w:trHeight w:val="230"/>
          <w:jc w:val="center"/>
        </w:trPr>
        <w:tc>
          <w:tcPr>
            <w:tcW w:w="1294" w:type="pct"/>
            <w:vAlign w:val="center"/>
          </w:tcPr>
          <w:p w14:paraId="2A9F3DD1" w14:textId="77777777" w:rsidR="00FD2B32" w:rsidRPr="00081FE8" w:rsidRDefault="00FD2B32" w:rsidP="002368F0">
            <w:r w:rsidRPr="00081FE8">
              <w:t>Raising and servicing debt finance</w:t>
            </w:r>
            <w:r>
              <w:t xml:space="preserve"> (as required)</w:t>
            </w:r>
          </w:p>
        </w:tc>
        <w:tc>
          <w:tcPr>
            <w:tcW w:w="3706" w:type="pct"/>
          </w:tcPr>
          <w:p w14:paraId="3A134D59" w14:textId="77777777" w:rsidR="00FD2B32" w:rsidRPr="00081FE8" w:rsidRDefault="00FD2B32" w:rsidP="002368F0">
            <w:r w:rsidRPr="00081FE8">
              <w:t xml:space="preserve">Arranging and obtaining </w:t>
            </w:r>
            <w:r>
              <w:t xml:space="preserve">a </w:t>
            </w:r>
            <w:r w:rsidRPr="00081FE8">
              <w:t>committed debt financing package by contractual/financial close and ongoing servicing of financing obligations.</w:t>
            </w:r>
          </w:p>
        </w:tc>
      </w:tr>
      <w:tr w:rsidR="00FD2B32" w:rsidRPr="003A0087" w14:paraId="0BEF95B5" w14:textId="77777777" w:rsidTr="00590B5E">
        <w:trPr>
          <w:trHeight w:val="230"/>
          <w:jc w:val="center"/>
        </w:trPr>
        <w:tc>
          <w:tcPr>
            <w:tcW w:w="1294" w:type="pct"/>
            <w:vAlign w:val="center"/>
          </w:tcPr>
          <w:p w14:paraId="1B84152F" w14:textId="77777777" w:rsidR="00FD2B32" w:rsidRPr="003A0087" w:rsidRDefault="00FD2B32" w:rsidP="002368F0">
            <w:r w:rsidRPr="003A0087">
              <w:t>Raising and servicing equity finance</w:t>
            </w:r>
            <w:r>
              <w:t xml:space="preserve"> (as required)</w:t>
            </w:r>
          </w:p>
        </w:tc>
        <w:tc>
          <w:tcPr>
            <w:tcW w:w="3706" w:type="pct"/>
          </w:tcPr>
          <w:p w14:paraId="352D7EB9" w14:textId="77777777" w:rsidR="00FD2B32" w:rsidRPr="003A0087" w:rsidRDefault="00FD2B32" w:rsidP="002368F0">
            <w:r w:rsidRPr="003A0087">
              <w:t xml:space="preserve">Arranging and obtaining </w:t>
            </w:r>
            <w:r>
              <w:t xml:space="preserve">a </w:t>
            </w:r>
            <w:r w:rsidRPr="003A0087">
              <w:t>committed equity financing package by contractual/financial close and ongoing servicing of financing obligations.</w:t>
            </w:r>
          </w:p>
        </w:tc>
      </w:tr>
      <w:tr w:rsidR="00CD7ADE" w:rsidRPr="003A0087" w14:paraId="15A6AD2A" w14:textId="77777777" w:rsidTr="00590B5E">
        <w:trPr>
          <w:trHeight w:val="230"/>
          <w:jc w:val="center"/>
        </w:trPr>
        <w:tc>
          <w:tcPr>
            <w:tcW w:w="1294" w:type="pct"/>
            <w:vAlign w:val="center"/>
          </w:tcPr>
          <w:p w14:paraId="3DEF8B5C" w14:textId="5F4F291E" w:rsidR="00CD7ADE" w:rsidRPr="003A0087" w:rsidRDefault="00CD7ADE" w:rsidP="002368F0">
            <w:r>
              <w:t xml:space="preserve">Sustainability risks </w:t>
            </w:r>
          </w:p>
        </w:tc>
        <w:tc>
          <w:tcPr>
            <w:tcW w:w="3706" w:type="pct"/>
          </w:tcPr>
          <w:p w14:paraId="29C214DA" w14:textId="77405CC1" w:rsidR="00CD7ADE" w:rsidRPr="003A0087" w:rsidRDefault="00CD7ADE" w:rsidP="002368F0">
            <w:r>
              <w:t>R</w:t>
            </w:r>
            <w:r w:rsidRPr="00CD7ADE">
              <w:t>isk</w:t>
            </w:r>
            <w:r>
              <w:t>s</w:t>
            </w:r>
            <w:r w:rsidRPr="00CD7ADE">
              <w:t xml:space="preserve"> </w:t>
            </w:r>
            <w:r>
              <w:t xml:space="preserve">associated with </w:t>
            </w:r>
            <w:r w:rsidRPr="00CD7ADE">
              <w:t xml:space="preserve">the </w:t>
            </w:r>
            <w:r>
              <w:t xml:space="preserve">Program’s </w:t>
            </w:r>
            <w:r w:rsidRPr="00CD7ADE">
              <w:t>environmental</w:t>
            </w:r>
            <w:r>
              <w:t>ly</w:t>
            </w:r>
            <w:r w:rsidRPr="00CD7ADE">
              <w:t xml:space="preserve"> </w:t>
            </w:r>
            <w:r>
              <w:t xml:space="preserve">sustainable housing requirements, including equipment </w:t>
            </w:r>
            <w:r w:rsidRPr="00CD7ADE">
              <w:t xml:space="preserve">installation and </w:t>
            </w:r>
            <w:r>
              <w:t>commissioning,</w:t>
            </w:r>
            <w:r w:rsidRPr="00CD7ADE">
              <w:t xml:space="preserve"> </w:t>
            </w:r>
            <w:r w:rsidR="007E1148">
              <w:t xml:space="preserve">faulty </w:t>
            </w:r>
            <w:r w:rsidR="00C044E9">
              <w:t>equipment</w:t>
            </w:r>
            <w:r w:rsidR="003C619B">
              <w:t xml:space="preserve"> risk</w:t>
            </w:r>
            <w:r w:rsidR="00C044E9">
              <w:t>,</w:t>
            </w:r>
            <w:r w:rsidR="007E1148">
              <w:t xml:space="preserve"> warranty risk,</w:t>
            </w:r>
            <w:r w:rsidR="00C044E9">
              <w:t xml:space="preserve"> </w:t>
            </w:r>
            <w:r w:rsidRPr="00CD7ADE">
              <w:t>and</w:t>
            </w:r>
            <w:r w:rsidR="00C044E9">
              <w:t xml:space="preserve"> risk that as-built outcomes fail to meet</w:t>
            </w:r>
            <w:r w:rsidR="003C619B">
              <w:t xml:space="preserve"> expected performance and</w:t>
            </w:r>
            <w:r w:rsidR="00C044E9">
              <w:t xml:space="preserve"> </w:t>
            </w:r>
            <w:r>
              <w:t xml:space="preserve">star </w:t>
            </w:r>
            <w:r w:rsidRPr="00CD7ADE">
              <w:t xml:space="preserve">rating </w:t>
            </w:r>
            <w:r w:rsidR="00C044E9">
              <w:t>standards</w:t>
            </w:r>
          </w:p>
        </w:tc>
      </w:tr>
      <w:tr w:rsidR="00FD2B32" w:rsidRPr="003A0087" w14:paraId="0BE50C37" w14:textId="77777777" w:rsidTr="00590B5E">
        <w:trPr>
          <w:trHeight w:val="230"/>
          <w:jc w:val="center"/>
        </w:trPr>
        <w:tc>
          <w:tcPr>
            <w:tcW w:w="1294" w:type="pct"/>
            <w:vAlign w:val="center"/>
          </w:tcPr>
          <w:p w14:paraId="014F0551" w14:textId="77777777" w:rsidR="00FD2B32" w:rsidRPr="003A0087" w:rsidRDefault="00FD2B32" w:rsidP="002368F0">
            <w:r w:rsidRPr="003A0087">
              <w:t xml:space="preserve">Reference interest rate risk </w:t>
            </w:r>
          </w:p>
        </w:tc>
        <w:tc>
          <w:tcPr>
            <w:tcW w:w="3706" w:type="pct"/>
          </w:tcPr>
          <w:p w14:paraId="4F8BAF9E" w14:textId="77777777" w:rsidR="00FD2B32" w:rsidRPr="003A0087" w:rsidRDefault="00FD2B32" w:rsidP="002368F0">
            <w:pPr>
              <w:rPr>
                <w:bCs/>
              </w:rPr>
            </w:pPr>
            <w:r w:rsidRPr="003A0087">
              <w:rPr>
                <w:bCs/>
              </w:rPr>
              <w:t>Risk of movements in actual base rate assumptions beyond what is assumed in the base case.</w:t>
            </w:r>
          </w:p>
        </w:tc>
      </w:tr>
      <w:tr w:rsidR="00FD2B32" w:rsidRPr="003A0087" w14:paraId="5AB14A0D" w14:textId="77777777" w:rsidTr="00590B5E">
        <w:trPr>
          <w:trHeight w:val="565"/>
          <w:jc w:val="center"/>
        </w:trPr>
        <w:tc>
          <w:tcPr>
            <w:tcW w:w="1294" w:type="pct"/>
            <w:vAlign w:val="center"/>
          </w:tcPr>
          <w:p w14:paraId="42DA20F8" w14:textId="77777777" w:rsidR="00FD2B32" w:rsidRPr="003A0087" w:rsidRDefault="00FD2B32" w:rsidP="002368F0">
            <w:r w:rsidRPr="003A0087">
              <w:lastRenderedPageBreak/>
              <w:t>Tax risk</w:t>
            </w:r>
          </w:p>
        </w:tc>
        <w:tc>
          <w:tcPr>
            <w:tcW w:w="3706" w:type="pct"/>
          </w:tcPr>
          <w:p w14:paraId="452F9339" w14:textId="392DEA46" w:rsidR="00FD2B32" w:rsidRPr="003A0087" w:rsidRDefault="00FD2B32" w:rsidP="002368F0">
            <w:pPr>
              <w:rPr>
                <w:bCs/>
              </w:rPr>
            </w:pPr>
            <w:r w:rsidRPr="003A0087">
              <w:rPr>
                <w:bCs/>
              </w:rPr>
              <w:t xml:space="preserve">Actual tax liability differs from </w:t>
            </w:r>
            <w:r>
              <w:rPr>
                <w:bCs/>
              </w:rPr>
              <w:t>what is assumed or change</w:t>
            </w:r>
            <w:r w:rsidR="00720A32">
              <w:rPr>
                <w:bCs/>
              </w:rPr>
              <w:t>s</w:t>
            </w:r>
            <w:r>
              <w:rPr>
                <w:bCs/>
              </w:rPr>
              <w:t xml:space="preserve"> in tax law.</w:t>
            </w:r>
          </w:p>
        </w:tc>
      </w:tr>
      <w:tr w:rsidR="00FD2B32" w:rsidRPr="003A0087" w14:paraId="642F7A79" w14:textId="77777777" w:rsidTr="00590B5E">
        <w:trPr>
          <w:trHeight w:val="853"/>
          <w:jc w:val="center"/>
        </w:trPr>
        <w:tc>
          <w:tcPr>
            <w:tcW w:w="1294" w:type="pct"/>
            <w:vAlign w:val="center"/>
          </w:tcPr>
          <w:p w14:paraId="694BD8F6" w14:textId="77777777" w:rsidR="00FD2B32" w:rsidRPr="003A0087" w:rsidRDefault="00FD2B32" w:rsidP="002368F0">
            <w:r w:rsidRPr="003A0087">
              <w:t>Insurance</w:t>
            </w:r>
          </w:p>
        </w:tc>
        <w:tc>
          <w:tcPr>
            <w:tcW w:w="3706" w:type="pct"/>
          </w:tcPr>
          <w:p w14:paraId="1DCF4816" w14:textId="77777777" w:rsidR="00FD2B32" w:rsidRPr="003A0087" w:rsidRDefault="00FD2B32" w:rsidP="002368F0">
            <w:pPr>
              <w:rPr>
                <w:bCs/>
              </w:rPr>
            </w:pPr>
            <w:r w:rsidRPr="003A0087">
              <w:rPr>
                <w:bCs/>
              </w:rPr>
              <w:t>All costs and risk associated with maintaining insurance required for design, construction</w:t>
            </w:r>
            <w:r>
              <w:rPr>
                <w:bCs/>
              </w:rPr>
              <w:t xml:space="preserve"> and any service delivery.</w:t>
            </w:r>
          </w:p>
          <w:p w14:paraId="340D2AFE" w14:textId="77777777" w:rsidR="00FD2B32" w:rsidRPr="003A0087" w:rsidRDefault="00FD2B32" w:rsidP="002368F0">
            <w:r w:rsidRPr="003A0087">
              <w:rPr>
                <w:bCs/>
              </w:rPr>
              <w:t>Long term availability and material cost increases.</w:t>
            </w:r>
          </w:p>
        </w:tc>
      </w:tr>
      <w:tr w:rsidR="00FD2B32" w:rsidRPr="003A0087" w14:paraId="0404DEC4" w14:textId="77777777" w:rsidTr="00590B5E">
        <w:trPr>
          <w:trHeight w:val="583"/>
          <w:jc w:val="center"/>
        </w:trPr>
        <w:tc>
          <w:tcPr>
            <w:tcW w:w="1294" w:type="pct"/>
            <w:vAlign w:val="center"/>
          </w:tcPr>
          <w:p w14:paraId="0C7A5A16" w14:textId="1FFEBE86" w:rsidR="00FD2B32" w:rsidRPr="003A0087" w:rsidRDefault="00FD2B32" w:rsidP="002368F0">
            <w:r w:rsidRPr="003A0087">
              <w:t>Dispute resolution</w:t>
            </w:r>
            <w:r w:rsidR="00207CCA">
              <w:t xml:space="preserve"> with subcontractors</w:t>
            </w:r>
          </w:p>
        </w:tc>
        <w:tc>
          <w:tcPr>
            <w:tcW w:w="3706" w:type="pct"/>
          </w:tcPr>
          <w:p w14:paraId="4CDEC792" w14:textId="549888E9" w:rsidR="00FD2B32" w:rsidRPr="003A0087" w:rsidRDefault="00FD2B32" w:rsidP="002368F0">
            <w:pPr>
              <w:rPr>
                <w:bCs/>
              </w:rPr>
            </w:pPr>
            <w:r w:rsidRPr="003A0087">
              <w:rPr>
                <w:bCs/>
              </w:rPr>
              <w:t>Risk of inability to resolve contractual disputes</w:t>
            </w:r>
            <w:r w:rsidR="00460C19">
              <w:rPr>
                <w:bCs/>
              </w:rPr>
              <w:t xml:space="preserve"> with subcontractors</w:t>
            </w:r>
            <w:r>
              <w:rPr>
                <w:bCs/>
              </w:rPr>
              <w:t>.</w:t>
            </w:r>
          </w:p>
        </w:tc>
      </w:tr>
    </w:tbl>
    <w:p w14:paraId="17445A5F" w14:textId="2AD8B9D3" w:rsidR="00473658" w:rsidRDefault="00FB18B9" w:rsidP="006B29C1">
      <w:pPr>
        <w:pStyle w:val="Heading1"/>
      </w:pPr>
      <w:bookmarkStart w:id="174" w:name="_Toc467745029"/>
      <w:bookmarkStart w:id="175" w:name="_Toc467745031"/>
      <w:bookmarkStart w:id="176" w:name="_Toc467745032"/>
      <w:bookmarkStart w:id="177" w:name="_Toc467745033"/>
      <w:bookmarkStart w:id="178" w:name="_Toc467745035"/>
      <w:bookmarkStart w:id="179" w:name="_Toc467745036"/>
      <w:bookmarkStart w:id="180" w:name="_Toc467745037"/>
      <w:bookmarkStart w:id="181" w:name="_Toc467745038"/>
      <w:bookmarkStart w:id="182" w:name="_Toc467745039"/>
      <w:bookmarkStart w:id="183" w:name="_Toc467745040"/>
      <w:bookmarkStart w:id="184" w:name="_Toc467745042"/>
      <w:bookmarkStart w:id="185" w:name="_Toc467745043"/>
      <w:bookmarkStart w:id="186" w:name="_Toc467744719"/>
      <w:bookmarkStart w:id="187" w:name="_Ref467775459"/>
      <w:bookmarkStart w:id="188" w:name="_Ref467775467"/>
      <w:bookmarkStart w:id="189" w:name="_Ref467775508"/>
      <w:bookmarkStart w:id="190" w:name="_Toc523845062"/>
      <w:bookmarkEnd w:id="174"/>
      <w:bookmarkEnd w:id="175"/>
      <w:bookmarkEnd w:id="176"/>
      <w:bookmarkEnd w:id="177"/>
      <w:bookmarkEnd w:id="178"/>
      <w:bookmarkEnd w:id="179"/>
      <w:bookmarkEnd w:id="180"/>
      <w:bookmarkEnd w:id="181"/>
      <w:bookmarkEnd w:id="182"/>
      <w:bookmarkEnd w:id="183"/>
      <w:bookmarkEnd w:id="184"/>
      <w:bookmarkEnd w:id="185"/>
      <w:r>
        <w:lastRenderedPageBreak/>
        <w:t xml:space="preserve">Response </w:t>
      </w:r>
      <w:r w:rsidR="004B5053">
        <w:t>Assessment</w:t>
      </w:r>
      <w:r w:rsidR="00AE42BC">
        <w:t xml:space="preserve"> Criteria</w:t>
      </w:r>
      <w:bookmarkEnd w:id="172"/>
      <w:bookmarkEnd w:id="186"/>
      <w:bookmarkEnd w:id="187"/>
      <w:bookmarkEnd w:id="188"/>
      <w:bookmarkEnd w:id="189"/>
      <w:bookmarkEnd w:id="190"/>
    </w:p>
    <w:p w14:paraId="344BB46C" w14:textId="77777777" w:rsidR="00473658" w:rsidRDefault="00C46B1A" w:rsidP="006B29C1">
      <w:pPr>
        <w:pStyle w:val="Heading2"/>
      </w:pPr>
      <w:bookmarkStart w:id="191" w:name="_Toc523845063"/>
      <w:bookmarkStart w:id="192" w:name="_Toc65388687"/>
      <w:bookmarkEnd w:id="173"/>
      <w:r>
        <w:t>Overview</w:t>
      </w:r>
      <w:bookmarkEnd w:id="191"/>
    </w:p>
    <w:p w14:paraId="003B46A0" w14:textId="29AB329B" w:rsidR="00934235" w:rsidRDefault="001F4E5D" w:rsidP="00934235">
      <w:r>
        <w:t xml:space="preserve">Responses will be assessed against </w:t>
      </w:r>
      <w:r w:rsidR="00112774" w:rsidRPr="00DE56C3">
        <w:t>ten</w:t>
      </w:r>
      <w:r w:rsidR="00112774" w:rsidRPr="00BF6AF5">
        <w:t xml:space="preserve"> </w:t>
      </w:r>
      <w:proofErr w:type="gramStart"/>
      <w:r w:rsidR="00FC612A" w:rsidRPr="00BF6AF5">
        <w:t>criterion</w:t>
      </w:r>
      <w:proofErr w:type="gramEnd"/>
      <w:r w:rsidR="00FC612A">
        <w:t xml:space="preserve">. The first </w:t>
      </w:r>
      <w:r w:rsidR="002768BC">
        <w:t>four</w:t>
      </w:r>
      <w:r w:rsidR="00EE4ADD">
        <w:t xml:space="preserve"> in Table 6</w:t>
      </w:r>
      <w:r w:rsidR="002768BC">
        <w:t xml:space="preserve"> </w:t>
      </w:r>
      <w:r w:rsidR="00FC612A">
        <w:t xml:space="preserve">are mandatory pass/fail whilst </w:t>
      </w:r>
      <w:r w:rsidR="00EE4ADD">
        <w:t>the</w:t>
      </w:r>
      <w:r w:rsidR="00FC612A">
        <w:t xml:space="preserve"> </w:t>
      </w:r>
      <w:r w:rsidR="002768BC">
        <w:t>six</w:t>
      </w:r>
      <w:r w:rsidR="00112774">
        <w:t xml:space="preserve"> </w:t>
      </w:r>
      <w:r w:rsidR="00EE4ADD">
        <w:t xml:space="preserve">in Table 7 </w:t>
      </w:r>
      <w:r w:rsidR="00FC612A">
        <w:t>are weight</w:t>
      </w:r>
      <w:r>
        <w:t>ed and will be used to compare R</w:t>
      </w:r>
      <w:r w:rsidR="00FC612A">
        <w:t>esponses th</w:t>
      </w:r>
      <w:r>
        <w:t>at</w:t>
      </w:r>
      <w:r w:rsidR="00FC612A">
        <w:t xml:space="preserve"> progress through the mandatory assessment.</w:t>
      </w:r>
    </w:p>
    <w:p w14:paraId="066E44A9" w14:textId="77777777" w:rsidR="00F67B86" w:rsidRDefault="00F67B86" w:rsidP="00F67B86">
      <w:pPr>
        <w:spacing w:before="240" w:line="259" w:lineRule="auto"/>
        <w:rPr>
          <w:rFonts w:ascii="Calibri" w:eastAsia="Calibri" w:hAnsi="Calibri" w:cs="Calibri"/>
          <w:b/>
          <w:sz w:val="24"/>
          <w:szCs w:val="32"/>
          <w:lang w:val="en-US" w:eastAsia="en-US"/>
        </w:rPr>
      </w:pPr>
      <w:r w:rsidRPr="00EC099F">
        <w:rPr>
          <w:rFonts w:ascii="Calibri" w:eastAsia="Calibri" w:hAnsi="Calibri" w:cs="Calibri"/>
          <w:b/>
          <w:sz w:val="24"/>
          <w:szCs w:val="32"/>
          <w:lang w:val="en-US" w:eastAsia="en-US"/>
        </w:rPr>
        <w:t>MANDATORY CRITERIA: PASS / FAIL CRITERION (UNWEIGHTED)</w:t>
      </w:r>
    </w:p>
    <w:p w14:paraId="4F4CCA3B" w14:textId="77777777" w:rsidR="00F67B86" w:rsidRDefault="00F67B86" w:rsidP="00F67B86">
      <w:pPr>
        <w:pStyle w:val="Caption"/>
        <w:keepNext/>
      </w:pPr>
      <w:r>
        <w:t>Table 6 – Mandatory Criteria</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6"/>
        <w:gridCol w:w="1278"/>
        <w:gridCol w:w="1698"/>
      </w:tblGrid>
      <w:tr w:rsidR="00F67B86" w:rsidRPr="00AF480C" w14:paraId="3D164D46" w14:textId="77777777" w:rsidTr="001D1223">
        <w:trPr>
          <w:cantSplit/>
          <w:tblHeader/>
        </w:trPr>
        <w:tc>
          <w:tcPr>
            <w:tcW w:w="1167" w:type="pct"/>
            <w:shd w:val="clear" w:color="auto" w:fill="D9D9D9"/>
          </w:tcPr>
          <w:p w14:paraId="4FF7142C" w14:textId="77777777" w:rsidR="00F67B86" w:rsidRPr="006B29C1" w:rsidRDefault="00F67B86" w:rsidP="001D1223">
            <w:pPr>
              <w:jc w:val="center"/>
              <w:rPr>
                <w:b/>
                <w:bCs/>
                <w:lang w:val="en-NZ" w:eastAsia="en-US"/>
              </w:rPr>
            </w:pPr>
            <w:r w:rsidRPr="006B29C1">
              <w:rPr>
                <w:b/>
                <w:bCs/>
                <w:lang w:val="en-NZ" w:eastAsia="en-US"/>
              </w:rPr>
              <w:t>Criteria</w:t>
            </w:r>
          </w:p>
        </w:tc>
        <w:tc>
          <w:tcPr>
            <w:tcW w:w="2084" w:type="pct"/>
            <w:shd w:val="clear" w:color="auto" w:fill="D9D9D9"/>
          </w:tcPr>
          <w:p w14:paraId="54CDB48C" w14:textId="77777777" w:rsidR="00F67B86" w:rsidRPr="006B29C1" w:rsidRDefault="00F67B86" w:rsidP="001D1223">
            <w:pPr>
              <w:jc w:val="center"/>
              <w:rPr>
                <w:b/>
                <w:bCs/>
                <w:lang w:val="en-NZ" w:eastAsia="en-US"/>
              </w:rPr>
            </w:pPr>
            <w:r w:rsidRPr="006B29C1">
              <w:rPr>
                <w:b/>
                <w:bCs/>
                <w:lang w:val="en-NZ" w:eastAsia="en-US"/>
              </w:rPr>
              <w:t>Description</w:t>
            </w:r>
          </w:p>
        </w:tc>
        <w:tc>
          <w:tcPr>
            <w:tcW w:w="751" w:type="pct"/>
            <w:shd w:val="clear" w:color="auto" w:fill="D9D9D9"/>
          </w:tcPr>
          <w:p w14:paraId="72945385" w14:textId="77777777" w:rsidR="00F67B86" w:rsidRPr="006B29C1" w:rsidRDefault="00F67B86" w:rsidP="001D1223">
            <w:pPr>
              <w:jc w:val="center"/>
              <w:rPr>
                <w:b/>
                <w:bCs/>
                <w:lang w:val="en-NZ" w:eastAsia="en-US"/>
              </w:rPr>
            </w:pPr>
            <w:r w:rsidRPr="006B29C1">
              <w:rPr>
                <w:b/>
                <w:bCs/>
                <w:lang w:val="en-NZ" w:eastAsia="en-US"/>
              </w:rPr>
              <w:t>Weighting</w:t>
            </w:r>
          </w:p>
        </w:tc>
        <w:tc>
          <w:tcPr>
            <w:tcW w:w="998" w:type="pct"/>
            <w:shd w:val="clear" w:color="auto" w:fill="D9D9D9"/>
          </w:tcPr>
          <w:p w14:paraId="3F550E67" w14:textId="77777777" w:rsidR="00F67B86" w:rsidRPr="006B29C1" w:rsidRDefault="00F67B86" w:rsidP="001D1223">
            <w:pPr>
              <w:jc w:val="center"/>
              <w:rPr>
                <w:b/>
                <w:bCs/>
                <w:lang w:val="en-NZ" w:eastAsia="en-US"/>
              </w:rPr>
            </w:pPr>
            <w:r w:rsidRPr="006B29C1">
              <w:rPr>
                <w:b/>
                <w:bCs/>
                <w:lang w:val="en-NZ" w:eastAsia="en-US"/>
              </w:rPr>
              <w:t>Schedule(s)</w:t>
            </w:r>
          </w:p>
        </w:tc>
      </w:tr>
      <w:tr w:rsidR="00F67B86" w:rsidRPr="00AF480C" w14:paraId="7A03E38F" w14:textId="77777777" w:rsidTr="001D1223">
        <w:trPr>
          <w:cantSplit/>
        </w:trPr>
        <w:tc>
          <w:tcPr>
            <w:tcW w:w="1167" w:type="pct"/>
            <w:shd w:val="clear" w:color="auto" w:fill="auto"/>
          </w:tcPr>
          <w:p w14:paraId="1B9F57B0" w14:textId="360A754F" w:rsidR="00F67B86" w:rsidRPr="004E4218" w:rsidRDefault="00F67B86" w:rsidP="001D1223">
            <w:pPr>
              <w:rPr>
                <w:rFonts w:eastAsia="Calibri"/>
                <w:lang w:val="en-NZ" w:eastAsia="en-US"/>
              </w:rPr>
            </w:pPr>
            <w:r w:rsidRPr="004E4218">
              <w:t xml:space="preserve">Organisation </w:t>
            </w:r>
            <w:r>
              <w:t xml:space="preserve">details </w:t>
            </w:r>
          </w:p>
        </w:tc>
        <w:tc>
          <w:tcPr>
            <w:tcW w:w="2084" w:type="pct"/>
            <w:shd w:val="clear" w:color="auto" w:fill="auto"/>
          </w:tcPr>
          <w:p w14:paraId="4AF3CBEF" w14:textId="4AAE87D2" w:rsidR="00F67B86" w:rsidRPr="002F6646" w:rsidRDefault="00EE4ADD" w:rsidP="001D1223">
            <w:pPr>
              <w:rPr>
                <w:rFonts w:eastAsia="Calibri"/>
                <w:lang w:val="en-NZ" w:eastAsia="en-US"/>
              </w:rPr>
            </w:pPr>
            <w:r>
              <w:t>Respondent is a</w:t>
            </w:r>
            <w:r w:rsidR="007E1148">
              <w:t>n eligible</w:t>
            </w:r>
            <w:r>
              <w:t xml:space="preserve"> </w:t>
            </w:r>
            <w:r w:rsidR="00F67B86">
              <w:t>Community Housing Organisation. If a RHA</w:t>
            </w:r>
            <w:r w:rsidR="00F67B86" w:rsidRPr="002F6646">
              <w:t xml:space="preserve">, </w:t>
            </w:r>
            <w:r w:rsidR="00F67B86">
              <w:t xml:space="preserve">it must </w:t>
            </w:r>
            <w:r w:rsidR="00F67B86" w:rsidRPr="002F6646">
              <w:t xml:space="preserve">not </w:t>
            </w:r>
            <w:r w:rsidR="00F67B86">
              <w:t xml:space="preserve">be </w:t>
            </w:r>
            <w:r w:rsidR="00F67B86" w:rsidRPr="002F6646">
              <w:t xml:space="preserve">under investigation or subject to a formal intervention by the Registrar of Housing Agencies under Divisions 7 or 8 of the </w:t>
            </w:r>
            <w:r w:rsidR="00F67B86">
              <w:t xml:space="preserve">Housing </w:t>
            </w:r>
            <w:r w:rsidR="00F67B86" w:rsidRPr="002F6646">
              <w:t xml:space="preserve">Act  </w:t>
            </w:r>
          </w:p>
        </w:tc>
        <w:tc>
          <w:tcPr>
            <w:tcW w:w="751" w:type="pct"/>
            <w:vAlign w:val="center"/>
          </w:tcPr>
          <w:p w14:paraId="05E3773B" w14:textId="77777777" w:rsidR="00F67B86" w:rsidRPr="004E4218" w:rsidRDefault="00F67B86" w:rsidP="001D1223">
            <w:pPr>
              <w:jc w:val="center"/>
              <w:rPr>
                <w:rFonts w:eastAsia="Calibri"/>
                <w:lang w:val="en-NZ" w:eastAsia="en-US"/>
              </w:rPr>
            </w:pPr>
            <w:r w:rsidRPr="004E4218">
              <w:t>N/A</w:t>
            </w:r>
          </w:p>
        </w:tc>
        <w:tc>
          <w:tcPr>
            <w:tcW w:w="998" w:type="pct"/>
            <w:vAlign w:val="center"/>
          </w:tcPr>
          <w:p w14:paraId="0261B907" w14:textId="0A06EEDA" w:rsidR="00F67B86" w:rsidRPr="004E4218" w:rsidRDefault="00F67B86" w:rsidP="001D1223">
            <w:pPr>
              <w:rPr>
                <w:rFonts w:eastAsia="Calibri"/>
                <w:lang w:val="en-NZ" w:eastAsia="en-US"/>
              </w:rPr>
            </w:pPr>
            <w:r w:rsidRPr="007E1148">
              <w:t>Schedule</w:t>
            </w:r>
            <w:r w:rsidR="002768BC" w:rsidRPr="007E1148">
              <w:t>s</w:t>
            </w:r>
            <w:r w:rsidRPr="007E1148">
              <w:t xml:space="preserve"> 1</w:t>
            </w:r>
            <w:r w:rsidR="002768BC" w:rsidRPr="007E1148">
              <w:t xml:space="preserve"> &amp; </w:t>
            </w:r>
            <w:r w:rsidR="00F95C31" w:rsidRPr="007E1148">
              <w:t>2</w:t>
            </w:r>
          </w:p>
        </w:tc>
      </w:tr>
      <w:tr w:rsidR="00F67B86" w:rsidRPr="00AF480C" w14:paraId="69A99FCE" w14:textId="77777777" w:rsidTr="001D1223">
        <w:trPr>
          <w:cantSplit/>
          <w:trHeight w:val="540"/>
        </w:trPr>
        <w:tc>
          <w:tcPr>
            <w:tcW w:w="1167" w:type="pct"/>
            <w:shd w:val="clear" w:color="auto" w:fill="auto"/>
          </w:tcPr>
          <w:p w14:paraId="023DD0A1" w14:textId="77777777" w:rsidR="00F67B86" w:rsidRPr="004E4218" w:rsidDel="000F617D" w:rsidRDefault="00F67B86" w:rsidP="001D1223">
            <w:r>
              <w:t>Development Details</w:t>
            </w:r>
          </w:p>
        </w:tc>
        <w:tc>
          <w:tcPr>
            <w:tcW w:w="2084" w:type="pct"/>
            <w:shd w:val="clear" w:color="auto" w:fill="auto"/>
          </w:tcPr>
          <w:p w14:paraId="18795548" w14:textId="77777777" w:rsidR="00F67B86" w:rsidRDefault="00F67B86" w:rsidP="001D1223">
            <w:r>
              <w:t>The proposal meets:</w:t>
            </w:r>
          </w:p>
          <w:p w14:paraId="01C965C2" w14:textId="77777777" w:rsidR="00F67B86" w:rsidRDefault="00F67B86" w:rsidP="001D1223">
            <w:pPr>
              <w:pStyle w:val="ListParagraph"/>
              <w:numPr>
                <w:ilvl w:val="0"/>
                <w:numId w:val="28"/>
              </w:numPr>
            </w:pPr>
            <w:r>
              <w:t>Program objectives including increasing the supply of long-term affordable housing for low income and disadvantaged Victorians</w:t>
            </w:r>
          </w:p>
          <w:p w14:paraId="2651693E" w14:textId="581053E4" w:rsidR="00F67B86" w:rsidRDefault="00522747" w:rsidP="001D1223">
            <w:pPr>
              <w:pStyle w:val="ListParagraph"/>
              <w:numPr>
                <w:ilvl w:val="0"/>
                <w:numId w:val="28"/>
              </w:numPr>
            </w:pPr>
            <w:r>
              <w:t>mandatory</w:t>
            </w:r>
            <w:r w:rsidR="002768BC">
              <w:t xml:space="preserve"> requirements for delivery of </w:t>
            </w:r>
            <w:r w:rsidR="00F67B86">
              <w:t>e</w:t>
            </w:r>
            <w:r w:rsidR="002768BC">
              <w:t>nvironmental</w:t>
            </w:r>
            <w:r w:rsidR="00F67B86">
              <w:t xml:space="preserve"> sustainable </w:t>
            </w:r>
            <w:r w:rsidR="002768BC">
              <w:t>housing</w:t>
            </w:r>
            <w:r w:rsidR="00F67B86">
              <w:t xml:space="preserve"> </w:t>
            </w:r>
            <w:r w:rsidR="002768BC">
              <w:t xml:space="preserve">outcomes </w:t>
            </w:r>
            <w:r w:rsidR="00F67B86">
              <w:t xml:space="preserve">specified in </w:t>
            </w:r>
            <w:r w:rsidR="00D7560C">
              <w:t>Section</w:t>
            </w:r>
            <w:r w:rsidR="00F67B86">
              <w:t xml:space="preserve"> 1.2.5</w:t>
            </w:r>
          </w:p>
          <w:p w14:paraId="1C3F37FC" w14:textId="77777777" w:rsidR="00F67B86" w:rsidRPr="004E4218" w:rsidRDefault="00F67B86" w:rsidP="001D1223">
            <w:pPr>
              <w:pStyle w:val="ListParagraph"/>
              <w:numPr>
                <w:ilvl w:val="0"/>
                <w:numId w:val="28"/>
              </w:numPr>
            </w:pPr>
            <w:r>
              <w:t>the requirement to complete the Development by 30 June 2021 (unless CAV has otherwise agreed)</w:t>
            </w:r>
          </w:p>
        </w:tc>
        <w:tc>
          <w:tcPr>
            <w:tcW w:w="751" w:type="pct"/>
            <w:vAlign w:val="center"/>
          </w:tcPr>
          <w:p w14:paraId="40537B77" w14:textId="77777777" w:rsidR="00F67B86" w:rsidRPr="004E4218" w:rsidRDefault="00F67B86" w:rsidP="001D1223">
            <w:pPr>
              <w:jc w:val="center"/>
            </w:pPr>
            <w:r w:rsidRPr="004E4218">
              <w:t>N/A</w:t>
            </w:r>
          </w:p>
        </w:tc>
        <w:tc>
          <w:tcPr>
            <w:tcW w:w="998" w:type="pct"/>
            <w:vAlign w:val="center"/>
          </w:tcPr>
          <w:p w14:paraId="5DB4518E" w14:textId="19B69E45" w:rsidR="00F67B86" w:rsidRPr="004E4218" w:rsidRDefault="00F67B86" w:rsidP="001D1223">
            <w:r>
              <w:t xml:space="preserve">Schedules 2 &amp; </w:t>
            </w:r>
            <w:r w:rsidR="002768BC">
              <w:t>7</w:t>
            </w:r>
          </w:p>
        </w:tc>
      </w:tr>
      <w:tr w:rsidR="00F67B86" w:rsidRPr="00AF480C" w14:paraId="3CEE9012" w14:textId="77777777" w:rsidTr="001D1223">
        <w:trPr>
          <w:cantSplit/>
          <w:trHeight w:val="540"/>
        </w:trPr>
        <w:tc>
          <w:tcPr>
            <w:tcW w:w="1167" w:type="pct"/>
            <w:shd w:val="clear" w:color="auto" w:fill="auto"/>
          </w:tcPr>
          <w:p w14:paraId="2B649F44" w14:textId="77777777" w:rsidR="00F67B86" w:rsidRPr="004E4218" w:rsidRDefault="00F67B86" w:rsidP="001D1223">
            <w:pPr>
              <w:rPr>
                <w:rFonts w:eastAsia="Calibri"/>
                <w:lang w:val="en-NZ" w:eastAsia="en-US"/>
              </w:rPr>
            </w:pPr>
            <w:r>
              <w:t>Stability,</w:t>
            </w:r>
            <w:r w:rsidRPr="004E4218">
              <w:t xml:space="preserve"> </w:t>
            </w:r>
            <w:r>
              <w:t>experience and capacity</w:t>
            </w:r>
          </w:p>
        </w:tc>
        <w:tc>
          <w:tcPr>
            <w:tcW w:w="2084" w:type="pct"/>
            <w:shd w:val="clear" w:color="auto" w:fill="auto"/>
          </w:tcPr>
          <w:p w14:paraId="4E3ED017" w14:textId="77777777" w:rsidR="00F67B86" w:rsidRDefault="00F67B86" w:rsidP="001D1223">
            <w:r w:rsidRPr="004E4218">
              <w:t>The Respondent demonstrate</w:t>
            </w:r>
            <w:r>
              <w:t>s sufficient:</w:t>
            </w:r>
            <w:r w:rsidRPr="004E4218">
              <w:t xml:space="preserve"> </w:t>
            </w:r>
          </w:p>
          <w:p w14:paraId="5AC1DAC5" w14:textId="77777777" w:rsidR="00F67B86" w:rsidRDefault="00F67B86" w:rsidP="001D1223">
            <w:pPr>
              <w:pStyle w:val="ListParagraph"/>
              <w:numPr>
                <w:ilvl w:val="0"/>
                <w:numId w:val="28"/>
              </w:numPr>
            </w:pPr>
            <w:r>
              <w:t>experience in developing and managing long-term accommodation for low income or disadvantaged persons</w:t>
            </w:r>
          </w:p>
          <w:p w14:paraId="59F29E4B" w14:textId="77777777" w:rsidR="00F67B86" w:rsidRDefault="00F67B86" w:rsidP="001D1223">
            <w:pPr>
              <w:pStyle w:val="ListParagraph"/>
              <w:numPr>
                <w:ilvl w:val="0"/>
                <w:numId w:val="28"/>
              </w:numPr>
            </w:pPr>
            <w:r>
              <w:t>financial stability and capacity to deliver and manage the Development</w:t>
            </w:r>
          </w:p>
          <w:p w14:paraId="4BAF7E35" w14:textId="77777777" w:rsidR="00F67B86" w:rsidRPr="00324C79" w:rsidRDefault="00F67B86" w:rsidP="001D1223">
            <w:pPr>
              <w:pStyle w:val="ListParagraph"/>
              <w:numPr>
                <w:ilvl w:val="0"/>
                <w:numId w:val="28"/>
              </w:numPr>
            </w:pPr>
            <w:r>
              <w:t xml:space="preserve">experience and </w:t>
            </w:r>
            <w:r w:rsidRPr="004E4218">
              <w:t xml:space="preserve">capacity to deliver </w:t>
            </w:r>
            <w:r>
              <w:t>and manage the Development</w:t>
            </w:r>
            <w:r w:rsidRPr="004E4218">
              <w:t xml:space="preserve"> </w:t>
            </w:r>
          </w:p>
        </w:tc>
        <w:tc>
          <w:tcPr>
            <w:tcW w:w="751" w:type="pct"/>
            <w:vAlign w:val="center"/>
          </w:tcPr>
          <w:p w14:paraId="2689A4BA" w14:textId="77777777" w:rsidR="00F67B86" w:rsidRPr="004E4218" w:rsidRDefault="00F67B86" w:rsidP="001D1223">
            <w:pPr>
              <w:jc w:val="center"/>
              <w:rPr>
                <w:rFonts w:eastAsia="Calibri"/>
                <w:lang w:val="en-NZ" w:eastAsia="en-US"/>
              </w:rPr>
            </w:pPr>
            <w:r w:rsidRPr="004E4218">
              <w:t>N/A</w:t>
            </w:r>
          </w:p>
        </w:tc>
        <w:tc>
          <w:tcPr>
            <w:tcW w:w="998" w:type="pct"/>
            <w:vAlign w:val="center"/>
          </w:tcPr>
          <w:p w14:paraId="09813583" w14:textId="2ECD8862" w:rsidR="00F67B86" w:rsidRPr="004E4218" w:rsidRDefault="00F67B86" w:rsidP="001D1223">
            <w:pPr>
              <w:rPr>
                <w:rFonts w:eastAsia="Calibri"/>
                <w:color w:val="FF0000"/>
                <w:lang w:val="en-NZ" w:eastAsia="en-US"/>
              </w:rPr>
            </w:pPr>
            <w:r w:rsidRPr="004E4218">
              <w:t>Schedule</w:t>
            </w:r>
            <w:r w:rsidR="007E1148">
              <w:t>s</w:t>
            </w:r>
            <w:r w:rsidRPr="004E4218">
              <w:t xml:space="preserve"> </w:t>
            </w:r>
            <w:r>
              <w:t>3</w:t>
            </w:r>
            <w:r w:rsidR="007E1148">
              <w:t xml:space="preserve"> ,4</w:t>
            </w:r>
            <w:r w:rsidRPr="004E4218">
              <w:t xml:space="preserve"> </w:t>
            </w:r>
            <w:r w:rsidR="007E1148">
              <w:t>&amp; 5</w:t>
            </w:r>
          </w:p>
        </w:tc>
      </w:tr>
      <w:tr w:rsidR="00F67B86" w:rsidRPr="00AF480C" w14:paraId="2C96AD4A" w14:textId="77777777" w:rsidTr="001D1223">
        <w:trPr>
          <w:cantSplit/>
          <w:trHeight w:val="540"/>
        </w:trPr>
        <w:tc>
          <w:tcPr>
            <w:tcW w:w="1167" w:type="pct"/>
            <w:shd w:val="clear" w:color="auto" w:fill="auto"/>
          </w:tcPr>
          <w:p w14:paraId="2719E632" w14:textId="77777777" w:rsidR="00F67B86" w:rsidRDefault="00F67B86" w:rsidP="001D1223">
            <w:r>
              <w:lastRenderedPageBreak/>
              <w:t>Accountability</w:t>
            </w:r>
          </w:p>
        </w:tc>
        <w:tc>
          <w:tcPr>
            <w:tcW w:w="2084" w:type="pct"/>
            <w:shd w:val="clear" w:color="auto" w:fill="auto"/>
          </w:tcPr>
          <w:p w14:paraId="27A0D5F8" w14:textId="4BE77687" w:rsidR="00F67B86" w:rsidRDefault="00F67B86" w:rsidP="001D1223">
            <w:r>
              <w:t xml:space="preserve">The Respondent </w:t>
            </w:r>
            <w:r w:rsidR="00522747">
              <w:t>offers</w:t>
            </w:r>
            <w:r w:rsidR="00EE4ADD">
              <w:t xml:space="preserve"> </w:t>
            </w:r>
            <w:r>
              <w:t>acceptable mechanisms and processes to:</w:t>
            </w:r>
          </w:p>
          <w:p w14:paraId="603D61B6" w14:textId="77777777" w:rsidR="00F67B86" w:rsidRDefault="00F67B86" w:rsidP="001D1223">
            <w:pPr>
              <w:pStyle w:val="ListParagraph"/>
              <w:numPr>
                <w:ilvl w:val="0"/>
                <w:numId w:val="33"/>
              </w:numPr>
            </w:pPr>
            <w:r>
              <w:t>protect the State’s investment</w:t>
            </w:r>
          </w:p>
          <w:p w14:paraId="2DDA5C0F" w14:textId="77777777" w:rsidR="00F67B86" w:rsidRDefault="00F67B86" w:rsidP="001D1223">
            <w:pPr>
              <w:pStyle w:val="ListParagraph"/>
              <w:numPr>
                <w:ilvl w:val="0"/>
                <w:numId w:val="33"/>
              </w:numPr>
            </w:pPr>
            <w:r>
              <w:t xml:space="preserve">ensure the Development continues to be used for the approved purpose </w:t>
            </w:r>
          </w:p>
          <w:p w14:paraId="3408B6B6" w14:textId="77777777" w:rsidR="00F67B86" w:rsidRDefault="00F67B86" w:rsidP="001D1223">
            <w:pPr>
              <w:pStyle w:val="ListParagraph"/>
              <w:numPr>
                <w:ilvl w:val="0"/>
                <w:numId w:val="33"/>
              </w:numPr>
            </w:pPr>
            <w:r w:rsidRPr="007E1148">
              <w:t>ensure tenancies are fair and appropriately managed.</w:t>
            </w:r>
          </w:p>
          <w:p w14:paraId="2D0A763B" w14:textId="65B1E5B9" w:rsidR="00A359F4" w:rsidRPr="004E4218" w:rsidRDefault="002711D1" w:rsidP="001E5D60">
            <w:pPr>
              <w:ind w:left="360"/>
            </w:pPr>
            <w:r>
              <w:t>(together,</w:t>
            </w:r>
            <w:r w:rsidR="00A359F4">
              <w:t xml:space="preserve"> ‘Accountability Processes’)</w:t>
            </w:r>
          </w:p>
        </w:tc>
        <w:tc>
          <w:tcPr>
            <w:tcW w:w="751" w:type="pct"/>
            <w:vAlign w:val="center"/>
          </w:tcPr>
          <w:p w14:paraId="0566738E" w14:textId="77777777" w:rsidR="00F67B86" w:rsidRPr="004E4218" w:rsidRDefault="00F67B86" w:rsidP="001D1223">
            <w:pPr>
              <w:jc w:val="center"/>
            </w:pPr>
            <w:r>
              <w:t>NA</w:t>
            </w:r>
          </w:p>
        </w:tc>
        <w:tc>
          <w:tcPr>
            <w:tcW w:w="998" w:type="pct"/>
            <w:vAlign w:val="center"/>
          </w:tcPr>
          <w:p w14:paraId="466BB1F4" w14:textId="2BD729F3" w:rsidR="00F67B86" w:rsidRPr="004E4218" w:rsidRDefault="007E1148" w:rsidP="001D1223">
            <w:r>
              <w:t>Schedules 3 &amp; 5</w:t>
            </w:r>
          </w:p>
        </w:tc>
      </w:tr>
    </w:tbl>
    <w:p w14:paraId="2B82CCF2" w14:textId="77777777" w:rsidR="00F67B86" w:rsidRDefault="00F67B86" w:rsidP="00F67B86">
      <w:pPr>
        <w:spacing w:before="0" w:after="200"/>
        <w:rPr>
          <w:b/>
          <w:bCs/>
          <w:lang w:val="en-US" w:eastAsia="en-US"/>
        </w:rPr>
      </w:pPr>
    </w:p>
    <w:p w14:paraId="53FD2A51" w14:textId="77777777" w:rsidR="00F67B86" w:rsidRPr="002368F0" w:rsidRDefault="00F67B86" w:rsidP="00F67B86">
      <w:pPr>
        <w:spacing w:before="360"/>
        <w:rPr>
          <w:b/>
          <w:bCs/>
          <w:lang w:val="en-US" w:eastAsia="en-US"/>
        </w:rPr>
      </w:pPr>
      <w:r w:rsidRPr="002368F0">
        <w:rPr>
          <w:b/>
          <w:bCs/>
          <w:lang w:val="en-US" w:eastAsia="en-US"/>
        </w:rPr>
        <w:t>COMPARATIVE EVALUATION CRITERIA: WEIGHTED</w:t>
      </w:r>
    </w:p>
    <w:p w14:paraId="324D4D6D" w14:textId="77777777" w:rsidR="00F67B86" w:rsidRDefault="00F67B86" w:rsidP="00F67B86">
      <w:pPr>
        <w:pStyle w:val="Caption"/>
        <w:keepNext/>
      </w:pPr>
      <w:r>
        <w:t>Table 7 – Comparative Criteria</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30"/>
        <w:gridCol w:w="1274"/>
        <w:gridCol w:w="1701"/>
      </w:tblGrid>
      <w:tr w:rsidR="00F67B86" w:rsidRPr="00EC099F" w14:paraId="610CDC46" w14:textId="77777777" w:rsidTr="001D1223">
        <w:trPr>
          <w:cantSplit/>
          <w:trHeight w:val="368"/>
          <w:tblHeader/>
        </w:trPr>
        <w:tc>
          <w:tcPr>
            <w:tcW w:w="1000" w:type="pct"/>
            <w:shd w:val="clear" w:color="auto" w:fill="D9D9D9"/>
          </w:tcPr>
          <w:p w14:paraId="5AA02CEE" w14:textId="77777777" w:rsidR="00F67B86" w:rsidRPr="00EC099F" w:rsidRDefault="00F67B86" w:rsidP="001D1223">
            <w:pPr>
              <w:spacing w:before="40" w:after="40" w:line="259" w:lineRule="auto"/>
              <w:jc w:val="center"/>
              <w:rPr>
                <w:rFonts w:ascii="Calibri" w:eastAsia="Calibri" w:hAnsi="Calibri" w:cs="Calibri"/>
                <w:b/>
                <w:iCs/>
                <w:sz w:val="22"/>
                <w:szCs w:val="22"/>
                <w:lang w:val="en-NZ" w:eastAsia="en-US"/>
              </w:rPr>
            </w:pPr>
            <w:r w:rsidRPr="00EC099F">
              <w:rPr>
                <w:rFonts w:ascii="Calibri" w:eastAsia="Calibri" w:hAnsi="Calibri" w:cs="Calibri"/>
                <w:b/>
                <w:iCs/>
                <w:sz w:val="22"/>
                <w:szCs w:val="22"/>
                <w:lang w:val="en-NZ" w:eastAsia="en-US"/>
              </w:rPr>
              <w:t>Criteria</w:t>
            </w:r>
          </w:p>
        </w:tc>
        <w:tc>
          <w:tcPr>
            <w:tcW w:w="2251" w:type="pct"/>
            <w:shd w:val="clear" w:color="auto" w:fill="D9D9D9"/>
          </w:tcPr>
          <w:p w14:paraId="4DE89A99" w14:textId="77777777" w:rsidR="00F67B86" w:rsidRPr="00EC099F" w:rsidRDefault="00F67B86" w:rsidP="001D1223">
            <w:pPr>
              <w:spacing w:before="40" w:after="40" w:line="259" w:lineRule="auto"/>
              <w:jc w:val="center"/>
              <w:rPr>
                <w:rFonts w:ascii="Calibri" w:eastAsia="Calibri" w:hAnsi="Calibri" w:cs="Calibri"/>
                <w:b/>
                <w:iCs/>
                <w:sz w:val="22"/>
                <w:szCs w:val="22"/>
                <w:lang w:val="en-NZ" w:eastAsia="en-US"/>
              </w:rPr>
            </w:pPr>
            <w:r w:rsidRPr="00EC099F">
              <w:rPr>
                <w:rFonts w:ascii="Calibri" w:eastAsia="Calibri" w:hAnsi="Calibri" w:cs="Calibri"/>
                <w:b/>
                <w:iCs/>
                <w:sz w:val="22"/>
                <w:szCs w:val="22"/>
                <w:lang w:val="en-NZ" w:eastAsia="en-US"/>
              </w:rPr>
              <w:t>Description</w:t>
            </w:r>
          </w:p>
        </w:tc>
        <w:tc>
          <w:tcPr>
            <w:tcW w:w="749" w:type="pct"/>
            <w:shd w:val="clear" w:color="auto" w:fill="D9D9D9"/>
          </w:tcPr>
          <w:p w14:paraId="6F7FCE40" w14:textId="77777777" w:rsidR="00F67B86" w:rsidRPr="00EC099F" w:rsidRDefault="00F67B86" w:rsidP="001D1223">
            <w:pPr>
              <w:spacing w:before="40" w:after="40" w:line="259" w:lineRule="auto"/>
              <w:jc w:val="center"/>
              <w:rPr>
                <w:rFonts w:ascii="Calibri" w:eastAsia="Calibri" w:hAnsi="Calibri" w:cs="Calibri"/>
                <w:b/>
                <w:iCs/>
                <w:sz w:val="22"/>
                <w:szCs w:val="22"/>
                <w:lang w:val="en-NZ" w:eastAsia="en-US"/>
              </w:rPr>
            </w:pPr>
            <w:r w:rsidRPr="00EC099F">
              <w:rPr>
                <w:rFonts w:ascii="Calibri" w:eastAsia="Calibri" w:hAnsi="Calibri" w:cs="Calibri"/>
                <w:b/>
                <w:iCs/>
                <w:sz w:val="22"/>
                <w:szCs w:val="22"/>
                <w:lang w:val="en-NZ" w:eastAsia="en-US"/>
              </w:rPr>
              <w:t>Weighting</w:t>
            </w:r>
          </w:p>
        </w:tc>
        <w:tc>
          <w:tcPr>
            <w:tcW w:w="1000" w:type="pct"/>
            <w:shd w:val="clear" w:color="auto" w:fill="D9D9D9"/>
          </w:tcPr>
          <w:p w14:paraId="151851F5" w14:textId="77777777" w:rsidR="00F67B86" w:rsidRPr="00EC099F" w:rsidRDefault="00F67B86" w:rsidP="001D1223">
            <w:pPr>
              <w:spacing w:before="40" w:after="40" w:line="259" w:lineRule="auto"/>
              <w:jc w:val="center"/>
              <w:rPr>
                <w:rFonts w:ascii="Calibri" w:eastAsia="Calibri" w:hAnsi="Calibri" w:cs="Calibri"/>
                <w:b/>
                <w:iCs/>
                <w:sz w:val="22"/>
                <w:szCs w:val="22"/>
                <w:lang w:val="en-NZ" w:eastAsia="en-US"/>
              </w:rPr>
            </w:pPr>
            <w:r w:rsidRPr="00EC099F">
              <w:rPr>
                <w:rFonts w:ascii="Calibri" w:eastAsia="Calibri" w:hAnsi="Calibri" w:cs="Calibri"/>
                <w:b/>
                <w:iCs/>
                <w:sz w:val="22"/>
                <w:szCs w:val="22"/>
                <w:lang w:val="en-NZ" w:eastAsia="en-US"/>
              </w:rPr>
              <w:t>Schedule</w:t>
            </w:r>
            <w:r>
              <w:rPr>
                <w:rFonts w:ascii="Calibri" w:eastAsia="Calibri" w:hAnsi="Calibri" w:cs="Calibri"/>
                <w:b/>
                <w:iCs/>
                <w:sz w:val="22"/>
                <w:szCs w:val="22"/>
                <w:lang w:val="en-NZ" w:eastAsia="en-US"/>
              </w:rPr>
              <w:t>(s)</w:t>
            </w:r>
          </w:p>
        </w:tc>
      </w:tr>
      <w:tr w:rsidR="00F67B86" w:rsidRPr="00EC099F" w14:paraId="421D2C53" w14:textId="77777777" w:rsidTr="001D1223">
        <w:trPr>
          <w:cantSplit/>
          <w:trHeight w:val="976"/>
        </w:trPr>
        <w:tc>
          <w:tcPr>
            <w:tcW w:w="1000" w:type="pct"/>
            <w:shd w:val="clear" w:color="auto" w:fill="auto"/>
          </w:tcPr>
          <w:p w14:paraId="456B5314" w14:textId="77777777" w:rsidR="00F67B86" w:rsidRPr="004E4218" w:rsidRDefault="00F67B86" w:rsidP="001D1223">
            <w:r>
              <w:t>Previous experience, c</w:t>
            </w:r>
            <w:r w:rsidRPr="004E4218">
              <w:t>apability</w:t>
            </w:r>
            <w:r>
              <w:t xml:space="preserve"> and</w:t>
            </w:r>
            <w:r>
              <w:br/>
              <w:t>c</w:t>
            </w:r>
            <w:r w:rsidRPr="004E4218">
              <w:t>apacity</w:t>
            </w:r>
            <w:r>
              <w:t xml:space="preserve"> </w:t>
            </w:r>
          </w:p>
          <w:p w14:paraId="415F0473" w14:textId="77777777" w:rsidR="00F67B86" w:rsidRDefault="00F67B86" w:rsidP="001D1223"/>
        </w:tc>
        <w:tc>
          <w:tcPr>
            <w:tcW w:w="2251" w:type="pct"/>
            <w:shd w:val="clear" w:color="auto" w:fill="auto"/>
          </w:tcPr>
          <w:p w14:paraId="753A95FA" w14:textId="77777777" w:rsidR="00F67B86" w:rsidRDefault="00F67B86" w:rsidP="001D1223">
            <w:r>
              <w:t>The extent the Respondent demonstrates</w:t>
            </w:r>
            <w:r w:rsidDel="00613D38">
              <w:t>:</w:t>
            </w:r>
            <w:r>
              <w:t xml:space="preserve"> </w:t>
            </w:r>
          </w:p>
          <w:p w14:paraId="63988EBB" w14:textId="77777777" w:rsidR="00F67B86" w:rsidRPr="00112774" w:rsidRDefault="00F67B86" w:rsidP="001D1223">
            <w:pPr>
              <w:pStyle w:val="ListParagraph"/>
              <w:numPr>
                <w:ilvl w:val="0"/>
                <w:numId w:val="33"/>
              </w:numPr>
            </w:pPr>
            <w:r w:rsidRPr="00324C79">
              <w:t xml:space="preserve">a successful track record of delivering housing development projects of a similar (or more complex) type to the proposed Development  </w:t>
            </w:r>
          </w:p>
          <w:p w14:paraId="6EA87FF6" w14:textId="77777777" w:rsidR="00F67B86" w:rsidRPr="00C900E5" w:rsidRDefault="00F67B86" w:rsidP="001D1223">
            <w:pPr>
              <w:pStyle w:val="ListParagraph"/>
              <w:numPr>
                <w:ilvl w:val="0"/>
                <w:numId w:val="33"/>
              </w:numPr>
            </w:pPr>
            <w:r>
              <w:t xml:space="preserve">skills, </w:t>
            </w:r>
            <w:r w:rsidRPr="00E37626">
              <w:t xml:space="preserve">capability and </w:t>
            </w:r>
            <w:r>
              <w:t>capacity</w:t>
            </w:r>
            <w:r w:rsidRPr="00E37626">
              <w:t xml:space="preserve"> </w:t>
            </w:r>
            <w:r>
              <w:t>to:</w:t>
            </w:r>
          </w:p>
          <w:p w14:paraId="5141ED03" w14:textId="77777777" w:rsidR="00F67B86" w:rsidRPr="00112774" w:rsidRDefault="00F67B86" w:rsidP="001D1223">
            <w:pPr>
              <w:pStyle w:val="Bullets1"/>
              <w:ind w:left="1171" w:hanging="437"/>
            </w:pPr>
            <w:r>
              <w:t xml:space="preserve">successfully deliver and maintain the </w:t>
            </w:r>
            <w:r w:rsidDel="005075EE">
              <w:t xml:space="preserve">proposed </w:t>
            </w:r>
            <w:r>
              <w:t xml:space="preserve">Development </w:t>
            </w:r>
          </w:p>
          <w:p w14:paraId="692E749D" w14:textId="77777777" w:rsidR="00F67B86" w:rsidRPr="00324C79" w:rsidRDefault="00F67B86" w:rsidP="001D1223">
            <w:pPr>
              <w:pStyle w:val="Bullets1"/>
              <w:ind w:left="1171" w:hanging="437"/>
              <w:rPr>
                <w:rFonts w:eastAsia="Calibri"/>
                <w:lang w:val="en-NZ"/>
              </w:rPr>
            </w:pPr>
            <w:r>
              <w:t>manage the tenancies without ongoing Government assistance.</w:t>
            </w:r>
          </w:p>
        </w:tc>
        <w:tc>
          <w:tcPr>
            <w:tcW w:w="749" w:type="pct"/>
            <w:vAlign w:val="center"/>
          </w:tcPr>
          <w:p w14:paraId="363C93C9" w14:textId="4D1A1757" w:rsidR="00F67B86" w:rsidRDefault="00522747" w:rsidP="001D1223">
            <w:pPr>
              <w:jc w:val="center"/>
            </w:pPr>
            <w:r>
              <w:t>15</w:t>
            </w:r>
            <w:r w:rsidR="00F67B86">
              <w:t>%</w:t>
            </w:r>
          </w:p>
        </w:tc>
        <w:tc>
          <w:tcPr>
            <w:tcW w:w="1000" w:type="pct"/>
            <w:vAlign w:val="center"/>
          </w:tcPr>
          <w:p w14:paraId="4CFE5D4F" w14:textId="77777777" w:rsidR="00F67B86" w:rsidRPr="004E4218" w:rsidRDefault="00F67B86" w:rsidP="001D1223">
            <w:pPr>
              <w:rPr>
                <w:rFonts w:eastAsia="Calibri"/>
                <w:lang w:val="en-NZ" w:eastAsia="en-US"/>
              </w:rPr>
            </w:pPr>
            <w:r>
              <w:t>Schedules 2-5</w:t>
            </w:r>
          </w:p>
          <w:p w14:paraId="554E90FD" w14:textId="77777777" w:rsidR="00F67B86" w:rsidRDefault="00F67B86" w:rsidP="001D1223">
            <w:r>
              <w:t xml:space="preserve"> </w:t>
            </w:r>
          </w:p>
        </w:tc>
      </w:tr>
      <w:tr w:rsidR="00F67B86" w:rsidRPr="00EC099F" w14:paraId="156DC282" w14:textId="77777777" w:rsidTr="001D1223">
        <w:trPr>
          <w:cantSplit/>
          <w:trHeight w:val="1882"/>
        </w:trPr>
        <w:tc>
          <w:tcPr>
            <w:tcW w:w="1000" w:type="pct"/>
            <w:shd w:val="clear" w:color="auto" w:fill="auto"/>
          </w:tcPr>
          <w:p w14:paraId="743A5400" w14:textId="362BF9BD" w:rsidR="00F67B86" w:rsidRDefault="00BA2368" w:rsidP="001D1223">
            <w:proofErr w:type="gramStart"/>
            <w:r>
              <w:t xml:space="preserve">Accountability, </w:t>
            </w:r>
            <w:r w:rsidR="00F67B86">
              <w:t xml:space="preserve"> preparation</w:t>
            </w:r>
            <w:proofErr w:type="gramEnd"/>
            <w:r w:rsidR="00F67B86">
              <w:t xml:space="preserve"> and risk</w:t>
            </w:r>
          </w:p>
        </w:tc>
        <w:tc>
          <w:tcPr>
            <w:tcW w:w="2251" w:type="pct"/>
            <w:shd w:val="clear" w:color="auto" w:fill="auto"/>
          </w:tcPr>
          <w:p w14:paraId="7CB57AC2" w14:textId="77777777" w:rsidR="00F67B86" w:rsidRPr="005075EE" w:rsidRDefault="00F67B86" w:rsidP="001D1223">
            <w:r>
              <w:t>The extent to which the Respondent demonstrates:</w:t>
            </w:r>
          </w:p>
          <w:p w14:paraId="4C1B6009" w14:textId="40CDB027" w:rsidR="00AC6BEE" w:rsidRPr="001E5D60" w:rsidRDefault="00C42FAF" w:rsidP="001D1223">
            <w:pPr>
              <w:pStyle w:val="ListParagraph"/>
              <w:numPr>
                <w:ilvl w:val="0"/>
                <w:numId w:val="29"/>
              </w:numPr>
              <w:rPr>
                <w:rFonts w:eastAsia="Calibri"/>
                <w:lang w:val="en-NZ"/>
              </w:rPr>
            </w:pPr>
            <w:r>
              <w:rPr>
                <w:rFonts w:eastAsia="Calibri"/>
                <w:lang w:val="en-NZ"/>
              </w:rPr>
              <w:t>appropriate</w:t>
            </w:r>
            <w:r w:rsidR="00A359F4">
              <w:rPr>
                <w:rFonts w:eastAsia="Calibri"/>
                <w:lang w:val="en-NZ"/>
              </w:rPr>
              <w:t xml:space="preserve"> Accountability Processes</w:t>
            </w:r>
          </w:p>
          <w:p w14:paraId="593360EE" w14:textId="17DB1E05" w:rsidR="00F67B86" w:rsidRPr="00E07131" w:rsidRDefault="00F67B86" w:rsidP="001D1223">
            <w:pPr>
              <w:pStyle w:val="ListParagraph"/>
              <w:numPr>
                <w:ilvl w:val="0"/>
                <w:numId w:val="29"/>
              </w:numPr>
              <w:rPr>
                <w:rFonts w:eastAsia="Calibri"/>
                <w:lang w:val="en-NZ"/>
              </w:rPr>
            </w:pPr>
            <w:r>
              <w:t xml:space="preserve">readiness to commence the Development and </w:t>
            </w:r>
            <w:r w:rsidR="00EE4ADD">
              <w:t xml:space="preserve">ability </w:t>
            </w:r>
            <w:r>
              <w:t>to complete it within</w:t>
            </w:r>
            <w:r w:rsidRPr="004E4218">
              <w:t xml:space="preserve"> the required timeframe</w:t>
            </w:r>
            <w:r>
              <w:t xml:space="preserve"> </w:t>
            </w:r>
          </w:p>
          <w:p w14:paraId="231A7F6D" w14:textId="61AD634F" w:rsidR="00F67B86" w:rsidRDefault="00F67B86" w:rsidP="001D1223">
            <w:pPr>
              <w:pStyle w:val="ListParagraph"/>
              <w:numPr>
                <w:ilvl w:val="0"/>
                <w:numId w:val="33"/>
              </w:numPr>
            </w:pPr>
            <w:r>
              <w:t xml:space="preserve">suitable risk management processes </w:t>
            </w:r>
          </w:p>
        </w:tc>
        <w:tc>
          <w:tcPr>
            <w:tcW w:w="749" w:type="pct"/>
            <w:vAlign w:val="center"/>
          </w:tcPr>
          <w:p w14:paraId="4A9740D4" w14:textId="50189E34" w:rsidR="00F67B86" w:rsidDel="00613D38" w:rsidRDefault="00F67B86" w:rsidP="001D1223">
            <w:pPr>
              <w:jc w:val="center"/>
            </w:pPr>
            <w:r>
              <w:t>1</w:t>
            </w:r>
            <w:r w:rsidR="00AC6BEE">
              <w:t>5</w:t>
            </w:r>
            <w:r>
              <w:t>%</w:t>
            </w:r>
          </w:p>
        </w:tc>
        <w:tc>
          <w:tcPr>
            <w:tcW w:w="1000" w:type="pct"/>
            <w:vAlign w:val="center"/>
          </w:tcPr>
          <w:p w14:paraId="279EE2C1" w14:textId="632EBBD1" w:rsidR="00F67B86" w:rsidRDefault="009A725D" w:rsidP="001D1223">
            <w:r>
              <w:t>Schedules 2 &amp; 5</w:t>
            </w:r>
          </w:p>
        </w:tc>
      </w:tr>
      <w:tr w:rsidR="00F67B86" w:rsidRPr="00EC099F" w14:paraId="606D2A72" w14:textId="77777777" w:rsidTr="001D1223">
        <w:trPr>
          <w:cantSplit/>
          <w:trHeight w:val="840"/>
        </w:trPr>
        <w:tc>
          <w:tcPr>
            <w:tcW w:w="1000" w:type="pct"/>
            <w:shd w:val="clear" w:color="auto" w:fill="auto"/>
          </w:tcPr>
          <w:p w14:paraId="2ECBB824" w14:textId="77777777" w:rsidR="00F67B86" w:rsidRPr="004E4218" w:rsidRDefault="00F67B86" w:rsidP="001D1223">
            <w:r>
              <w:t>Leverage of VPF contribution</w:t>
            </w:r>
          </w:p>
        </w:tc>
        <w:tc>
          <w:tcPr>
            <w:tcW w:w="2251" w:type="pct"/>
            <w:shd w:val="clear" w:color="auto" w:fill="auto"/>
          </w:tcPr>
          <w:p w14:paraId="5863F86C" w14:textId="77777777" w:rsidR="00F67B86" w:rsidRPr="001947E3" w:rsidRDefault="00F67B86" w:rsidP="001D1223">
            <w:r>
              <w:t xml:space="preserve">The extent that the </w:t>
            </w:r>
            <w:r w:rsidRPr="00D94A24">
              <w:t>VPF’s contribution will be leveraged by</w:t>
            </w:r>
            <w:r>
              <w:t xml:space="preserve"> </w:t>
            </w:r>
            <w:r w:rsidDel="00BF3E69">
              <w:t>other</w:t>
            </w:r>
            <w:r w:rsidRPr="00D94A24" w:rsidDel="00BF3E69">
              <w:t xml:space="preserve"> </w:t>
            </w:r>
            <w:r w:rsidRPr="00D94A24">
              <w:t xml:space="preserve">contributions </w:t>
            </w:r>
          </w:p>
        </w:tc>
        <w:tc>
          <w:tcPr>
            <w:tcW w:w="749" w:type="pct"/>
            <w:vAlign w:val="center"/>
          </w:tcPr>
          <w:p w14:paraId="0E3E1BAF" w14:textId="72CCA72F" w:rsidR="00F67B86" w:rsidRDefault="00E235C4" w:rsidP="001D1223">
            <w:pPr>
              <w:jc w:val="center"/>
            </w:pPr>
            <w:r>
              <w:t>10</w:t>
            </w:r>
            <w:r w:rsidR="00F67B86">
              <w:t>%</w:t>
            </w:r>
          </w:p>
        </w:tc>
        <w:tc>
          <w:tcPr>
            <w:tcW w:w="1000" w:type="pct"/>
            <w:vAlign w:val="center"/>
          </w:tcPr>
          <w:p w14:paraId="7FB8B0E2" w14:textId="77777777" w:rsidR="00F67B86" w:rsidRPr="004E4218" w:rsidRDefault="00F67B86" w:rsidP="001D1223">
            <w:pPr>
              <w:rPr>
                <w:rFonts w:eastAsia="Calibri"/>
                <w:lang w:val="en-NZ" w:eastAsia="en-US"/>
              </w:rPr>
            </w:pPr>
            <w:r w:rsidRPr="004E4218">
              <w:t>Schedule</w:t>
            </w:r>
            <w:r>
              <w:t>s 2 &amp;</w:t>
            </w:r>
            <w:r w:rsidRPr="004E4218">
              <w:t xml:space="preserve"> </w:t>
            </w:r>
            <w:r>
              <w:t>6</w:t>
            </w:r>
            <w:r w:rsidRPr="004E4218">
              <w:t xml:space="preserve"> </w:t>
            </w:r>
          </w:p>
          <w:p w14:paraId="6B66C3A9" w14:textId="77777777" w:rsidR="00F67B86" w:rsidRPr="004E4218" w:rsidRDefault="00F67B86" w:rsidP="001D1223">
            <w:r w:rsidRPr="004E4218">
              <w:t xml:space="preserve"> </w:t>
            </w:r>
          </w:p>
        </w:tc>
      </w:tr>
      <w:tr w:rsidR="00F67B86" w:rsidRPr="00EC099F" w14:paraId="10871235" w14:textId="77777777" w:rsidTr="001D1223">
        <w:trPr>
          <w:cantSplit/>
          <w:trHeight w:val="674"/>
        </w:trPr>
        <w:tc>
          <w:tcPr>
            <w:tcW w:w="1000" w:type="pct"/>
            <w:shd w:val="clear" w:color="auto" w:fill="auto"/>
          </w:tcPr>
          <w:p w14:paraId="57024196" w14:textId="77777777" w:rsidR="00F67B86" w:rsidRPr="004E4218" w:rsidRDefault="00F67B86" w:rsidP="001D1223">
            <w:pPr>
              <w:rPr>
                <w:rFonts w:eastAsia="Calibri"/>
                <w:lang w:val="en-NZ" w:eastAsia="en-US"/>
              </w:rPr>
            </w:pPr>
            <w:r w:rsidRPr="004E4218">
              <w:t xml:space="preserve">Value for </w:t>
            </w:r>
            <w:r>
              <w:t>m</w:t>
            </w:r>
            <w:r w:rsidRPr="004E4218">
              <w:t>oney</w:t>
            </w:r>
            <w:r>
              <w:t xml:space="preserve"> – Quantitative </w:t>
            </w:r>
          </w:p>
        </w:tc>
        <w:tc>
          <w:tcPr>
            <w:tcW w:w="2251" w:type="pct"/>
            <w:shd w:val="clear" w:color="auto" w:fill="auto"/>
          </w:tcPr>
          <w:p w14:paraId="0C9B0018" w14:textId="77777777" w:rsidR="00F67B86" w:rsidRPr="004E4218" w:rsidRDefault="00F67B86" w:rsidP="001D1223">
            <w:pPr>
              <w:rPr>
                <w:lang w:val="en-NZ"/>
              </w:rPr>
            </w:pPr>
            <w:r>
              <w:t>The extent the Development will deliver quantitative housing benefits (e.g. numbers of units and bedrooms, costs per unit or bedroom)</w:t>
            </w:r>
          </w:p>
        </w:tc>
        <w:tc>
          <w:tcPr>
            <w:tcW w:w="749" w:type="pct"/>
            <w:vAlign w:val="center"/>
          </w:tcPr>
          <w:p w14:paraId="315F6213" w14:textId="30369A2E" w:rsidR="00F67B86" w:rsidRPr="004E4218" w:rsidRDefault="00121FBB" w:rsidP="001D1223">
            <w:pPr>
              <w:jc w:val="center"/>
              <w:rPr>
                <w:rFonts w:eastAsia="Calibri"/>
                <w:lang w:val="en-NZ" w:eastAsia="en-US"/>
              </w:rPr>
            </w:pPr>
            <w:r>
              <w:t>20</w:t>
            </w:r>
            <w:r w:rsidR="00F67B86">
              <w:t>%</w:t>
            </w:r>
          </w:p>
        </w:tc>
        <w:tc>
          <w:tcPr>
            <w:tcW w:w="1000" w:type="pct"/>
            <w:vAlign w:val="center"/>
          </w:tcPr>
          <w:p w14:paraId="792BD4AF" w14:textId="40CE8778" w:rsidR="002768BC" w:rsidRPr="004E4218" w:rsidRDefault="002768BC" w:rsidP="002768BC">
            <w:pPr>
              <w:rPr>
                <w:rFonts w:eastAsia="Calibri"/>
                <w:lang w:val="en-NZ" w:eastAsia="en-US"/>
              </w:rPr>
            </w:pPr>
            <w:r w:rsidRPr="004E4218">
              <w:t>Schedule</w:t>
            </w:r>
            <w:r w:rsidR="007E1148">
              <w:t>s 2 &amp;</w:t>
            </w:r>
            <w:r w:rsidRPr="004E4218">
              <w:t xml:space="preserve"> </w:t>
            </w:r>
            <w:r>
              <w:t>6</w:t>
            </w:r>
            <w:r w:rsidRPr="004E4218">
              <w:t xml:space="preserve"> </w:t>
            </w:r>
          </w:p>
          <w:p w14:paraId="33424613" w14:textId="77777777" w:rsidR="00F67B86" w:rsidRPr="004E4218" w:rsidRDefault="00F67B86" w:rsidP="001D1223">
            <w:pPr>
              <w:rPr>
                <w:rFonts w:eastAsia="Calibri"/>
                <w:lang w:val="en-NZ" w:eastAsia="en-US"/>
              </w:rPr>
            </w:pPr>
          </w:p>
        </w:tc>
      </w:tr>
      <w:tr w:rsidR="00F67B86" w:rsidRPr="00EC099F" w14:paraId="0826190F" w14:textId="77777777" w:rsidTr="001D1223">
        <w:trPr>
          <w:cantSplit/>
          <w:trHeight w:val="840"/>
        </w:trPr>
        <w:tc>
          <w:tcPr>
            <w:tcW w:w="1000" w:type="pct"/>
            <w:shd w:val="clear" w:color="auto" w:fill="auto"/>
          </w:tcPr>
          <w:p w14:paraId="28D243C9" w14:textId="77777777" w:rsidR="00F67B86" w:rsidRPr="004E4218" w:rsidRDefault="00F67B86" w:rsidP="001D1223">
            <w:r>
              <w:lastRenderedPageBreak/>
              <w:t xml:space="preserve">Value for money – Qualitative </w:t>
            </w:r>
          </w:p>
        </w:tc>
        <w:tc>
          <w:tcPr>
            <w:tcW w:w="2251" w:type="pct"/>
            <w:shd w:val="clear" w:color="auto" w:fill="auto"/>
          </w:tcPr>
          <w:p w14:paraId="257F4944" w14:textId="426F9CA3" w:rsidR="00F67B86" w:rsidRDefault="00F67B86" w:rsidP="001D1223">
            <w:r>
              <w:t>The extent the Development will deliver desired qualitative housing outcomes and broader social</w:t>
            </w:r>
            <w:r w:rsidR="009A725D">
              <w:t>, health</w:t>
            </w:r>
            <w:r>
              <w:t xml:space="preserve"> </w:t>
            </w:r>
            <w:r w:rsidR="00522747">
              <w:t xml:space="preserve">and environmental </w:t>
            </w:r>
            <w:r>
              <w:t xml:space="preserve">benefits </w:t>
            </w:r>
          </w:p>
        </w:tc>
        <w:tc>
          <w:tcPr>
            <w:tcW w:w="749" w:type="pct"/>
            <w:vAlign w:val="center"/>
          </w:tcPr>
          <w:p w14:paraId="1F2A87FA" w14:textId="77777777" w:rsidR="00F67B86" w:rsidRDefault="00F67B86" w:rsidP="001D1223">
            <w:pPr>
              <w:jc w:val="center"/>
            </w:pPr>
            <w:r>
              <w:t>25%</w:t>
            </w:r>
          </w:p>
        </w:tc>
        <w:tc>
          <w:tcPr>
            <w:tcW w:w="1000" w:type="pct"/>
            <w:vAlign w:val="center"/>
          </w:tcPr>
          <w:p w14:paraId="3FF4121E" w14:textId="7A016C77" w:rsidR="00522747" w:rsidRPr="004E4218" w:rsidRDefault="00522747" w:rsidP="00522747">
            <w:pPr>
              <w:rPr>
                <w:rFonts w:eastAsia="Calibri"/>
                <w:lang w:val="en-NZ" w:eastAsia="en-US"/>
              </w:rPr>
            </w:pPr>
            <w:r w:rsidRPr="004E4218">
              <w:t>Schedule</w:t>
            </w:r>
            <w:r>
              <w:t>s 2, 6</w:t>
            </w:r>
            <w:r w:rsidRPr="004E4218">
              <w:t xml:space="preserve"> </w:t>
            </w:r>
            <w:r>
              <w:t>&amp; 7</w:t>
            </w:r>
          </w:p>
          <w:p w14:paraId="3DAF463B" w14:textId="77777777" w:rsidR="00F67B86" w:rsidRPr="004E4218" w:rsidRDefault="00F67B86" w:rsidP="001D1223"/>
        </w:tc>
      </w:tr>
      <w:tr w:rsidR="00F67B86" w:rsidRPr="00EC099F" w14:paraId="2BA4BDF9" w14:textId="77777777" w:rsidTr="001D1223">
        <w:trPr>
          <w:cantSplit/>
          <w:trHeight w:val="840"/>
        </w:trPr>
        <w:tc>
          <w:tcPr>
            <w:tcW w:w="1000" w:type="pct"/>
            <w:shd w:val="clear" w:color="auto" w:fill="auto"/>
          </w:tcPr>
          <w:p w14:paraId="389BFCD6" w14:textId="291C6160" w:rsidR="00F67B86" w:rsidRPr="00000C5C" w:rsidRDefault="000D4B91" w:rsidP="001D1223">
            <w:r>
              <w:t>Environmentally sustainable</w:t>
            </w:r>
            <w:r w:rsidR="00F67B86" w:rsidRPr="00000C5C">
              <w:t xml:space="preserve"> housing outcomes</w:t>
            </w:r>
          </w:p>
        </w:tc>
        <w:tc>
          <w:tcPr>
            <w:tcW w:w="2251" w:type="pct"/>
            <w:shd w:val="clear" w:color="auto" w:fill="auto"/>
          </w:tcPr>
          <w:p w14:paraId="533F73E9" w14:textId="1810918C" w:rsidR="00F67B86" w:rsidRPr="00000C5C" w:rsidRDefault="00F67B86" w:rsidP="001D1223">
            <w:r w:rsidRPr="00000C5C">
              <w:t xml:space="preserve">The extent the </w:t>
            </w:r>
            <w:r w:rsidR="00522747">
              <w:t>proposal</w:t>
            </w:r>
            <w:r w:rsidRPr="00000C5C">
              <w:t xml:space="preserve"> will:</w:t>
            </w:r>
          </w:p>
          <w:p w14:paraId="58F8C13E" w14:textId="77777777" w:rsidR="00EE4ADD" w:rsidRDefault="00F67B86" w:rsidP="001D1223">
            <w:pPr>
              <w:pStyle w:val="ListParagraph"/>
              <w:numPr>
                <w:ilvl w:val="0"/>
                <w:numId w:val="32"/>
              </w:numPr>
            </w:pPr>
            <w:r w:rsidRPr="00000C5C">
              <w:t>incorporate environmentally sustainable design features</w:t>
            </w:r>
          </w:p>
          <w:p w14:paraId="444E8723" w14:textId="113A0F24" w:rsidR="00F67B86" w:rsidRPr="00000C5C" w:rsidRDefault="00F67B86" w:rsidP="001D1223">
            <w:pPr>
              <w:pStyle w:val="ListParagraph"/>
              <w:numPr>
                <w:ilvl w:val="0"/>
                <w:numId w:val="32"/>
              </w:numPr>
            </w:pPr>
            <w:r w:rsidRPr="00000C5C">
              <w:t>deliver a competitive star rating</w:t>
            </w:r>
          </w:p>
          <w:p w14:paraId="760A9F92" w14:textId="683B43BE" w:rsidR="00F67B86" w:rsidRPr="00000C5C" w:rsidRDefault="00F67B86" w:rsidP="00BF6AF5">
            <w:pPr>
              <w:pStyle w:val="ListParagraph"/>
              <w:numPr>
                <w:ilvl w:val="0"/>
                <w:numId w:val="32"/>
              </w:numPr>
            </w:pPr>
            <w:r w:rsidRPr="00000C5C">
              <w:t>be</w:t>
            </w:r>
            <w:r w:rsidR="00522747">
              <w:t xml:space="preserve"> tested and</w:t>
            </w:r>
            <w:r w:rsidRPr="00000C5C">
              <w:t xml:space="preserve"> </w:t>
            </w:r>
            <w:r w:rsidR="00522747">
              <w:t>verified</w:t>
            </w:r>
            <w:r w:rsidRPr="00000C5C">
              <w:t xml:space="preserve"> for as-built compliance</w:t>
            </w:r>
          </w:p>
        </w:tc>
        <w:tc>
          <w:tcPr>
            <w:tcW w:w="749" w:type="pct"/>
            <w:vAlign w:val="center"/>
          </w:tcPr>
          <w:p w14:paraId="1098A944" w14:textId="2E8BA6CA" w:rsidR="00F67B86" w:rsidRDefault="00522747" w:rsidP="001D1223">
            <w:pPr>
              <w:jc w:val="center"/>
            </w:pPr>
            <w:r>
              <w:t>15</w:t>
            </w:r>
            <w:r w:rsidR="00F67B86">
              <w:t>%</w:t>
            </w:r>
          </w:p>
        </w:tc>
        <w:tc>
          <w:tcPr>
            <w:tcW w:w="1000" w:type="pct"/>
            <w:vAlign w:val="center"/>
          </w:tcPr>
          <w:p w14:paraId="4BA247AE" w14:textId="0BDE4C2B" w:rsidR="00F67B86" w:rsidRPr="004E4218" w:rsidRDefault="00F67B86" w:rsidP="001D1223">
            <w:r>
              <w:t>Schedule 7</w:t>
            </w:r>
          </w:p>
        </w:tc>
      </w:tr>
    </w:tbl>
    <w:p w14:paraId="5FC9EDBC" w14:textId="0C99C4A9" w:rsidR="003A1D4B" w:rsidRPr="006D2FB9" w:rsidRDefault="003A1D4B" w:rsidP="00A87A8B">
      <w:pPr>
        <w:tabs>
          <w:tab w:val="left" w:pos="1008"/>
        </w:tabs>
      </w:pPr>
      <w:bookmarkStart w:id="193" w:name="_GoBack"/>
      <w:bookmarkEnd w:id="192"/>
      <w:bookmarkEnd w:id="193"/>
    </w:p>
    <w:sectPr w:rsidR="003A1D4B" w:rsidRPr="006D2FB9" w:rsidSect="00302F8F">
      <w:headerReference w:type="default" r:id="rId21"/>
      <w:footerReference w:type="default" r:id="rId22"/>
      <w:headerReference w:type="first" r:id="rId23"/>
      <w:type w:val="continuous"/>
      <w:pgSz w:w="11906" w:h="16838" w:code="9"/>
      <w:pgMar w:top="1440" w:right="1800" w:bottom="1134"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3CF8F" w14:textId="77777777" w:rsidR="00573F07" w:rsidRDefault="00573F07" w:rsidP="00294CF2">
      <w:pPr>
        <w:spacing w:before="0" w:after="0"/>
      </w:pPr>
      <w:r>
        <w:separator/>
      </w:r>
    </w:p>
  </w:endnote>
  <w:endnote w:type="continuationSeparator" w:id="0">
    <w:p w14:paraId="4B369396" w14:textId="77777777" w:rsidR="00573F07" w:rsidRDefault="00573F07" w:rsidP="00294C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8CE6" w14:textId="781CF41D" w:rsidR="00BA2368" w:rsidRDefault="00A87A8B" w:rsidP="00A87A8B">
    <w:pPr>
      <w:pStyle w:val="Footer"/>
      <w:tabs>
        <w:tab w:val="clear" w:pos="8640"/>
        <w:tab w:val="right" w:pos="8222"/>
      </w:tabs>
    </w:pPr>
    <w:r w:rsidRPr="002202E8">
      <w:t>CD/</w:t>
    </w:r>
    <w:r>
      <w:t>18/600429</w:t>
    </w:r>
    <w:r>
      <w:tab/>
    </w:r>
    <w:r>
      <w:tab/>
    </w:r>
    <w:r w:rsidR="00BA2368">
      <w:rPr>
        <w:rStyle w:val="PageNumber"/>
      </w:rPr>
      <w:fldChar w:fldCharType="begin"/>
    </w:r>
    <w:r w:rsidR="00BA2368">
      <w:rPr>
        <w:rStyle w:val="PageNumber"/>
      </w:rPr>
      <w:instrText xml:space="preserve"> PAGE </w:instrText>
    </w:r>
    <w:r w:rsidR="00BA2368">
      <w:rPr>
        <w:rStyle w:val="PageNumber"/>
      </w:rPr>
      <w:fldChar w:fldCharType="separate"/>
    </w:r>
    <w:r w:rsidR="00BA2368">
      <w:rPr>
        <w:rStyle w:val="PageNumber"/>
        <w:noProof/>
      </w:rPr>
      <w:t>15</w:t>
    </w:r>
    <w:r w:rsidR="00BA2368">
      <w:rPr>
        <w:rStyle w:val="PageNumber"/>
      </w:rPr>
      <w:fldChar w:fldCharType="end"/>
    </w:r>
    <w:r w:rsidR="00BA2368">
      <w:rPr>
        <w:rStyle w:val="PageNumber"/>
      </w:rPr>
      <w:t xml:space="preserve"> of </w:t>
    </w:r>
    <w:r w:rsidR="00BA2368">
      <w:rPr>
        <w:rStyle w:val="PageNumber"/>
      </w:rPr>
      <w:fldChar w:fldCharType="begin"/>
    </w:r>
    <w:r w:rsidR="00BA2368">
      <w:rPr>
        <w:rStyle w:val="PageNumber"/>
      </w:rPr>
      <w:instrText xml:space="preserve"> NUMPAGES   \* MERGEFORMAT </w:instrText>
    </w:r>
    <w:r w:rsidR="00BA2368">
      <w:rPr>
        <w:rStyle w:val="PageNumber"/>
      </w:rPr>
      <w:fldChar w:fldCharType="separate"/>
    </w:r>
    <w:r w:rsidR="00BA2368">
      <w:rPr>
        <w:rStyle w:val="PageNumber"/>
        <w:noProof/>
      </w:rPr>
      <w:t>15</w:t>
    </w:r>
    <w:r w:rsidR="00BA236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0C45" w14:textId="77777777" w:rsidR="00573F07" w:rsidRDefault="00573F07" w:rsidP="00294CF2">
      <w:pPr>
        <w:spacing w:before="0" w:after="0"/>
      </w:pPr>
      <w:r>
        <w:separator/>
      </w:r>
    </w:p>
  </w:footnote>
  <w:footnote w:type="continuationSeparator" w:id="0">
    <w:p w14:paraId="4FCA39F8" w14:textId="77777777" w:rsidR="00573F07" w:rsidRDefault="00573F07" w:rsidP="00294CF2">
      <w:pPr>
        <w:spacing w:before="0" w:after="0"/>
      </w:pPr>
      <w:r>
        <w:continuationSeparator/>
      </w:r>
    </w:p>
  </w:footnote>
  <w:footnote w:id="1">
    <w:p w14:paraId="00C4666B" w14:textId="038BF932" w:rsidR="00BA2368" w:rsidRPr="00324C79" w:rsidRDefault="00BA2368" w:rsidP="00720072">
      <w:pPr>
        <w:pStyle w:val="FootnoteText"/>
        <w:rPr>
          <w:rFonts w:ascii="Arial" w:hAnsi="Arial" w:cs="Arial"/>
          <w:sz w:val="18"/>
          <w:szCs w:val="18"/>
        </w:rPr>
      </w:pPr>
      <w:r w:rsidRPr="00324C79">
        <w:rPr>
          <w:rStyle w:val="FootnoteReference"/>
          <w:rFonts w:ascii="Arial" w:hAnsi="Arial" w:cs="Arial"/>
          <w:sz w:val="18"/>
          <w:szCs w:val="18"/>
        </w:rPr>
        <w:footnoteRef/>
      </w:r>
      <w:r w:rsidRPr="00324C79">
        <w:rPr>
          <w:rFonts w:ascii="Arial" w:hAnsi="Arial" w:cs="Arial"/>
          <w:sz w:val="18"/>
          <w:szCs w:val="18"/>
        </w:rPr>
        <w:t xml:space="preserve"> </w:t>
      </w:r>
      <w:r>
        <w:rPr>
          <w:rFonts w:ascii="Arial" w:hAnsi="Arial" w:cs="Arial"/>
          <w:sz w:val="18"/>
          <w:szCs w:val="18"/>
        </w:rPr>
        <w:t>C</w:t>
      </w:r>
      <w:r w:rsidRPr="00324C79">
        <w:rPr>
          <w:rFonts w:ascii="Arial" w:hAnsi="Arial" w:cs="Arial"/>
          <w:sz w:val="18"/>
          <w:szCs w:val="18"/>
        </w:rPr>
        <w:t xml:space="preserve">lass references </w:t>
      </w:r>
      <w:r>
        <w:rPr>
          <w:rFonts w:ascii="Arial" w:hAnsi="Arial" w:cs="Arial"/>
          <w:sz w:val="18"/>
          <w:szCs w:val="18"/>
        </w:rPr>
        <w:t xml:space="preserve">are to the National </w:t>
      </w:r>
      <w:r w:rsidRPr="00324C79">
        <w:rPr>
          <w:rFonts w:ascii="Arial" w:hAnsi="Arial" w:cs="Arial"/>
          <w:sz w:val="18"/>
          <w:szCs w:val="18"/>
        </w:rPr>
        <w:t>Building Code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9207" w14:textId="3203213F" w:rsidR="00BA2368" w:rsidRDefault="00BA2368" w:rsidP="00D177A3">
    <w:pPr>
      <w:pStyle w:val="Header"/>
    </w:pPr>
    <w:r>
      <w:rPr>
        <w:rFonts w:cs="Arial"/>
      </w:rPr>
      <w:t xml:space="preserve">Invitation for Expression of Interest - VPF Housing Funding Round 2018-19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CA81" w14:textId="3B4B0D87" w:rsidR="00BA2368" w:rsidRDefault="00BA2368">
    <w:pPr>
      <w:pStyle w:val="Header"/>
    </w:pPr>
    <w:r>
      <w:rPr>
        <w:noProof/>
        <w:lang w:eastAsia="en-AU"/>
      </w:rPr>
      <w:drawing>
        <wp:anchor distT="0" distB="0" distL="114300" distR="114300" simplePos="0" relativeHeight="251657216" behindDoc="0" locked="0" layoutInCell="1" allowOverlap="1" wp14:anchorId="37D2128B" wp14:editId="6809547E">
          <wp:simplePos x="0" y="0"/>
          <wp:positionH relativeFrom="column">
            <wp:posOffset>-1174899</wp:posOffset>
          </wp:positionH>
          <wp:positionV relativeFrom="paragraph">
            <wp:posOffset>-460213</wp:posOffset>
          </wp:positionV>
          <wp:extent cx="7591647" cy="10734878"/>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keholder Kit - front page.jpg"/>
                  <pic:cNvPicPr/>
                </pic:nvPicPr>
                <pic:blipFill>
                  <a:blip r:embed="rId1">
                    <a:extLst>
                      <a:ext uri="{28A0092B-C50C-407E-A947-70E740481C1C}">
                        <a14:useLocalDpi xmlns:a14="http://schemas.microsoft.com/office/drawing/2010/main" val="0"/>
                      </a:ext>
                    </a:extLst>
                  </a:blip>
                  <a:stretch>
                    <a:fillRect/>
                  </a:stretch>
                </pic:blipFill>
                <pic:spPr>
                  <a:xfrm>
                    <a:off x="0" y="0"/>
                    <a:ext cx="7600655" cy="10747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6F"/>
    <w:multiLevelType w:val="multilevel"/>
    <w:tmpl w:val="9C865AD2"/>
    <w:lvl w:ilvl="0">
      <w:start w:val="1"/>
      <w:numFmt w:val="decimal"/>
      <w:pStyle w:val="Heading1"/>
      <w:lvlText w:val="%1"/>
      <w:lvlJc w:val="left"/>
      <w:pPr>
        <w:ind w:left="360" w:hanging="360"/>
      </w:pPr>
      <w:rPr>
        <w:rFonts w:cs="Times New Roman"/>
        <w:b/>
        <w:bCs/>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Theme="minorBidi" w:hAnsiTheme="minorBidi" w:cstheme="minorBidi" w:hint="default"/>
        <w:b w:val="0"/>
        <w:bCs/>
        <w:i w:val="0"/>
        <w:sz w:val="28"/>
        <w:szCs w:val="28"/>
      </w:rPr>
    </w:lvl>
    <w:lvl w:ilvl="2">
      <w:start w:val="1"/>
      <w:numFmt w:val="decimal"/>
      <w:pStyle w:val="Heading3"/>
      <w:lvlText w:val="%1.%2.%3"/>
      <w:lvlJc w:val="left"/>
      <w:pPr>
        <w:tabs>
          <w:tab w:val="num" w:pos="720"/>
        </w:tabs>
        <w:ind w:left="720" w:hanging="720"/>
      </w:pPr>
      <w:rPr>
        <w:rFonts w:cs="Times New Roman"/>
        <w:b w:val="0"/>
        <w:bCs/>
        <w:i w:val="0"/>
        <w:iCs w:val="0"/>
        <w:caps w:val="0"/>
        <w:smallCaps w:val="0"/>
        <w:strike w:val="0"/>
        <w:dstrike w:val="0"/>
        <w:outline w:val="0"/>
        <w:shadow w:val="0"/>
        <w:emboss w:val="0"/>
        <w:imprint w:val="0"/>
        <w:noProof w:val="0"/>
        <w:vanish w:val="0"/>
        <w:spacing w:val="0"/>
        <w:kern w:val="0"/>
        <w:position w:val="0"/>
        <w:sz w:val="24"/>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F3C4F"/>
    <w:multiLevelType w:val="hybridMultilevel"/>
    <w:tmpl w:val="CC22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61EF7"/>
    <w:multiLevelType w:val="hybridMultilevel"/>
    <w:tmpl w:val="503A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17011"/>
    <w:multiLevelType w:val="hybridMultilevel"/>
    <w:tmpl w:val="4F0A8E16"/>
    <w:lvl w:ilvl="0" w:tplc="3DC8A61A">
      <w:start w:val="1"/>
      <w:numFmt w:val="bullet"/>
      <w:pStyle w:val="ListBullet"/>
      <w:lvlText w:val=""/>
      <w:lvlJc w:val="left"/>
      <w:pPr>
        <w:ind w:left="720" w:hanging="720"/>
      </w:pPr>
      <w:rPr>
        <w:rFonts w:ascii="Symbol" w:hAnsi="Symbol" w:hint="default"/>
      </w:rPr>
    </w:lvl>
    <w:lvl w:ilvl="1" w:tplc="836C5302">
      <w:numFmt w:val="bullet"/>
      <w:pStyle w:val="Bullets1"/>
      <w:lvlText w:val="•"/>
      <w:lvlJc w:val="left"/>
      <w:pPr>
        <w:ind w:left="1800" w:hanging="720"/>
      </w:pPr>
      <w:rPr>
        <w:rFonts w:ascii="Verdana" w:eastAsiaTheme="minorEastAsia" w:hAnsi="Verdan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504E"/>
    <w:multiLevelType w:val="hybridMultilevel"/>
    <w:tmpl w:val="1930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85971"/>
    <w:multiLevelType w:val="hybridMultilevel"/>
    <w:tmpl w:val="31A6F3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E936CE7"/>
    <w:multiLevelType w:val="hybridMultilevel"/>
    <w:tmpl w:val="6D1AD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600676"/>
    <w:multiLevelType w:val="hybridMultilevel"/>
    <w:tmpl w:val="3256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1644F1"/>
    <w:multiLevelType w:val="hybridMultilevel"/>
    <w:tmpl w:val="0FB4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F051E"/>
    <w:multiLevelType w:val="hybridMultilevel"/>
    <w:tmpl w:val="2D56BE56"/>
    <w:lvl w:ilvl="0" w:tplc="F962B70A">
      <w:start w:val="1"/>
      <w:numFmt w:val="decimal"/>
      <w:pStyle w:val="AlisonsNumbers"/>
      <w:lvlText w:val="%1"/>
      <w:lvlJc w:val="left"/>
      <w:pPr>
        <w:tabs>
          <w:tab w:val="num" w:pos="567"/>
        </w:tabs>
        <w:ind w:left="567" w:hanging="567"/>
      </w:pPr>
      <w:rPr>
        <w:rFonts w:ascii="Verdana" w:hAnsi="Verdana"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265E9"/>
    <w:multiLevelType w:val="hybridMultilevel"/>
    <w:tmpl w:val="BD2A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F63E2"/>
    <w:multiLevelType w:val="hybridMultilevel"/>
    <w:tmpl w:val="4D1E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430848"/>
    <w:multiLevelType w:val="hybridMultilevel"/>
    <w:tmpl w:val="E54C5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970146"/>
    <w:multiLevelType w:val="multilevel"/>
    <w:tmpl w:val="7CFC59C0"/>
    <w:styleLink w:val="Bullets"/>
    <w:lvl w:ilvl="0">
      <w:start w:val="1"/>
      <w:numFmt w:val="bullet"/>
      <w:pStyle w:val="Bullet1"/>
      <w:lvlText w:val=""/>
      <w:lvlJc w:val="left"/>
      <w:pPr>
        <w:tabs>
          <w:tab w:val="num" w:pos="709"/>
        </w:tabs>
        <w:ind w:left="1389" w:hanging="680"/>
      </w:pPr>
      <w:rPr>
        <w:rFonts w:ascii="Wingdings" w:hAnsi="Wingdings" w:hint="default"/>
        <w:color w:val="FF0000"/>
      </w:rPr>
    </w:lvl>
    <w:lvl w:ilvl="1">
      <w:start w:val="1"/>
      <w:numFmt w:val="none"/>
      <w:pStyle w:val="Bullet2"/>
      <w:lvlText w:val="-"/>
      <w:lvlJc w:val="left"/>
      <w:pPr>
        <w:tabs>
          <w:tab w:val="num" w:pos="0"/>
        </w:tabs>
        <w:ind w:left="1361" w:hanging="681"/>
      </w:pPr>
      <w:rPr>
        <w:rFonts w:hint="default"/>
      </w:rPr>
    </w:lvl>
    <w:lvl w:ilvl="2">
      <w:start w:val="1"/>
      <w:numFmt w:val="bullet"/>
      <w:pStyle w:val="Bullet3"/>
      <w:lvlText w:val=""/>
      <w:lvlJc w:val="left"/>
      <w:pPr>
        <w:tabs>
          <w:tab w:val="num" w:pos="0"/>
        </w:tabs>
        <w:ind w:left="2041" w:hanging="68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AD56BFC"/>
    <w:multiLevelType w:val="hybridMultilevel"/>
    <w:tmpl w:val="68BAFE74"/>
    <w:lvl w:ilvl="0" w:tplc="EF2883AA">
      <w:start w:val="1"/>
      <w:numFmt w:val="decimal"/>
      <w:pStyle w:val="headingtable"/>
      <w:lvlText w:val="Table %1 -"/>
      <w:lvlJc w:val="left"/>
      <w:pPr>
        <w:tabs>
          <w:tab w:val="num" w:pos="1021"/>
        </w:tabs>
        <w:ind w:left="1021" w:hanging="1021"/>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43BF4"/>
    <w:multiLevelType w:val="hybridMultilevel"/>
    <w:tmpl w:val="5A6E8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1A2363"/>
    <w:multiLevelType w:val="hybridMultilevel"/>
    <w:tmpl w:val="487AC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555B3"/>
    <w:multiLevelType w:val="hybridMultilevel"/>
    <w:tmpl w:val="0E3A4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754713"/>
    <w:multiLevelType w:val="hybridMultilevel"/>
    <w:tmpl w:val="C8C00D90"/>
    <w:lvl w:ilvl="0" w:tplc="8BE67AF0">
      <w:start w:val="1"/>
      <w:numFmt w:val="decimal"/>
      <w:pStyle w:val="headingfigure"/>
      <w:lvlText w:val="Figure %1 -"/>
      <w:lvlJc w:val="left"/>
      <w:pPr>
        <w:tabs>
          <w:tab w:val="num" w:pos="1077"/>
        </w:tabs>
        <w:ind w:left="1021" w:hanging="1021"/>
      </w:pPr>
      <w:rPr>
        <w:rFonts w:ascii="Verdana" w:hAnsi="Verdan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9A59D2"/>
    <w:multiLevelType w:val="hybridMultilevel"/>
    <w:tmpl w:val="D1F089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D8136A0"/>
    <w:multiLevelType w:val="hybridMultilevel"/>
    <w:tmpl w:val="91FC0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91FD7"/>
    <w:multiLevelType w:val="hybridMultilevel"/>
    <w:tmpl w:val="687CD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D0CD1"/>
    <w:multiLevelType w:val="hybridMultilevel"/>
    <w:tmpl w:val="9E70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6100B0"/>
    <w:multiLevelType w:val="hybridMultilevel"/>
    <w:tmpl w:val="0232B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CB08A5"/>
    <w:multiLevelType w:val="hybridMultilevel"/>
    <w:tmpl w:val="9170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0"/>
  </w:num>
  <w:num w:numId="5">
    <w:abstractNumId w:val="3"/>
  </w:num>
  <w:num w:numId="6">
    <w:abstractNumId w:val="13"/>
  </w:num>
  <w:num w:numId="7">
    <w:abstractNumId w:val="2"/>
  </w:num>
  <w:num w:numId="8">
    <w:abstractNumId w:val="19"/>
  </w:num>
  <w:num w:numId="9">
    <w:abstractNumId w:val="3"/>
  </w:num>
  <w:num w:numId="10">
    <w:abstractNumId w:val="23"/>
  </w:num>
  <w:num w:numId="11">
    <w:abstractNumId w:val="6"/>
  </w:num>
  <w:num w:numId="12">
    <w:abstractNumId w:val="4"/>
  </w:num>
  <w:num w:numId="13">
    <w:abstractNumId w:val="0"/>
  </w:num>
  <w:num w:numId="14">
    <w:abstractNumId w:val="22"/>
  </w:num>
  <w:num w:numId="15">
    <w:abstractNumId w:val="5"/>
  </w:num>
  <w:num w:numId="16">
    <w:abstractNumId w:val="3"/>
  </w:num>
  <w:num w:numId="17">
    <w:abstractNumId w:val="16"/>
  </w:num>
  <w:num w:numId="18">
    <w:abstractNumId w:val="1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7"/>
  </w:num>
  <w:num w:numId="28">
    <w:abstractNumId w:val="7"/>
  </w:num>
  <w:num w:numId="29">
    <w:abstractNumId w:val="24"/>
  </w:num>
  <w:num w:numId="30">
    <w:abstractNumId w:val="21"/>
  </w:num>
  <w:num w:numId="31">
    <w:abstractNumId w:val="10"/>
  </w:num>
  <w:num w:numId="32">
    <w:abstractNumId w:val="12"/>
  </w:num>
  <w:num w:numId="33">
    <w:abstractNumId w:val="20"/>
  </w:num>
  <w:num w:numId="34">
    <w:abstractNumId w:val="3"/>
  </w:num>
  <w:num w:numId="35">
    <w:abstractNumId w:val="8"/>
  </w:num>
  <w:num w:numId="36">
    <w:abstractNumId w:val="1"/>
  </w:num>
  <w:num w:numId="37">
    <w:abstractNumId w:val="15"/>
  </w:num>
  <w:num w:numId="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58"/>
    <w:rsid w:val="0000044F"/>
    <w:rsid w:val="00000F42"/>
    <w:rsid w:val="00001FCF"/>
    <w:rsid w:val="00005C36"/>
    <w:rsid w:val="00005E9D"/>
    <w:rsid w:val="00006AA5"/>
    <w:rsid w:val="000105C3"/>
    <w:rsid w:val="000105CC"/>
    <w:rsid w:val="00012328"/>
    <w:rsid w:val="00013845"/>
    <w:rsid w:val="00014197"/>
    <w:rsid w:val="000142D2"/>
    <w:rsid w:val="00020066"/>
    <w:rsid w:val="000234B7"/>
    <w:rsid w:val="00024A39"/>
    <w:rsid w:val="00024AE5"/>
    <w:rsid w:val="00025242"/>
    <w:rsid w:val="00026169"/>
    <w:rsid w:val="0003085B"/>
    <w:rsid w:val="0003135B"/>
    <w:rsid w:val="000323AE"/>
    <w:rsid w:val="00035047"/>
    <w:rsid w:val="00036275"/>
    <w:rsid w:val="00041D98"/>
    <w:rsid w:val="00045A40"/>
    <w:rsid w:val="00046AF8"/>
    <w:rsid w:val="00046B73"/>
    <w:rsid w:val="00050A5F"/>
    <w:rsid w:val="00051838"/>
    <w:rsid w:val="00051E1D"/>
    <w:rsid w:val="00052B8D"/>
    <w:rsid w:val="00054929"/>
    <w:rsid w:val="00055C06"/>
    <w:rsid w:val="00064018"/>
    <w:rsid w:val="0006568A"/>
    <w:rsid w:val="0006590D"/>
    <w:rsid w:val="0006635B"/>
    <w:rsid w:val="00066840"/>
    <w:rsid w:val="00070FDD"/>
    <w:rsid w:val="00071AB6"/>
    <w:rsid w:val="000760CC"/>
    <w:rsid w:val="0008075A"/>
    <w:rsid w:val="00083FFC"/>
    <w:rsid w:val="000855C5"/>
    <w:rsid w:val="000865BA"/>
    <w:rsid w:val="00086DE4"/>
    <w:rsid w:val="00087334"/>
    <w:rsid w:val="00087389"/>
    <w:rsid w:val="00091E98"/>
    <w:rsid w:val="00091EC3"/>
    <w:rsid w:val="00095D4A"/>
    <w:rsid w:val="000A0C89"/>
    <w:rsid w:val="000A1449"/>
    <w:rsid w:val="000A28F5"/>
    <w:rsid w:val="000A4877"/>
    <w:rsid w:val="000B271F"/>
    <w:rsid w:val="000B27CD"/>
    <w:rsid w:val="000B2F4B"/>
    <w:rsid w:val="000B4EE6"/>
    <w:rsid w:val="000B5D3C"/>
    <w:rsid w:val="000B72CF"/>
    <w:rsid w:val="000C46FE"/>
    <w:rsid w:val="000C5447"/>
    <w:rsid w:val="000C66FE"/>
    <w:rsid w:val="000D26EB"/>
    <w:rsid w:val="000D4B91"/>
    <w:rsid w:val="000D5B59"/>
    <w:rsid w:val="000D77F3"/>
    <w:rsid w:val="000D7F8A"/>
    <w:rsid w:val="000E2DE5"/>
    <w:rsid w:val="000E2E26"/>
    <w:rsid w:val="000E2EC8"/>
    <w:rsid w:val="000E6FB7"/>
    <w:rsid w:val="000F1A5C"/>
    <w:rsid w:val="000F4166"/>
    <w:rsid w:val="000F4B66"/>
    <w:rsid w:val="000F50DE"/>
    <w:rsid w:val="000F617D"/>
    <w:rsid w:val="000F79E0"/>
    <w:rsid w:val="000F7A42"/>
    <w:rsid w:val="0010056B"/>
    <w:rsid w:val="00104387"/>
    <w:rsid w:val="00106436"/>
    <w:rsid w:val="00106BE3"/>
    <w:rsid w:val="00112774"/>
    <w:rsid w:val="00117477"/>
    <w:rsid w:val="00117BA6"/>
    <w:rsid w:val="00121FBB"/>
    <w:rsid w:val="00123D0A"/>
    <w:rsid w:val="0012692C"/>
    <w:rsid w:val="00126A60"/>
    <w:rsid w:val="001275E2"/>
    <w:rsid w:val="00130BC6"/>
    <w:rsid w:val="001336ED"/>
    <w:rsid w:val="001374C4"/>
    <w:rsid w:val="001400E2"/>
    <w:rsid w:val="0014168B"/>
    <w:rsid w:val="00143344"/>
    <w:rsid w:val="00143DEF"/>
    <w:rsid w:val="00145036"/>
    <w:rsid w:val="00145886"/>
    <w:rsid w:val="00146183"/>
    <w:rsid w:val="00146686"/>
    <w:rsid w:val="001467A8"/>
    <w:rsid w:val="00146B7A"/>
    <w:rsid w:val="00146CBE"/>
    <w:rsid w:val="001471E1"/>
    <w:rsid w:val="00150C8B"/>
    <w:rsid w:val="00153D17"/>
    <w:rsid w:val="00154FEF"/>
    <w:rsid w:val="00155AD0"/>
    <w:rsid w:val="00156FE8"/>
    <w:rsid w:val="00157A43"/>
    <w:rsid w:val="0016024C"/>
    <w:rsid w:val="00161993"/>
    <w:rsid w:val="00163088"/>
    <w:rsid w:val="00166842"/>
    <w:rsid w:val="00167FCC"/>
    <w:rsid w:val="001774C8"/>
    <w:rsid w:val="00180E6E"/>
    <w:rsid w:val="00180EA4"/>
    <w:rsid w:val="00182B09"/>
    <w:rsid w:val="00183749"/>
    <w:rsid w:val="00184085"/>
    <w:rsid w:val="00185427"/>
    <w:rsid w:val="00186D11"/>
    <w:rsid w:val="001947E3"/>
    <w:rsid w:val="00194B42"/>
    <w:rsid w:val="00197D0F"/>
    <w:rsid w:val="001A13DD"/>
    <w:rsid w:val="001A4E23"/>
    <w:rsid w:val="001B1A6C"/>
    <w:rsid w:val="001B346C"/>
    <w:rsid w:val="001B504E"/>
    <w:rsid w:val="001B6ACF"/>
    <w:rsid w:val="001B6D15"/>
    <w:rsid w:val="001C358C"/>
    <w:rsid w:val="001C47C0"/>
    <w:rsid w:val="001C4A22"/>
    <w:rsid w:val="001C53E5"/>
    <w:rsid w:val="001D06F8"/>
    <w:rsid w:val="001D1223"/>
    <w:rsid w:val="001D191F"/>
    <w:rsid w:val="001D3CB1"/>
    <w:rsid w:val="001D422B"/>
    <w:rsid w:val="001E16C8"/>
    <w:rsid w:val="001E2549"/>
    <w:rsid w:val="001E2E14"/>
    <w:rsid w:val="001E5D60"/>
    <w:rsid w:val="001E5D93"/>
    <w:rsid w:val="001F162C"/>
    <w:rsid w:val="001F4E5D"/>
    <w:rsid w:val="00200D1D"/>
    <w:rsid w:val="00201564"/>
    <w:rsid w:val="00202FAF"/>
    <w:rsid w:val="00203CC4"/>
    <w:rsid w:val="00204A5B"/>
    <w:rsid w:val="00205D22"/>
    <w:rsid w:val="0020668A"/>
    <w:rsid w:val="00207059"/>
    <w:rsid w:val="00207CCA"/>
    <w:rsid w:val="00213C28"/>
    <w:rsid w:val="00213E7B"/>
    <w:rsid w:val="00214E27"/>
    <w:rsid w:val="00215688"/>
    <w:rsid w:val="00215862"/>
    <w:rsid w:val="00215969"/>
    <w:rsid w:val="00215B9E"/>
    <w:rsid w:val="00217944"/>
    <w:rsid w:val="002202E8"/>
    <w:rsid w:val="00222B2F"/>
    <w:rsid w:val="00227079"/>
    <w:rsid w:val="0022729A"/>
    <w:rsid w:val="002276AB"/>
    <w:rsid w:val="00231B90"/>
    <w:rsid w:val="00231DA9"/>
    <w:rsid w:val="00233A1D"/>
    <w:rsid w:val="00233FAD"/>
    <w:rsid w:val="00234EDC"/>
    <w:rsid w:val="002368F0"/>
    <w:rsid w:val="00240E3C"/>
    <w:rsid w:val="002423C3"/>
    <w:rsid w:val="00242472"/>
    <w:rsid w:val="00243C02"/>
    <w:rsid w:val="00245DC9"/>
    <w:rsid w:val="002460DD"/>
    <w:rsid w:val="00247E76"/>
    <w:rsid w:val="00254CC1"/>
    <w:rsid w:val="002602D6"/>
    <w:rsid w:val="00263168"/>
    <w:rsid w:val="002662FD"/>
    <w:rsid w:val="00266DB1"/>
    <w:rsid w:val="002711D1"/>
    <w:rsid w:val="00272938"/>
    <w:rsid w:val="002734BA"/>
    <w:rsid w:val="002749FF"/>
    <w:rsid w:val="00275E3D"/>
    <w:rsid w:val="00276230"/>
    <w:rsid w:val="002768BC"/>
    <w:rsid w:val="002776CC"/>
    <w:rsid w:val="0028024E"/>
    <w:rsid w:val="00281F80"/>
    <w:rsid w:val="00282EDE"/>
    <w:rsid w:val="00284AF8"/>
    <w:rsid w:val="00285012"/>
    <w:rsid w:val="00285EE3"/>
    <w:rsid w:val="002911C8"/>
    <w:rsid w:val="00293171"/>
    <w:rsid w:val="002948FE"/>
    <w:rsid w:val="00294CF2"/>
    <w:rsid w:val="002A296B"/>
    <w:rsid w:val="002A3FDE"/>
    <w:rsid w:val="002A40A9"/>
    <w:rsid w:val="002A4BE7"/>
    <w:rsid w:val="002A7E93"/>
    <w:rsid w:val="002B06FC"/>
    <w:rsid w:val="002B0A61"/>
    <w:rsid w:val="002B45C7"/>
    <w:rsid w:val="002B573C"/>
    <w:rsid w:val="002B7749"/>
    <w:rsid w:val="002C5D71"/>
    <w:rsid w:val="002C686D"/>
    <w:rsid w:val="002D2BA7"/>
    <w:rsid w:val="002D7FCC"/>
    <w:rsid w:val="002E280C"/>
    <w:rsid w:val="002F2889"/>
    <w:rsid w:val="002F3ABF"/>
    <w:rsid w:val="002F446D"/>
    <w:rsid w:val="002F6646"/>
    <w:rsid w:val="002F7A74"/>
    <w:rsid w:val="00300F51"/>
    <w:rsid w:val="00302F8F"/>
    <w:rsid w:val="00306196"/>
    <w:rsid w:val="003114F9"/>
    <w:rsid w:val="0031281A"/>
    <w:rsid w:val="00320391"/>
    <w:rsid w:val="00320C9A"/>
    <w:rsid w:val="00320ED8"/>
    <w:rsid w:val="00322526"/>
    <w:rsid w:val="00324567"/>
    <w:rsid w:val="00324574"/>
    <w:rsid w:val="00324895"/>
    <w:rsid w:val="00324E39"/>
    <w:rsid w:val="003251F8"/>
    <w:rsid w:val="00326ED7"/>
    <w:rsid w:val="00327198"/>
    <w:rsid w:val="00333F9F"/>
    <w:rsid w:val="00336866"/>
    <w:rsid w:val="00336A14"/>
    <w:rsid w:val="003374B9"/>
    <w:rsid w:val="00341644"/>
    <w:rsid w:val="00342516"/>
    <w:rsid w:val="003445AF"/>
    <w:rsid w:val="00346F8D"/>
    <w:rsid w:val="0034716E"/>
    <w:rsid w:val="00354C6B"/>
    <w:rsid w:val="00355002"/>
    <w:rsid w:val="00357C0A"/>
    <w:rsid w:val="00360209"/>
    <w:rsid w:val="003633BE"/>
    <w:rsid w:val="00363E57"/>
    <w:rsid w:val="00370467"/>
    <w:rsid w:val="00371C58"/>
    <w:rsid w:val="003725DE"/>
    <w:rsid w:val="003742C3"/>
    <w:rsid w:val="00381315"/>
    <w:rsid w:val="0038186A"/>
    <w:rsid w:val="003833BB"/>
    <w:rsid w:val="0038412E"/>
    <w:rsid w:val="003842C7"/>
    <w:rsid w:val="00385309"/>
    <w:rsid w:val="003854D9"/>
    <w:rsid w:val="003863C6"/>
    <w:rsid w:val="00386F07"/>
    <w:rsid w:val="0038719C"/>
    <w:rsid w:val="00387B0D"/>
    <w:rsid w:val="00392A20"/>
    <w:rsid w:val="00394F81"/>
    <w:rsid w:val="00395B98"/>
    <w:rsid w:val="00396B70"/>
    <w:rsid w:val="003A0106"/>
    <w:rsid w:val="003A1D4B"/>
    <w:rsid w:val="003A4CCD"/>
    <w:rsid w:val="003A6114"/>
    <w:rsid w:val="003A7995"/>
    <w:rsid w:val="003B378F"/>
    <w:rsid w:val="003B3E38"/>
    <w:rsid w:val="003B42C1"/>
    <w:rsid w:val="003B5C24"/>
    <w:rsid w:val="003C18F4"/>
    <w:rsid w:val="003C450F"/>
    <w:rsid w:val="003C593E"/>
    <w:rsid w:val="003C619B"/>
    <w:rsid w:val="003D184A"/>
    <w:rsid w:val="003D2815"/>
    <w:rsid w:val="003D426D"/>
    <w:rsid w:val="003D4743"/>
    <w:rsid w:val="003D6968"/>
    <w:rsid w:val="003E2832"/>
    <w:rsid w:val="003E3054"/>
    <w:rsid w:val="003E4831"/>
    <w:rsid w:val="003E4913"/>
    <w:rsid w:val="003E56AE"/>
    <w:rsid w:val="003E75FF"/>
    <w:rsid w:val="003F0003"/>
    <w:rsid w:val="003F3838"/>
    <w:rsid w:val="003F49CE"/>
    <w:rsid w:val="003F631E"/>
    <w:rsid w:val="004027AF"/>
    <w:rsid w:val="00404B79"/>
    <w:rsid w:val="0040771F"/>
    <w:rsid w:val="00411E7F"/>
    <w:rsid w:val="0041572C"/>
    <w:rsid w:val="00421EF3"/>
    <w:rsid w:val="00422714"/>
    <w:rsid w:val="00422A98"/>
    <w:rsid w:val="00424062"/>
    <w:rsid w:val="00425B1C"/>
    <w:rsid w:val="00426025"/>
    <w:rsid w:val="004262E4"/>
    <w:rsid w:val="004263AC"/>
    <w:rsid w:val="0043321B"/>
    <w:rsid w:val="00433615"/>
    <w:rsid w:val="00434654"/>
    <w:rsid w:val="00435F45"/>
    <w:rsid w:val="00436033"/>
    <w:rsid w:val="004402F1"/>
    <w:rsid w:val="0044080E"/>
    <w:rsid w:val="0044107E"/>
    <w:rsid w:val="00441853"/>
    <w:rsid w:val="004429A2"/>
    <w:rsid w:val="00443238"/>
    <w:rsid w:val="00443DD7"/>
    <w:rsid w:val="00444C0B"/>
    <w:rsid w:val="00445186"/>
    <w:rsid w:val="00452C52"/>
    <w:rsid w:val="0045320A"/>
    <w:rsid w:val="0045420E"/>
    <w:rsid w:val="00456D62"/>
    <w:rsid w:val="00457BFC"/>
    <w:rsid w:val="00457C96"/>
    <w:rsid w:val="00460804"/>
    <w:rsid w:val="00460C19"/>
    <w:rsid w:val="00461576"/>
    <w:rsid w:val="00462564"/>
    <w:rsid w:val="004637C2"/>
    <w:rsid w:val="004641C3"/>
    <w:rsid w:val="00464693"/>
    <w:rsid w:val="00464D16"/>
    <w:rsid w:val="00467C02"/>
    <w:rsid w:val="00467D1B"/>
    <w:rsid w:val="00470030"/>
    <w:rsid w:val="00471B5B"/>
    <w:rsid w:val="00472CC7"/>
    <w:rsid w:val="00473658"/>
    <w:rsid w:val="00474309"/>
    <w:rsid w:val="00477043"/>
    <w:rsid w:val="00480023"/>
    <w:rsid w:val="00481254"/>
    <w:rsid w:val="0048330E"/>
    <w:rsid w:val="00486CC8"/>
    <w:rsid w:val="00491163"/>
    <w:rsid w:val="00495853"/>
    <w:rsid w:val="004960F5"/>
    <w:rsid w:val="004A002D"/>
    <w:rsid w:val="004A1513"/>
    <w:rsid w:val="004A203E"/>
    <w:rsid w:val="004A2541"/>
    <w:rsid w:val="004B2E23"/>
    <w:rsid w:val="004B320C"/>
    <w:rsid w:val="004B5053"/>
    <w:rsid w:val="004B52C5"/>
    <w:rsid w:val="004B7A67"/>
    <w:rsid w:val="004C02D9"/>
    <w:rsid w:val="004C5CEA"/>
    <w:rsid w:val="004C64D7"/>
    <w:rsid w:val="004D4349"/>
    <w:rsid w:val="004D43F0"/>
    <w:rsid w:val="004D458C"/>
    <w:rsid w:val="004D591E"/>
    <w:rsid w:val="004E1E22"/>
    <w:rsid w:val="004E212D"/>
    <w:rsid w:val="004E3C83"/>
    <w:rsid w:val="004E4144"/>
    <w:rsid w:val="004E4218"/>
    <w:rsid w:val="004E7137"/>
    <w:rsid w:val="004E7E71"/>
    <w:rsid w:val="004F2DB2"/>
    <w:rsid w:val="004F5CC1"/>
    <w:rsid w:val="004F7B67"/>
    <w:rsid w:val="0050162F"/>
    <w:rsid w:val="005029FC"/>
    <w:rsid w:val="0050524F"/>
    <w:rsid w:val="005075EE"/>
    <w:rsid w:val="00513AE1"/>
    <w:rsid w:val="00515A0C"/>
    <w:rsid w:val="0051609C"/>
    <w:rsid w:val="005208CD"/>
    <w:rsid w:val="0052163B"/>
    <w:rsid w:val="00522747"/>
    <w:rsid w:val="0052285A"/>
    <w:rsid w:val="00527BF8"/>
    <w:rsid w:val="00531792"/>
    <w:rsid w:val="00532F42"/>
    <w:rsid w:val="00545C17"/>
    <w:rsid w:val="00546923"/>
    <w:rsid w:val="00546CE7"/>
    <w:rsid w:val="00552348"/>
    <w:rsid w:val="005548BB"/>
    <w:rsid w:val="00554CB6"/>
    <w:rsid w:val="005558B0"/>
    <w:rsid w:val="00556279"/>
    <w:rsid w:val="00556CFB"/>
    <w:rsid w:val="005575CA"/>
    <w:rsid w:val="00561F03"/>
    <w:rsid w:val="00564CAD"/>
    <w:rsid w:val="0056538E"/>
    <w:rsid w:val="00565D5A"/>
    <w:rsid w:val="00566F41"/>
    <w:rsid w:val="005705AF"/>
    <w:rsid w:val="0057098F"/>
    <w:rsid w:val="00570D7A"/>
    <w:rsid w:val="00573F07"/>
    <w:rsid w:val="005740A8"/>
    <w:rsid w:val="00576CAD"/>
    <w:rsid w:val="005813A8"/>
    <w:rsid w:val="00583D8E"/>
    <w:rsid w:val="005866C6"/>
    <w:rsid w:val="00587C28"/>
    <w:rsid w:val="00590B5E"/>
    <w:rsid w:val="00592217"/>
    <w:rsid w:val="005922E7"/>
    <w:rsid w:val="0059437A"/>
    <w:rsid w:val="00594881"/>
    <w:rsid w:val="00595FB2"/>
    <w:rsid w:val="005A2B70"/>
    <w:rsid w:val="005A3B9F"/>
    <w:rsid w:val="005A5756"/>
    <w:rsid w:val="005A6116"/>
    <w:rsid w:val="005A7CFF"/>
    <w:rsid w:val="005B34AE"/>
    <w:rsid w:val="005B46E5"/>
    <w:rsid w:val="005B4D68"/>
    <w:rsid w:val="005B6BC6"/>
    <w:rsid w:val="005B7920"/>
    <w:rsid w:val="005C1129"/>
    <w:rsid w:val="005C1C60"/>
    <w:rsid w:val="005D43D5"/>
    <w:rsid w:val="005D58AB"/>
    <w:rsid w:val="005D6741"/>
    <w:rsid w:val="005E25F2"/>
    <w:rsid w:val="005E3D49"/>
    <w:rsid w:val="005E6F96"/>
    <w:rsid w:val="005F090E"/>
    <w:rsid w:val="005F0A92"/>
    <w:rsid w:val="005F1037"/>
    <w:rsid w:val="005F1AD9"/>
    <w:rsid w:val="005F3C57"/>
    <w:rsid w:val="005F406A"/>
    <w:rsid w:val="00600A1B"/>
    <w:rsid w:val="00613D38"/>
    <w:rsid w:val="006145D6"/>
    <w:rsid w:val="00614B62"/>
    <w:rsid w:val="0061591F"/>
    <w:rsid w:val="006173A5"/>
    <w:rsid w:val="00621255"/>
    <w:rsid w:val="0062183A"/>
    <w:rsid w:val="00623847"/>
    <w:rsid w:val="00626252"/>
    <w:rsid w:val="006276EC"/>
    <w:rsid w:val="00633084"/>
    <w:rsid w:val="0063589F"/>
    <w:rsid w:val="00635C91"/>
    <w:rsid w:val="00636755"/>
    <w:rsid w:val="00641235"/>
    <w:rsid w:val="00641D0B"/>
    <w:rsid w:val="0064224F"/>
    <w:rsid w:val="00642795"/>
    <w:rsid w:val="00643B7D"/>
    <w:rsid w:val="006469E4"/>
    <w:rsid w:val="006479BA"/>
    <w:rsid w:val="00651E17"/>
    <w:rsid w:val="00652222"/>
    <w:rsid w:val="0065349F"/>
    <w:rsid w:val="00653D52"/>
    <w:rsid w:val="00654D2C"/>
    <w:rsid w:val="00655047"/>
    <w:rsid w:val="0065661A"/>
    <w:rsid w:val="00656DD2"/>
    <w:rsid w:val="00661724"/>
    <w:rsid w:val="0066213A"/>
    <w:rsid w:val="006624A1"/>
    <w:rsid w:val="00663B9A"/>
    <w:rsid w:val="00667BDE"/>
    <w:rsid w:val="00667E57"/>
    <w:rsid w:val="00672113"/>
    <w:rsid w:val="00673291"/>
    <w:rsid w:val="006738C3"/>
    <w:rsid w:val="00674018"/>
    <w:rsid w:val="006746A5"/>
    <w:rsid w:val="0067617E"/>
    <w:rsid w:val="00676657"/>
    <w:rsid w:val="00677106"/>
    <w:rsid w:val="00677227"/>
    <w:rsid w:val="00680106"/>
    <w:rsid w:val="00680424"/>
    <w:rsid w:val="00680C03"/>
    <w:rsid w:val="00681123"/>
    <w:rsid w:val="00682854"/>
    <w:rsid w:val="0068347F"/>
    <w:rsid w:val="00684046"/>
    <w:rsid w:val="0068570B"/>
    <w:rsid w:val="006870BA"/>
    <w:rsid w:val="00690F9F"/>
    <w:rsid w:val="00692528"/>
    <w:rsid w:val="0069380C"/>
    <w:rsid w:val="0069513A"/>
    <w:rsid w:val="00695AB8"/>
    <w:rsid w:val="00697237"/>
    <w:rsid w:val="00697C51"/>
    <w:rsid w:val="006A12B1"/>
    <w:rsid w:val="006A1DBF"/>
    <w:rsid w:val="006A53C7"/>
    <w:rsid w:val="006A5869"/>
    <w:rsid w:val="006A789A"/>
    <w:rsid w:val="006B0888"/>
    <w:rsid w:val="006B176F"/>
    <w:rsid w:val="006B29C1"/>
    <w:rsid w:val="006C111E"/>
    <w:rsid w:val="006C2CF7"/>
    <w:rsid w:val="006C3456"/>
    <w:rsid w:val="006C3C63"/>
    <w:rsid w:val="006C4D16"/>
    <w:rsid w:val="006C4D1A"/>
    <w:rsid w:val="006C52FB"/>
    <w:rsid w:val="006C5FC9"/>
    <w:rsid w:val="006C660A"/>
    <w:rsid w:val="006C6D2E"/>
    <w:rsid w:val="006D17AC"/>
    <w:rsid w:val="006D1FFB"/>
    <w:rsid w:val="006D2FB9"/>
    <w:rsid w:val="006D3074"/>
    <w:rsid w:val="006D39E0"/>
    <w:rsid w:val="006D41AF"/>
    <w:rsid w:val="006D428F"/>
    <w:rsid w:val="006D5157"/>
    <w:rsid w:val="006E1A75"/>
    <w:rsid w:val="006E2D2C"/>
    <w:rsid w:val="006E3492"/>
    <w:rsid w:val="006E3B33"/>
    <w:rsid w:val="006E5E41"/>
    <w:rsid w:val="006F2F68"/>
    <w:rsid w:val="006F3105"/>
    <w:rsid w:val="006F7A2C"/>
    <w:rsid w:val="00700529"/>
    <w:rsid w:val="00700BFB"/>
    <w:rsid w:val="00701A47"/>
    <w:rsid w:val="007031D0"/>
    <w:rsid w:val="007074CF"/>
    <w:rsid w:val="00707D5B"/>
    <w:rsid w:val="00710301"/>
    <w:rsid w:val="007112B1"/>
    <w:rsid w:val="00711DD2"/>
    <w:rsid w:val="00712B7F"/>
    <w:rsid w:val="00713FEF"/>
    <w:rsid w:val="00714A66"/>
    <w:rsid w:val="00720071"/>
    <w:rsid w:val="00720072"/>
    <w:rsid w:val="007209EF"/>
    <w:rsid w:val="00720A32"/>
    <w:rsid w:val="00724DD5"/>
    <w:rsid w:val="0072539A"/>
    <w:rsid w:val="007255FB"/>
    <w:rsid w:val="00726C2C"/>
    <w:rsid w:val="00730F09"/>
    <w:rsid w:val="007318C2"/>
    <w:rsid w:val="00733050"/>
    <w:rsid w:val="00737A2D"/>
    <w:rsid w:val="00740BEC"/>
    <w:rsid w:val="00745D0B"/>
    <w:rsid w:val="007472F3"/>
    <w:rsid w:val="00750091"/>
    <w:rsid w:val="00750289"/>
    <w:rsid w:val="007508DE"/>
    <w:rsid w:val="00750966"/>
    <w:rsid w:val="00751261"/>
    <w:rsid w:val="0075460F"/>
    <w:rsid w:val="007613FC"/>
    <w:rsid w:val="007615A2"/>
    <w:rsid w:val="00761845"/>
    <w:rsid w:val="00762D24"/>
    <w:rsid w:val="0076327C"/>
    <w:rsid w:val="00764495"/>
    <w:rsid w:val="0076555D"/>
    <w:rsid w:val="00766768"/>
    <w:rsid w:val="00766AF9"/>
    <w:rsid w:val="00770421"/>
    <w:rsid w:val="00775D33"/>
    <w:rsid w:val="0078026F"/>
    <w:rsid w:val="00780549"/>
    <w:rsid w:val="00780B16"/>
    <w:rsid w:val="00780C16"/>
    <w:rsid w:val="00780D5E"/>
    <w:rsid w:val="007829BF"/>
    <w:rsid w:val="00783D03"/>
    <w:rsid w:val="007840EE"/>
    <w:rsid w:val="007846BF"/>
    <w:rsid w:val="00784C88"/>
    <w:rsid w:val="00785315"/>
    <w:rsid w:val="0079188F"/>
    <w:rsid w:val="00793BF7"/>
    <w:rsid w:val="00795B52"/>
    <w:rsid w:val="00796957"/>
    <w:rsid w:val="007A1B20"/>
    <w:rsid w:val="007A26F1"/>
    <w:rsid w:val="007A32D9"/>
    <w:rsid w:val="007A4D0E"/>
    <w:rsid w:val="007A79DF"/>
    <w:rsid w:val="007B16DF"/>
    <w:rsid w:val="007B3A0F"/>
    <w:rsid w:val="007B3C79"/>
    <w:rsid w:val="007B68F7"/>
    <w:rsid w:val="007C0B1A"/>
    <w:rsid w:val="007C1639"/>
    <w:rsid w:val="007C16D2"/>
    <w:rsid w:val="007C1D74"/>
    <w:rsid w:val="007C2E90"/>
    <w:rsid w:val="007C30B7"/>
    <w:rsid w:val="007C313A"/>
    <w:rsid w:val="007C3C90"/>
    <w:rsid w:val="007C3F07"/>
    <w:rsid w:val="007C5018"/>
    <w:rsid w:val="007C65B2"/>
    <w:rsid w:val="007D143C"/>
    <w:rsid w:val="007D64B9"/>
    <w:rsid w:val="007E03E0"/>
    <w:rsid w:val="007E09C1"/>
    <w:rsid w:val="007E1148"/>
    <w:rsid w:val="007E20AF"/>
    <w:rsid w:val="007E4C6C"/>
    <w:rsid w:val="007E6B46"/>
    <w:rsid w:val="007F0FE7"/>
    <w:rsid w:val="007F1293"/>
    <w:rsid w:val="007F196E"/>
    <w:rsid w:val="007F2473"/>
    <w:rsid w:val="007F4685"/>
    <w:rsid w:val="007F5B9A"/>
    <w:rsid w:val="007F6988"/>
    <w:rsid w:val="007F6DE9"/>
    <w:rsid w:val="00802AE0"/>
    <w:rsid w:val="00803B3E"/>
    <w:rsid w:val="0080484E"/>
    <w:rsid w:val="008076CD"/>
    <w:rsid w:val="008107C4"/>
    <w:rsid w:val="008111C9"/>
    <w:rsid w:val="00811200"/>
    <w:rsid w:val="00812BAE"/>
    <w:rsid w:val="008163C7"/>
    <w:rsid w:val="00816716"/>
    <w:rsid w:val="008173EA"/>
    <w:rsid w:val="00821316"/>
    <w:rsid w:val="00821DD0"/>
    <w:rsid w:val="008228FD"/>
    <w:rsid w:val="00825783"/>
    <w:rsid w:val="00825DFE"/>
    <w:rsid w:val="00830280"/>
    <w:rsid w:val="0083069C"/>
    <w:rsid w:val="008347F0"/>
    <w:rsid w:val="00834E60"/>
    <w:rsid w:val="00835DBB"/>
    <w:rsid w:val="00836586"/>
    <w:rsid w:val="00836D47"/>
    <w:rsid w:val="00837E38"/>
    <w:rsid w:val="008414FC"/>
    <w:rsid w:val="00842E7B"/>
    <w:rsid w:val="00844B5D"/>
    <w:rsid w:val="008475F5"/>
    <w:rsid w:val="00847D1A"/>
    <w:rsid w:val="00851623"/>
    <w:rsid w:val="00851DE6"/>
    <w:rsid w:val="00852426"/>
    <w:rsid w:val="00853C0F"/>
    <w:rsid w:val="00855A86"/>
    <w:rsid w:val="0085652E"/>
    <w:rsid w:val="008623F1"/>
    <w:rsid w:val="00863DDC"/>
    <w:rsid w:val="00867DF9"/>
    <w:rsid w:val="00877423"/>
    <w:rsid w:val="008810AC"/>
    <w:rsid w:val="00883196"/>
    <w:rsid w:val="00885759"/>
    <w:rsid w:val="00885E30"/>
    <w:rsid w:val="0088721E"/>
    <w:rsid w:val="00891CBC"/>
    <w:rsid w:val="00892068"/>
    <w:rsid w:val="008931FC"/>
    <w:rsid w:val="008946B5"/>
    <w:rsid w:val="008966FA"/>
    <w:rsid w:val="008A1C5C"/>
    <w:rsid w:val="008A4B2A"/>
    <w:rsid w:val="008A51A1"/>
    <w:rsid w:val="008A60DE"/>
    <w:rsid w:val="008A752B"/>
    <w:rsid w:val="008B0434"/>
    <w:rsid w:val="008B3B16"/>
    <w:rsid w:val="008B746D"/>
    <w:rsid w:val="008C22C3"/>
    <w:rsid w:val="008C3A28"/>
    <w:rsid w:val="008C6374"/>
    <w:rsid w:val="008D256D"/>
    <w:rsid w:val="008D34E9"/>
    <w:rsid w:val="008D5C09"/>
    <w:rsid w:val="008E074A"/>
    <w:rsid w:val="008E1CD3"/>
    <w:rsid w:val="008E385C"/>
    <w:rsid w:val="008E6C30"/>
    <w:rsid w:val="008E72CB"/>
    <w:rsid w:val="008F046B"/>
    <w:rsid w:val="008F3BE3"/>
    <w:rsid w:val="00906616"/>
    <w:rsid w:val="00907F40"/>
    <w:rsid w:val="00910E78"/>
    <w:rsid w:val="00911B3C"/>
    <w:rsid w:val="009122AE"/>
    <w:rsid w:val="009171F9"/>
    <w:rsid w:val="00920653"/>
    <w:rsid w:val="009229E0"/>
    <w:rsid w:val="009242A2"/>
    <w:rsid w:val="00924584"/>
    <w:rsid w:val="0092588B"/>
    <w:rsid w:val="00926A7B"/>
    <w:rsid w:val="009279BC"/>
    <w:rsid w:val="0093006F"/>
    <w:rsid w:val="00934235"/>
    <w:rsid w:val="00936D90"/>
    <w:rsid w:val="00941134"/>
    <w:rsid w:val="00943713"/>
    <w:rsid w:val="009441AF"/>
    <w:rsid w:val="00944D23"/>
    <w:rsid w:val="009452C7"/>
    <w:rsid w:val="009468E2"/>
    <w:rsid w:val="0096030A"/>
    <w:rsid w:val="0096389E"/>
    <w:rsid w:val="00964CD7"/>
    <w:rsid w:val="00965E1D"/>
    <w:rsid w:val="009717CD"/>
    <w:rsid w:val="00972418"/>
    <w:rsid w:val="00974DBF"/>
    <w:rsid w:val="00975F5E"/>
    <w:rsid w:val="009800B2"/>
    <w:rsid w:val="00981BA3"/>
    <w:rsid w:val="00984858"/>
    <w:rsid w:val="00985EB5"/>
    <w:rsid w:val="009864C7"/>
    <w:rsid w:val="00991131"/>
    <w:rsid w:val="00991D50"/>
    <w:rsid w:val="0099350A"/>
    <w:rsid w:val="00994523"/>
    <w:rsid w:val="00996D75"/>
    <w:rsid w:val="009A0993"/>
    <w:rsid w:val="009A1BFF"/>
    <w:rsid w:val="009A418A"/>
    <w:rsid w:val="009A6B14"/>
    <w:rsid w:val="009A725D"/>
    <w:rsid w:val="009B3636"/>
    <w:rsid w:val="009C0AE1"/>
    <w:rsid w:val="009C2096"/>
    <w:rsid w:val="009C2B69"/>
    <w:rsid w:val="009C60BE"/>
    <w:rsid w:val="009C73BE"/>
    <w:rsid w:val="009C7A77"/>
    <w:rsid w:val="009C7B2C"/>
    <w:rsid w:val="009D6168"/>
    <w:rsid w:val="009E03AC"/>
    <w:rsid w:val="009E03F9"/>
    <w:rsid w:val="009E0D11"/>
    <w:rsid w:val="009E2FCB"/>
    <w:rsid w:val="009E3AF5"/>
    <w:rsid w:val="009E7A98"/>
    <w:rsid w:val="009F03AD"/>
    <w:rsid w:val="009F0E68"/>
    <w:rsid w:val="009F0FFA"/>
    <w:rsid w:val="009F18F4"/>
    <w:rsid w:val="009F3102"/>
    <w:rsid w:val="009F499B"/>
    <w:rsid w:val="009F5615"/>
    <w:rsid w:val="00A01594"/>
    <w:rsid w:val="00A0167E"/>
    <w:rsid w:val="00A01E3B"/>
    <w:rsid w:val="00A10077"/>
    <w:rsid w:val="00A14C4A"/>
    <w:rsid w:val="00A17C31"/>
    <w:rsid w:val="00A17EDD"/>
    <w:rsid w:val="00A21514"/>
    <w:rsid w:val="00A21B98"/>
    <w:rsid w:val="00A2277E"/>
    <w:rsid w:val="00A229A9"/>
    <w:rsid w:val="00A22DAA"/>
    <w:rsid w:val="00A24489"/>
    <w:rsid w:val="00A24A29"/>
    <w:rsid w:val="00A328C0"/>
    <w:rsid w:val="00A32CF9"/>
    <w:rsid w:val="00A331A6"/>
    <w:rsid w:val="00A337B0"/>
    <w:rsid w:val="00A34A18"/>
    <w:rsid w:val="00A34B9D"/>
    <w:rsid w:val="00A35749"/>
    <w:rsid w:val="00A359F4"/>
    <w:rsid w:val="00A366AC"/>
    <w:rsid w:val="00A3705E"/>
    <w:rsid w:val="00A41E68"/>
    <w:rsid w:val="00A47527"/>
    <w:rsid w:val="00A527BA"/>
    <w:rsid w:val="00A52C21"/>
    <w:rsid w:val="00A53DF2"/>
    <w:rsid w:val="00A55642"/>
    <w:rsid w:val="00A5639F"/>
    <w:rsid w:val="00A64305"/>
    <w:rsid w:val="00A66121"/>
    <w:rsid w:val="00A673CC"/>
    <w:rsid w:val="00A73F24"/>
    <w:rsid w:val="00A76104"/>
    <w:rsid w:val="00A76495"/>
    <w:rsid w:val="00A7714F"/>
    <w:rsid w:val="00A81C44"/>
    <w:rsid w:val="00A83762"/>
    <w:rsid w:val="00A847F0"/>
    <w:rsid w:val="00A85906"/>
    <w:rsid w:val="00A860F6"/>
    <w:rsid w:val="00A86F3E"/>
    <w:rsid w:val="00A875D6"/>
    <w:rsid w:val="00A87A8B"/>
    <w:rsid w:val="00A902B7"/>
    <w:rsid w:val="00A9097C"/>
    <w:rsid w:val="00A92C86"/>
    <w:rsid w:val="00A940C6"/>
    <w:rsid w:val="00A95304"/>
    <w:rsid w:val="00A96758"/>
    <w:rsid w:val="00AA52D9"/>
    <w:rsid w:val="00AA7799"/>
    <w:rsid w:val="00AA7E4A"/>
    <w:rsid w:val="00AA7EA9"/>
    <w:rsid w:val="00AB0E97"/>
    <w:rsid w:val="00AB1C7B"/>
    <w:rsid w:val="00AB2B5D"/>
    <w:rsid w:val="00AB4EEC"/>
    <w:rsid w:val="00AB7131"/>
    <w:rsid w:val="00AB7175"/>
    <w:rsid w:val="00AB7B87"/>
    <w:rsid w:val="00AC219A"/>
    <w:rsid w:val="00AC2661"/>
    <w:rsid w:val="00AC399A"/>
    <w:rsid w:val="00AC50C3"/>
    <w:rsid w:val="00AC5711"/>
    <w:rsid w:val="00AC6BEE"/>
    <w:rsid w:val="00AD0949"/>
    <w:rsid w:val="00AD09FF"/>
    <w:rsid w:val="00AD3D94"/>
    <w:rsid w:val="00AD4015"/>
    <w:rsid w:val="00AD5DBD"/>
    <w:rsid w:val="00AD62C3"/>
    <w:rsid w:val="00AD62FF"/>
    <w:rsid w:val="00AD6ED3"/>
    <w:rsid w:val="00AE01F2"/>
    <w:rsid w:val="00AE15FA"/>
    <w:rsid w:val="00AE2339"/>
    <w:rsid w:val="00AE42BC"/>
    <w:rsid w:val="00AE442E"/>
    <w:rsid w:val="00AE5ABA"/>
    <w:rsid w:val="00AE5DAC"/>
    <w:rsid w:val="00AE6103"/>
    <w:rsid w:val="00AE7DF2"/>
    <w:rsid w:val="00AF1E5F"/>
    <w:rsid w:val="00AF35DE"/>
    <w:rsid w:val="00AF3BEA"/>
    <w:rsid w:val="00AF480C"/>
    <w:rsid w:val="00AF5C2F"/>
    <w:rsid w:val="00B00E16"/>
    <w:rsid w:val="00B01D72"/>
    <w:rsid w:val="00B0517F"/>
    <w:rsid w:val="00B05F42"/>
    <w:rsid w:val="00B061AC"/>
    <w:rsid w:val="00B063FB"/>
    <w:rsid w:val="00B12070"/>
    <w:rsid w:val="00B13869"/>
    <w:rsid w:val="00B152D0"/>
    <w:rsid w:val="00B21657"/>
    <w:rsid w:val="00B2258A"/>
    <w:rsid w:val="00B23201"/>
    <w:rsid w:val="00B241D8"/>
    <w:rsid w:val="00B27ACE"/>
    <w:rsid w:val="00B314B6"/>
    <w:rsid w:val="00B319AE"/>
    <w:rsid w:val="00B3462D"/>
    <w:rsid w:val="00B35234"/>
    <w:rsid w:val="00B41D67"/>
    <w:rsid w:val="00B42418"/>
    <w:rsid w:val="00B453D9"/>
    <w:rsid w:val="00B45423"/>
    <w:rsid w:val="00B45489"/>
    <w:rsid w:val="00B45C54"/>
    <w:rsid w:val="00B469C5"/>
    <w:rsid w:val="00B471A0"/>
    <w:rsid w:val="00B505F7"/>
    <w:rsid w:val="00B50CD0"/>
    <w:rsid w:val="00B51FB0"/>
    <w:rsid w:val="00B522BA"/>
    <w:rsid w:val="00B54CC9"/>
    <w:rsid w:val="00B5504F"/>
    <w:rsid w:val="00B55995"/>
    <w:rsid w:val="00B55A9B"/>
    <w:rsid w:val="00B55C58"/>
    <w:rsid w:val="00B55F6F"/>
    <w:rsid w:val="00B60B26"/>
    <w:rsid w:val="00B63977"/>
    <w:rsid w:val="00B63FD8"/>
    <w:rsid w:val="00B64A93"/>
    <w:rsid w:val="00B653A5"/>
    <w:rsid w:val="00B65C42"/>
    <w:rsid w:val="00B67EA5"/>
    <w:rsid w:val="00B706C1"/>
    <w:rsid w:val="00B70A4B"/>
    <w:rsid w:val="00B7223A"/>
    <w:rsid w:val="00B72AE5"/>
    <w:rsid w:val="00B72BB6"/>
    <w:rsid w:val="00B72EE9"/>
    <w:rsid w:val="00B734A6"/>
    <w:rsid w:val="00B776C0"/>
    <w:rsid w:val="00B77BB7"/>
    <w:rsid w:val="00B813B0"/>
    <w:rsid w:val="00B84719"/>
    <w:rsid w:val="00B85032"/>
    <w:rsid w:val="00B8651F"/>
    <w:rsid w:val="00B8696A"/>
    <w:rsid w:val="00B92290"/>
    <w:rsid w:val="00B948BB"/>
    <w:rsid w:val="00B948DC"/>
    <w:rsid w:val="00B95F38"/>
    <w:rsid w:val="00B95FA7"/>
    <w:rsid w:val="00B97AF7"/>
    <w:rsid w:val="00BA0AB7"/>
    <w:rsid w:val="00BA2368"/>
    <w:rsid w:val="00BA367A"/>
    <w:rsid w:val="00BA4609"/>
    <w:rsid w:val="00BA55B1"/>
    <w:rsid w:val="00BA563F"/>
    <w:rsid w:val="00BA71E6"/>
    <w:rsid w:val="00BB0D91"/>
    <w:rsid w:val="00BB4E0E"/>
    <w:rsid w:val="00BB6A04"/>
    <w:rsid w:val="00BB6C16"/>
    <w:rsid w:val="00BB6F36"/>
    <w:rsid w:val="00BC16CF"/>
    <w:rsid w:val="00BC2E5E"/>
    <w:rsid w:val="00BC336C"/>
    <w:rsid w:val="00BC6DC6"/>
    <w:rsid w:val="00BD1119"/>
    <w:rsid w:val="00BD23B8"/>
    <w:rsid w:val="00BD3AA2"/>
    <w:rsid w:val="00BD3D1B"/>
    <w:rsid w:val="00BD4F2B"/>
    <w:rsid w:val="00BD697B"/>
    <w:rsid w:val="00BD7D76"/>
    <w:rsid w:val="00BE1004"/>
    <w:rsid w:val="00BE709C"/>
    <w:rsid w:val="00BF0F09"/>
    <w:rsid w:val="00BF1C05"/>
    <w:rsid w:val="00BF1CA6"/>
    <w:rsid w:val="00BF3E15"/>
    <w:rsid w:val="00BF3E69"/>
    <w:rsid w:val="00BF402F"/>
    <w:rsid w:val="00BF4EC0"/>
    <w:rsid w:val="00BF59A9"/>
    <w:rsid w:val="00BF6AF5"/>
    <w:rsid w:val="00BF7075"/>
    <w:rsid w:val="00BF7F76"/>
    <w:rsid w:val="00C02417"/>
    <w:rsid w:val="00C03540"/>
    <w:rsid w:val="00C044E9"/>
    <w:rsid w:val="00C07599"/>
    <w:rsid w:val="00C107BB"/>
    <w:rsid w:val="00C1419E"/>
    <w:rsid w:val="00C14615"/>
    <w:rsid w:val="00C1732D"/>
    <w:rsid w:val="00C17B71"/>
    <w:rsid w:val="00C20818"/>
    <w:rsid w:val="00C216D5"/>
    <w:rsid w:val="00C23E09"/>
    <w:rsid w:val="00C30291"/>
    <w:rsid w:val="00C31F82"/>
    <w:rsid w:val="00C32481"/>
    <w:rsid w:val="00C33CDB"/>
    <w:rsid w:val="00C41020"/>
    <w:rsid w:val="00C42EED"/>
    <w:rsid w:val="00C42FAF"/>
    <w:rsid w:val="00C4680C"/>
    <w:rsid w:val="00C46B1A"/>
    <w:rsid w:val="00C53735"/>
    <w:rsid w:val="00C53C45"/>
    <w:rsid w:val="00C55E8C"/>
    <w:rsid w:val="00C57F22"/>
    <w:rsid w:val="00C60EF9"/>
    <w:rsid w:val="00C63497"/>
    <w:rsid w:val="00C65898"/>
    <w:rsid w:val="00C705CC"/>
    <w:rsid w:val="00C732CF"/>
    <w:rsid w:val="00C8131A"/>
    <w:rsid w:val="00C82C77"/>
    <w:rsid w:val="00C838E2"/>
    <w:rsid w:val="00C849CD"/>
    <w:rsid w:val="00C86D94"/>
    <w:rsid w:val="00C86E6C"/>
    <w:rsid w:val="00C87629"/>
    <w:rsid w:val="00C901CF"/>
    <w:rsid w:val="00C91F0B"/>
    <w:rsid w:val="00C94215"/>
    <w:rsid w:val="00C9622B"/>
    <w:rsid w:val="00CA4B5D"/>
    <w:rsid w:val="00CA69A6"/>
    <w:rsid w:val="00CB0A50"/>
    <w:rsid w:val="00CB3ABC"/>
    <w:rsid w:val="00CB40B2"/>
    <w:rsid w:val="00CB50C5"/>
    <w:rsid w:val="00CB6449"/>
    <w:rsid w:val="00CB7FB9"/>
    <w:rsid w:val="00CC2043"/>
    <w:rsid w:val="00CC6824"/>
    <w:rsid w:val="00CD2682"/>
    <w:rsid w:val="00CD3FF8"/>
    <w:rsid w:val="00CD4C4A"/>
    <w:rsid w:val="00CD663A"/>
    <w:rsid w:val="00CD6735"/>
    <w:rsid w:val="00CD7ADE"/>
    <w:rsid w:val="00CE0324"/>
    <w:rsid w:val="00CE071E"/>
    <w:rsid w:val="00CE1CCA"/>
    <w:rsid w:val="00CE671A"/>
    <w:rsid w:val="00CF1E8E"/>
    <w:rsid w:val="00CF3B7F"/>
    <w:rsid w:val="00D00463"/>
    <w:rsid w:val="00D023B3"/>
    <w:rsid w:val="00D03F1C"/>
    <w:rsid w:val="00D0606D"/>
    <w:rsid w:val="00D07383"/>
    <w:rsid w:val="00D12E61"/>
    <w:rsid w:val="00D16002"/>
    <w:rsid w:val="00D16935"/>
    <w:rsid w:val="00D177A3"/>
    <w:rsid w:val="00D248CC"/>
    <w:rsid w:val="00D250DA"/>
    <w:rsid w:val="00D26947"/>
    <w:rsid w:val="00D300CF"/>
    <w:rsid w:val="00D304B3"/>
    <w:rsid w:val="00D32BF2"/>
    <w:rsid w:val="00D3332D"/>
    <w:rsid w:val="00D37190"/>
    <w:rsid w:val="00D375BF"/>
    <w:rsid w:val="00D42AEB"/>
    <w:rsid w:val="00D44CBB"/>
    <w:rsid w:val="00D47463"/>
    <w:rsid w:val="00D50D14"/>
    <w:rsid w:val="00D5389E"/>
    <w:rsid w:val="00D545FC"/>
    <w:rsid w:val="00D56844"/>
    <w:rsid w:val="00D57172"/>
    <w:rsid w:val="00D57C84"/>
    <w:rsid w:val="00D63C08"/>
    <w:rsid w:val="00D7028D"/>
    <w:rsid w:val="00D71FE1"/>
    <w:rsid w:val="00D732E8"/>
    <w:rsid w:val="00D74925"/>
    <w:rsid w:val="00D7560C"/>
    <w:rsid w:val="00D77282"/>
    <w:rsid w:val="00D801CF"/>
    <w:rsid w:val="00D83397"/>
    <w:rsid w:val="00D87155"/>
    <w:rsid w:val="00D87184"/>
    <w:rsid w:val="00D879F8"/>
    <w:rsid w:val="00D93190"/>
    <w:rsid w:val="00D94A24"/>
    <w:rsid w:val="00D94A87"/>
    <w:rsid w:val="00D9629F"/>
    <w:rsid w:val="00DA043A"/>
    <w:rsid w:val="00DA055D"/>
    <w:rsid w:val="00DA278C"/>
    <w:rsid w:val="00DA2D05"/>
    <w:rsid w:val="00DA4E68"/>
    <w:rsid w:val="00DA536D"/>
    <w:rsid w:val="00DB1810"/>
    <w:rsid w:val="00DB67C9"/>
    <w:rsid w:val="00DB7454"/>
    <w:rsid w:val="00DC21A4"/>
    <w:rsid w:val="00DC2F2A"/>
    <w:rsid w:val="00DC4A1E"/>
    <w:rsid w:val="00DC537C"/>
    <w:rsid w:val="00DD4C08"/>
    <w:rsid w:val="00DD716D"/>
    <w:rsid w:val="00DE2421"/>
    <w:rsid w:val="00DE4BD5"/>
    <w:rsid w:val="00DE56C3"/>
    <w:rsid w:val="00DF60F3"/>
    <w:rsid w:val="00DF6BF6"/>
    <w:rsid w:val="00DF79F3"/>
    <w:rsid w:val="00E0077B"/>
    <w:rsid w:val="00E033CF"/>
    <w:rsid w:val="00E1328C"/>
    <w:rsid w:val="00E14917"/>
    <w:rsid w:val="00E15326"/>
    <w:rsid w:val="00E1682F"/>
    <w:rsid w:val="00E17E5D"/>
    <w:rsid w:val="00E21F39"/>
    <w:rsid w:val="00E22B70"/>
    <w:rsid w:val="00E23262"/>
    <w:rsid w:val="00E235C4"/>
    <w:rsid w:val="00E23858"/>
    <w:rsid w:val="00E26EB2"/>
    <w:rsid w:val="00E30BCF"/>
    <w:rsid w:val="00E37579"/>
    <w:rsid w:val="00E37626"/>
    <w:rsid w:val="00E403CA"/>
    <w:rsid w:val="00E4539E"/>
    <w:rsid w:val="00E5108A"/>
    <w:rsid w:val="00E51EF5"/>
    <w:rsid w:val="00E52D77"/>
    <w:rsid w:val="00E53448"/>
    <w:rsid w:val="00E544C4"/>
    <w:rsid w:val="00E604DB"/>
    <w:rsid w:val="00E6247B"/>
    <w:rsid w:val="00E62C7F"/>
    <w:rsid w:val="00E63088"/>
    <w:rsid w:val="00E643D1"/>
    <w:rsid w:val="00E653B8"/>
    <w:rsid w:val="00E66191"/>
    <w:rsid w:val="00E6695E"/>
    <w:rsid w:val="00E7009E"/>
    <w:rsid w:val="00E70116"/>
    <w:rsid w:val="00E701F0"/>
    <w:rsid w:val="00E819EE"/>
    <w:rsid w:val="00E81A3F"/>
    <w:rsid w:val="00E81F6F"/>
    <w:rsid w:val="00E820AA"/>
    <w:rsid w:val="00E821E8"/>
    <w:rsid w:val="00E8499A"/>
    <w:rsid w:val="00E84C41"/>
    <w:rsid w:val="00E916A3"/>
    <w:rsid w:val="00E92CDA"/>
    <w:rsid w:val="00E937A3"/>
    <w:rsid w:val="00E939CC"/>
    <w:rsid w:val="00E93C66"/>
    <w:rsid w:val="00E9727A"/>
    <w:rsid w:val="00EA30EA"/>
    <w:rsid w:val="00EA4D1D"/>
    <w:rsid w:val="00EA6C2E"/>
    <w:rsid w:val="00EB3FE4"/>
    <w:rsid w:val="00EB5EB3"/>
    <w:rsid w:val="00EB6DA4"/>
    <w:rsid w:val="00EC08B9"/>
    <w:rsid w:val="00EC099F"/>
    <w:rsid w:val="00EC5CAF"/>
    <w:rsid w:val="00EC5EF1"/>
    <w:rsid w:val="00EC6BE3"/>
    <w:rsid w:val="00ED04D8"/>
    <w:rsid w:val="00ED1AFE"/>
    <w:rsid w:val="00ED4EED"/>
    <w:rsid w:val="00EE0EED"/>
    <w:rsid w:val="00EE4775"/>
    <w:rsid w:val="00EE4ADD"/>
    <w:rsid w:val="00EE5D48"/>
    <w:rsid w:val="00EE608B"/>
    <w:rsid w:val="00EE6BDE"/>
    <w:rsid w:val="00EE7339"/>
    <w:rsid w:val="00EF052D"/>
    <w:rsid w:val="00EF1B38"/>
    <w:rsid w:val="00EF3513"/>
    <w:rsid w:val="00EF5A4E"/>
    <w:rsid w:val="00EF5F7E"/>
    <w:rsid w:val="00EF66AD"/>
    <w:rsid w:val="00F03095"/>
    <w:rsid w:val="00F052B4"/>
    <w:rsid w:val="00F06A1C"/>
    <w:rsid w:val="00F07DE8"/>
    <w:rsid w:val="00F11637"/>
    <w:rsid w:val="00F15C96"/>
    <w:rsid w:val="00F16A71"/>
    <w:rsid w:val="00F20177"/>
    <w:rsid w:val="00F21C60"/>
    <w:rsid w:val="00F21ECB"/>
    <w:rsid w:val="00F22765"/>
    <w:rsid w:val="00F22CE7"/>
    <w:rsid w:val="00F300F0"/>
    <w:rsid w:val="00F3119D"/>
    <w:rsid w:val="00F313AB"/>
    <w:rsid w:val="00F325B3"/>
    <w:rsid w:val="00F34F87"/>
    <w:rsid w:val="00F353DB"/>
    <w:rsid w:val="00F36B9D"/>
    <w:rsid w:val="00F40BAF"/>
    <w:rsid w:val="00F43A14"/>
    <w:rsid w:val="00F44F65"/>
    <w:rsid w:val="00F45D9E"/>
    <w:rsid w:val="00F500A7"/>
    <w:rsid w:val="00F5078F"/>
    <w:rsid w:val="00F513C7"/>
    <w:rsid w:val="00F51DB7"/>
    <w:rsid w:val="00F633A5"/>
    <w:rsid w:val="00F63A04"/>
    <w:rsid w:val="00F67B86"/>
    <w:rsid w:val="00F67EED"/>
    <w:rsid w:val="00F67F2A"/>
    <w:rsid w:val="00F7022B"/>
    <w:rsid w:val="00F71FDF"/>
    <w:rsid w:val="00F72895"/>
    <w:rsid w:val="00F72928"/>
    <w:rsid w:val="00F76B94"/>
    <w:rsid w:val="00F800B1"/>
    <w:rsid w:val="00F8147F"/>
    <w:rsid w:val="00F81BC4"/>
    <w:rsid w:val="00F83425"/>
    <w:rsid w:val="00F83F9D"/>
    <w:rsid w:val="00F85AEE"/>
    <w:rsid w:val="00F85BA8"/>
    <w:rsid w:val="00F90550"/>
    <w:rsid w:val="00F90975"/>
    <w:rsid w:val="00F93989"/>
    <w:rsid w:val="00F9486E"/>
    <w:rsid w:val="00F95C31"/>
    <w:rsid w:val="00F95C77"/>
    <w:rsid w:val="00F97A1C"/>
    <w:rsid w:val="00FA5B16"/>
    <w:rsid w:val="00FB07A6"/>
    <w:rsid w:val="00FB0FC7"/>
    <w:rsid w:val="00FB18B9"/>
    <w:rsid w:val="00FB439E"/>
    <w:rsid w:val="00FB56F4"/>
    <w:rsid w:val="00FB5C10"/>
    <w:rsid w:val="00FB72C9"/>
    <w:rsid w:val="00FB7A67"/>
    <w:rsid w:val="00FC0F21"/>
    <w:rsid w:val="00FC2727"/>
    <w:rsid w:val="00FC381A"/>
    <w:rsid w:val="00FC53F3"/>
    <w:rsid w:val="00FC612A"/>
    <w:rsid w:val="00FC7341"/>
    <w:rsid w:val="00FC7685"/>
    <w:rsid w:val="00FD2545"/>
    <w:rsid w:val="00FD2B32"/>
    <w:rsid w:val="00FD37F3"/>
    <w:rsid w:val="00FD551E"/>
    <w:rsid w:val="00FD5DDF"/>
    <w:rsid w:val="00FD677D"/>
    <w:rsid w:val="00FE0FC0"/>
    <w:rsid w:val="00FE1124"/>
    <w:rsid w:val="00FE2319"/>
    <w:rsid w:val="00FE3560"/>
    <w:rsid w:val="00FE38DD"/>
    <w:rsid w:val="00FE598D"/>
    <w:rsid w:val="00FE650F"/>
    <w:rsid w:val="00FF0CBD"/>
    <w:rsid w:val="00FF1BA7"/>
    <w:rsid w:val="00FF293F"/>
    <w:rsid w:val="00FF3109"/>
    <w:rsid w:val="00FF3241"/>
    <w:rsid w:val="00FF37B3"/>
    <w:rsid w:val="00FF40D8"/>
    <w:rsid w:val="00FF530D"/>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F38178A"/>
  <w15:docId w15:val="{8FF0EDFA-67AC-4B7A-AF84-1FB3307B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C1"/>
    <w:pPr>
      <w:spacing w:before="120" w:after="120"/>
    </w:pPr>
    <w:rPr>
      <w:rFonts w:ascii="Arial" w:hAnsi="Arial" w:cs="Times New Roman"/>
    </w:rPr>
  </w:style>
  <w:style w:type="paragraph" w:styleId="Heading1">
    <w:name w:val="heading 1"/>
    <w:next w:val="Normal"/>
    <w:link w:val="Heading1Char"/>
    <w:qFormat/>
    <w:rsid w:val="006B29C1"/>
    <w:pPr>
      <w:keepNext/>
      <w:pageBreakBefore/>
      <w:numPr>
        <w:numId w:val="4"/>
      </w:numPr>
      <w:ind w:left="851" w:hanging="851"/>
      <w:outlineLvl w:val="0"/>
    </w:pPr>
    <w:rPr>
      <w:rFonts w:ascii="Arial" w:hAnsi="Arial" w:cs="Times New Roman"/>
      <w:b/>
      <w:bCs/>
      <w:color w:val="0070C0"/>
      <w:kern w:val="32"/>
      <w:sz w:val="32"/>
      <w:szCs w:val="32"/>
    </w:rPr>
  </w:style>
  <w:style w:type="paragraph" w:styleId="Heading2">
    <w:name w:val="heading 2"/>
    <w:basedOn w:val="Normal"/>
    <w:next w:val="Normal"/>
    <w:link w:val="Heading2Char"/>
    <w:qFormat/>
    <w:rsid w:val="006B29C1"/>
    <w:pPr>
      <w:keepNext/>
      <w:numPr>
        <w:ilvl w:val="1"/>
        <w:numId w:val="4"/>
      </w:numPr>
      <w:tabs>
        <w:tab w:val="clear" w:pos="576"/>
      </w:tabs>
      <w:spacing w:before="240"/>
      <w:ind w:left="851" w:hanging="851"/>
      <w:outlineLvl w:val="1"/>
    </w:pPr>
    <w:rPr>
      <w:color w:val="0070C0"/>
      <w:sz w:val="28"/>
      <w:szCs w:val="32"/>
    </w:rPr>
  </w:style>
  <w:style w:type="paragraph" w:styleId="Heading3">
    <w:name w:val="heading 3"/>
    <w:basedOn w:val="Normal"/>
    <w:next w:val="Normal"/>
    <w:link w:val="Heading3Char"/>
    <w:qFormat/>
    <w:rsid w:val="006B29C1"/>
    <w:pPr>
      <w:keepNext/>
      <w:numPr>
        <w:ilvl w:val="2"/>
        <w:numId w:val="4"/>
      </w:numPr>
      <w:spacing w:before="360"/>
      <w:outlineLvl w:val="2"/>
    </w:pPr>
    <w:rPr>
      <w:bCs/>
      <w:color w:val="0070C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able">
    <w:name w:val="heading table"/>
    <w:basedOn w:val="Normal"/>
    <w:next w:val="Normal"/>
    <w:rsid w:val="00BD4F2B"/>
    <w:pPr>
      <w:keepNext/>
      <w:numPr>
        <w:numId w:val="3"/>
      </w:numPr>
      <w:spacing w:after="60"/>
    </w:pPr>
    <w:rPr>
      <w:b/>
    </w:rPr>
  </w:style>
  <w:style w:type="paragraph" w:customStyle="1" w:styleId="Tableheadingrow">
    <w:name w:val="Table heading row"/>
    <w:basedOn w:val="Normal"/>
    <w:qFormat/>
    <w:rsid w:val="00CA69A6"/>
    <w:pPr>
      <w:shd w:val="clear" w:color="auto" w:fill="E6E6E6"/>
      <w:jc w:val="center"/>
    </w:pPr>
    <w:rPr>
      <w:rFonts w:eastAsia="Times New Roman"/>
      <w:b/>
    </w:rPr>
  </w:style>
  <w:style w:type="paragraph" w:styleId="TOCHeading">
    <w:name w:val="TOC Heading"/>
    <w:basedOn w:val="Heading1"/>
    <w:next w:val="Normal"/>
    <w:uiPriority w:val="39"/>
    <w:unhideWhenUsed/>
    <w:qFormat/>
    <w:rsid w:val="00126A60"/>
    <w:pPr>
      <w:keepLines/>
      <w:pageBreakBefore w:val="0"/>
      <w:numPr>
        <w:numId w:val="0"/>
      </w:numPr>
      <w:spacing w:before="240" w:after="0" w:line="259" w:lineRule="auto"/>
      <w:outlineLvl w:val="9"/>
    </w:pPr>
    <w:rPr>
      <w:rFonts w:asciiTheme="majorHAnsi" w:eastAsiaTheme="majorEastAsia" w:hAnsiTheme="majorHAnsi" w:cstheme="majorBidi"/>
      <w:caps/>
      <w:color w:val="365F91" w:themeColor="accent1" w:themeShade="BF"/>
      <w:kern w:val="0"/>
      <w:lang w:val="en-US" w:eastAsia="en-US"/>
    </w:rPr>
  </w:style>
  <w:style w:type="paragraph" w:customStyle="1" w:styleId="AlisonsNumbers">
    <w:name w:val="Alison's Numbers"/>
    <w:basedOn w:val="Normal"/>
    <w:rsid w:val="00BD4F2B"/>
    <w:pPr>
      <w:numPr>
        <w:numId w:val="1"/>
      </w:numPr>
      <w:spacing w:after="60"/>
    </w:pPr>
  </w:style>
  <w:style w:type="character" w:customStyle="1" w:styleId="Alisonsstyle">
    <w:name w:val="Alison's style"/>
    <w:basedOn w:val="DefaultParagraphFont"/>
    <w:rsid w:val="00BD4F2B"/>
    <w:rPr>
      <w:rFonts w:ascii="Verdana" w:hAnsi="Verdana"/>
      <w:sz w:val="20"/>
    </w:rPr>
  </w:style>
  <w:style w:type="paragraph" w:styleId="Footer">
    <w:name w:val="footer"/>
    <w:link w:val="FooterChar"/>
    <w:uiPriority w:val="99"/>
    <w:unhideWhenUsed/>
    <w:rsid w:val="00EC08B9"/>
    <w:pPr>
      <w:tabs>
        <w:tab w:val="center" w:pos="4320"/>
        <w:tab w:val="right" w:pos="8640"/>
      </w:tabs>
      <w:spacing w:after="0"/>
    </w:pPr>
    <w:rPr>
      <w:rFonts w:ascii="Arial" w:hAnsi="Arial" w:cs="Times New Roman"/>
      <w:sz w:val="18"/>
    </w:rPr>
  </w:style>
  <w:style w:type="character" w:customStyle="1" w:styleId="FooterChar">
    <w:name w:val="Footer Char"/>
    <w:basedOn w:val="DefaultParagraphFont"/>
    <w:link w:val="Footer"/>
    <w:uiPriority w:val="99"/>
    <w:rsid w:val="00EC08B9"/>
    <w:rPr>
      <w:rFonts w:ascii="Arial" w:hAnsi="Arial" w:cs="Times New Roman"/>
      <w:sz w:val="18"/>
    </w:rPr>
  </w:style>
  <w:style w:type="paragraph" w:styleId="Header">
    <w:name w:val="header"/>
    <w:link w:val="HeaderChar"/>
    <w:uiPriority w:val="99"/>
    <w:unhideWhenUsed/>
    <w:rsid w:val="00294CF2"/>
    <w:pPr>
      <w:tabs>
        <w:tab w:val="center" w:pos="4320"/>
        <w:tab w:val="right" w:pos="8640"/>
      </w:tabs>
      <w:spacing w:after="0"/>
    </w:pPr>
    <w:rPr>
      <w:rFonts w:ascii="Verdana" w:hAnsi="Verdana" w:cs="Times New Roman"/>
      <w:sz w:val="18"/>
    </w:rPr>
  </w:style>
  <w:style w:type="character" w:customStyle="1" w:styleId="HeaderChar">
    <w:name w:val="Header Char"/>
    <w:basedOn w:val="DefaultParagraphFont"/>
    <w:link w:val="Header"/>
    <w:uiPriority w:val="99"/>
    <w:rsid w:val="00294CF2"/>
    <w:rPr>
      <w:rFonts w:ascii="Verdana" w:hAnsi="Verdana" w:cs="Times New Roman"/>
      <w:sz w:val="18"/>
    </w:rPr>
  </w:style>
  <w:style w:type="paragraph" w:customStyle="1" w:styleId="headingfigure">
    <w:name w:val="heading figure"/>
    <w:basedOn w:val="Normal"/>
    <w:next w:val="Normal"/>
    <w:rsid w:val="00BD4F2B"/>
    <w:pPr>
      <w:keepNext/>
      <w:numPr>
        <w:numId w:val="2"/>
      </w:numPr>
      <w:spacing w:after="60"/>
    </w:pPr>
    <w:rPr>
      <w:b/>
    </w:rPr>
  </w:style>
  <w:style w:type="paragraph" w:customStyle="1" w:styleId="Headingwithoutnumber">
    <w:name w:val="Heading without number"/>
    <w:basedOn w:val="Heading1"/>
    <w:qFormat/>
    <w:rsid w:val="00BD4F2B"/>
    <w:pPr>
      <w:numPr>
        <w:numId w:val="0"/>
      </w:numPr>
    </w:pPr>
  </w:style>
  <w:style w:type="paragraph" w:styleId="ListBullet">
    <w:name w:val="List Bullet"/>
    <w:basedOn w:val="Bullets1"/>
    <w:uiPriority w:val="99"/>
    <w:unhideWhenUsed/>
    <w:rsid w:val="006B29C1"/>
    <w:pPr>
      <w:numPr>
        <w:ilvl w:val="0"/>
      </w:numPr>
      <w:contextualSpacing/>
    </w:pPr>
  </w:style>
  <w:style w:type="character" w:styleId="PageNumber">
    <w:name w:val="page number"/>
    <w:basedOn w:val="DefaultParagraphFont"/>
    <w:uiPriority w:val="99"/>
    <w:semiHidden/>
    <w:unhideWhenUsed/>
    <w:rsid w:val="00BD4F2B"/>
  </w:style>
  <w:style w:type="table" w:styleId="TableGrid">
    <w:name w:val="Table Grid"/>
    <w:aliases w:val="ICB Table"/>
    <w:basedOn w:val="TableNormal"/>
    <w:uiPriority w:val="39"/>
    <w:rsid w:val="00BD4F2B"/>
    <w:pPr>
      <w:spacing w:after="0"/>
    </w:pPr>
    <w:rPr>
      <w:rFonts w:ascii="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473658"/>
    <w:pPr>
      <w:widowControl w:val="0"/>
      <w:overflowPunct w:val="0"/>
      <w:autoSpaceDE w:val="0"/>
      <w:autoSpaceDN w:val="0"/>
      <w:adjustRightInd w:val="0"/>
      <w:textAlignment w:val="baseline"/>
    </w:pPr>
    <w:rPr>
      <w:rFonts w:ascii="Times New Roman" w:eastAsia="Times New Roman" w:hAnsi="Times New Roman"/>
      <w:lang w:eastAsia="en-US"/>
    </w:rPr>
  </w:style>
  <w:style w:type="character" w:customStyle="1" w:styleId="FootnoteTextChar">
    <w:name w:val="Footnote Text Char"/>
    <w:basedOn w:val="DefaultParagraphFont"/>
    <w:link w:val="FootnoteText"/>
    <w:semiHidden/>
    <w:rsid w:val="00473658"/>
    <w:rPr>
      <w:rFonts w:ascii="Times New Roman" w:eastAsia="Times New Roman" w:hAnsi="Times New Roman" w:cs="Times New Roman"/>
      <w:lang w:eastAsia="en-US"/>
    </w:rPr>
  </w:style>
  <w:style w:type="paragraph" w:styleId="TOC1">
    <w:name w:val="toc 1"/>
    <w:basedOn w:val="Normal"/>
    <w:next w:val="Normal"/>
    <w:autoRedefine/>
    <w:uiPriority w:val="39"/>
    <w:rsid w:val="00126A60"/>
    <w:pPr>
      <w:widowControl w:val="0"/>
      <w:tabs>
        <w:tab w:val="left" w:pos="567"/>
        <w:tab w:val="right" w:leader="dot" w:pos="9180"/>
      </w:tabs>
      <w:ind w:left="601" w:right="-108" w:hanging="601"/>
    </w:pPr>
    <w:rPr>
      <w:rFonts w:eastAsia="Times New Roman"/>
      <w:b/>
      <w:noProof/>
      <w:szCs w:val="22"/>
      <w:lang w:eastAsia="en-US"/>
    </w:rPr>
  </w:style>
  <w:style w:type="paragraph" w:styleId="TOC2">
    <w:name w:val="toc 2"/>
    <w:next w:val="Normal"/>
    <w:uiPriority w:val="39"/>
    <w:rsid w:val="00583D8E"/>
    <w:pPr>
      <w:tabs>
        <w:tab w:val="left" w:pos="567"/>
        <w:tab w:val="right" w:leader="dot" w:pos="9180"/>
      </w:tabs>
      <w:spacing w:after="0"/>
      <w:ind w:left="601" w:right="-108" w:hanging="601"/>
      <w:contextualSpacing/>
    </w:pPr>
    <w:rPr>
      <w:rFonts w:ascii="Arial" w:eastAsia="Times New Roman" w:hAnsi="Arial" w:cs="Times New Roman"/>
      <w:noProof/>
      <w:szCs w:val="24"/>
      <w:lang w:eastAsia="en-US"/>
    </w:rPr>
  </w:style>
  <w:style w:type="character" w:styleId="Hyperlink">
    <w:name w:val="Hyperlink"/>
    <w:uiPriority w:val="99"/>
    <w:rsid w:val="00473658"/>
    <w:rPr>
      <w:color w:val="0000FF"/>
      <w:u w:val="single"/>
    </w:rPr>
  </w:style>
  <w:style w:type="paragraph" w:styleId="Title">
    <w:name w:val="Title"/>
    <w:basedOn w:val="Heading1"/>
    <w:next w:val="Heading1"/>
    <w:link w:val="TitleChar"/>
    <w:qFormat/>
    <w:rsid w:val="00CF3B7F"/>
    <w:pPr>
      <w:widowControl w:val="0"/>
      <w:numPr>
        <w:numId w:val="0"/>
      </w:numPr>
    </w:pPr>
    <w:rPr>
      <w:rFonts w:eastAsia="Times New Roman"/>
      <w:color w:val="auto"/>
      <w:szCs w:val="24"/>
      <w:lang w:eastAsia="en-US"/>
    </w:rPr>
  </w:style>
  <w:style w:type="character" w:customStyle="1" w:styleId="TitleChar">
    <w:name w:val="Title Char"/>
    <w:basedOn w:val="DefaultParagraphFont"/>
    <w:link w:val="Title"/>
    <w:rsid w:val="00CF3B7F"/>
    <w:rPr>
      <w:rFonts w:ascii="Arial" w:eastAsia="Times New Roman" w:hAnsi="Arial" w:cs="Times New Roman"/>
      <w:b/>
      <w:bCs/>
      <w:kern w:val="32"/>
      <w:sz w:val="32"/>
      <w:szCs w:val="24"/>
      <w:lang w:eastAsia="en-US"/>
    </w:rPr>
  </w:style>
  <w:style w:type="paragraph" w:customStyle="1" w:styleId="Bullets1">
    <w:name w:val="Bullets 1"/>
    <w:qFormat/>
    <w:rsid w:val="00583D8E"/>
    <w:pPr>
      <w:numPr>
        <w:ilvl w:val="1"/>
        <w:numId w:val="5"/>
      </w:numPr>
      <w:spacing w:after="60"/>
    </w:pPr>
    <w:rPr>
      <w:rFonts w:ascii="Arial" w:eastAsia="Times New Roman" w:hAnsi="Arial" w:cs="Times New Roman"/>
      <w:szCs w:val="24"/>
      <w:lang w:eastAsia="en-US"/>
    </w:rPr>
  </w:style>
  <w:style w:type="paragraph" w:styleId="BalloonText">
    <w:name w:val="Balloon Text"/>
    <w:basedOn w:val="Normal"/>
    <w:link w:val="BalloonTextChar"/>
    <w:uiPriority w:val="99"/>
    <w:semiHidden/>
    <w:unhideWhenUsed/>
    <w:rsid w:val="001433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44"/>
    <w:rPr>
      <w:rFonts w:ascii="Segoe UI" w:hAnsi="Segoe UI" w:cs="Segoe UI"/>
      <w:sz w:val="18"/>
      <w:szCs w:val="18"/>
    </w:rPr>
  </w:style>
  <w:style w:type="character" w:styleId="CommentReference">
    <w:name w:val="annotation reference"/>
    <w:basedOn w:val="DefaultParagraphFont"/>
    <w:uiPriority w:val="99"/>
    <w:semiHidden/>
    <w:unhideWhenUsed/>
    <w:rsid w:val="007613FC"/>
    <w:rPr>
      <w:sz w:val="16"/>
      <w:szCs w:val="16"/>
    </w:rPr>
  </w:style>
  <w:style w:type="paragraph" w:styleId="CommentText">
    <w:name w:val="annotation text"/>
    <w:basedOn w:val="Normal"/>
    <w:link w:val="CommentTextChar"/>
    <w:uiPriority w:val="99"/>
    <w:semiHidden/>
    <w:unhideWhenUsed/>
    <w:rsid w:val="007613FC"/>
  </w:style>
  <w:style w:type="character" w:customStyle="1" w:styleId="CommentTextChar">
    <w:name w:val="Comment Text Char"/>
    <w:basedOn w:val="DefaultParagraphFont"/>
    <w:link w:val="CommentText"/>
    <w:uiPriority w:val="99"/>
    <w:semiHidden/>
    <w:rsid w:val="007613FC"/>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7613FC"/>
    <w:rPr>
      <w:b/>
      <w:bCs/>
    </w:rPr>
  </w:style>
  <w:style w:type="character" w:customStyle="1" w:styleId="CommentSubjectChar">
    <w:name w:val="Comment Subject Char"/>
    <w:basedOn w:val="CommentTextChar"/>
    <w:link w:val="CommentSubject"/>
    <w:uiPriority w:val="99"/>
    <w:semiHidden/>
    <w:rsid w:val="007613FC"/>
    <w:rPr>
      <w:rFonts w:ascii="Verdana" w:hAnsi="Verdana" w:cs="Times New Roman"/>
      <w:b/>
      <w:bCs/>
    </w:rPr>
  </w:style>
  <w:style w:type="paragraph" w:styleId="ListParagraph">
    <w:name w:val="List Paragraph"/>
    <w:basedOn w:val="Normal"/>
    <w:uiPriority w:val="34"/>
    <w:qFormat/>
    <w:rsid w:val="00106BE3"/>
    <w:pPr>
      <w:ind w:left="720"/>
      <w:contextualSpacing/>
    </w:pPr>
  </w:style>
  <w:style w:type="character" w:styleId="FootnoteReference">
    <w:name w:val="footnote reference"/>
    <w:basedOn w:val="DefaultParagraphFont"/>
    <w:uiPriority w:val="99"/>
    <w:semiHidden/>
    <w:unhideWhenUsed/>
    <w:rsid w:val="00C53C45"/>
    <w:rPr>
      <w:vertAlign w:val="superscript"/>
    </w:rPr>
  </w:style>
  <w:style w:type="paragraph" w:styleId="Caption">
    <w:name w:val="caption"/>
    <w:basedOn w:val="Normal"/>
    <w:next w:val="Normal"/>
    <w:uiPriority w:val="35"/>
    <w:unhideWhenUsed/>
    <w:qFormat/>
    <w:rsid w:val="00DB1810"/>
    <w:pPr>
      <w:spacing w:before="0" w:after="200"/>
    </w:pPr>
    <w:rPr>
      <w:i/>
      <w:iCs/>
      <w:color w:val="1F497D" w:themeColor="text2"/>
      <w:sz w:val="18"/>
      <w:szCs w:val="18"/>
    </w:rPr>
  </w:style>
  <w:style w:type="paragraph" w:styleId="Revision">
    <w:name w:val="Revision"/>
    <w:hidden/>
    <w:uiPriority w:val="99"/>
    <w:semiHidden/>
    <w:rsid w:val="005B6BC6"/>
    <w:pPr>
      <w:spacing w:after="0"/>
    </w:pPr>
    <w:rPr>
      <w:rFonts w:ascii="Verdana" w:hAnsi="Verdana" w:cs="Times New Roman"/>
    </w:rPr>
  </w:style>
  <w:style w:type="character" w:customStyle="1" w:styleId="Heading1Char">
    <w:name w:val="Heading 1 Char"/>
    <w:basedOn w:val="DefaultParagraphFont"/>
    <w:link w:val="Heading1"/>
    <w:rsid w:val="006B29C1"/>
    <w:rPr>
      <w:rFonts w:ascii="Arial" w:hAnsi="Arial" w:cs="Times New Roman"/>
      <w:b/>
      <w:bCs/>
      <w:color w:val="0070C0"/>
      <w:kern w:val="32"/>
      <w:sz w:val="32"/>
      <w:szCs w:val="32"/>
    </w:rPr>
  </w:style>
  <w:style w:type="character" w:customStyle="1" w:styleId="Heading2Char">
    <w:name w:val="Heading 2 Char"/>
    <w:basedOn w:val="DefaultParagraphFont"/>
    <w:link w:val="Heading2"/>
    <w:rsid w:val="006B29C1"/>
    <w:rPr>
      <w:rFonts w:ascii="Arial" w:hAnsi="Arial" w:cs="Times New Roman"/>
      <w:color w:val="0070C0"/>
      <w:sz w:val="28"/>
      <w:szCs w:val="32"/>
    </w:rPr>
  </w:style>
  <w:style w:type="character" w:customStyle="1" w:styleId="Heading3Char">
    <w:name w:val="Heading 3 Char"/>
    <w:basedOn w:val="DefaultParagraphFont"/>
    <w:link w:val="Heading3"/>
    <w:rsid w:val="006B29C1"/>
    <w:rPr>
      <w:rFonts w:ascii="Arial" w:hAnsi="Arial" w:cs="Times New Roman"/>
      <w:bCs/>
      <w:color w:val="0070C0"/>
      <w:sz w:val="24"/>
      <w:szCs w:val="32"/>
    </w:rPr>
  </w:style>
  <w:style w:type="paragraph" w:customStyle="1" w:styleId="Bullet1">
    <w:name w:val="Bullet 1"/>
    <w:basedOn w:val="Normal"/>
    <w:link w:val="Bullet1Char"/>
    <w:uiPriority w:val="2"/>
    <w:qFormat/>
    <w:rsid w:val="00812BAE"/>
    <w:pPr>
      <w:numPr>
        <w:numId w:val="6"/>
      </w:numPr>
      <w:spacing w:before="0" w:line="240" w:lineRule="atLeast"/>
    </w:pPr>
    <w:rPr>
      <w:rFonts w:eastAsia="Times New Roman" w:cs="Angsana New"/>
      <w:szCs w:val="22"/>
      <w:lang w:eastAsia="zh-CN" w:bidi="th-TH"/>
    </w:rPr>
  </w:style>
  <w:style w:type="paragraph" w:customStyle="1" w:styleId="Bullet2">
    <w:name w:val="Bullet 2"/>
    <w:basedOn w:val="Normal"/>
    <w:uiPriority w:val="2"/>
    <w:qFormat/>
    <w:rsid w:val="00812BAE"/>
    <w:pPr>
      <w:numPr>
        <w:ilvl w:val="1"/>
        <w:numId w:val="6"/>
      </w:numPr>
      <w:spacing w:before="0" w:line="240" w:lineRule="atLeast"/>
    </w:pPr>
    <w:rPr>
      <w:rFonts w:eastAsia="Times New Roman" w:cs="Angsana New"/>
      <w:szCs w:val="22"/>
      <w:lang w:eastAsia="zh-CN" w:bidi="th-TH"/>
    </w:rPr>
  </w:style>
  <w:style w:type="paragraph" w:customStyle="1" w:styleId="Bullet3">
    <w:name w:val="Bullet 3"/>
    <w:basedOn w:val="Normal"/>
    <w:uiPriority w:val="2"/>
    <w:qFormat/>
    <w:rsid w:val="00812BAE"/>
    <w:pPr>
      <w:numPr>
        <w:ilvl w:val="2"/>
        <w:numId w:val="6"/>
      </w:numPr>
      <w:spacing w:before="0" w:line="240" w:lineRule="atLeast"/>
    </w:pPr>
    <w:rPr>
      <w:rFonts w:eastAsia="Times New Roman" w:cs="Angsana New"/>
      <w:szCs w:val="22"/>
      <w:lang w:eastAsia="zh-CN" w:bidi="th-TH"/>
    </w:rPr>
  </w:style>
  <w:style w:type="numbering" w:customStyle="1" w:styleId="Bullets">
    <w:name w:val="Bullets"/>
    <w:rsid w:val="00812BAE"/>
    <w:pPr>
      <w:numPr>
        <w:numId w:val="6"/>
      </w:numPr>
    </w:pPr>
  </w:style>
  <w:style w:type="character" w:customStyle="1" w:styleId="Bullet1Char">
    <w:name w:val="Bullet 1 Char"/>
    <w:basedOn w:val="DefaultParagraphFont"/>
    <w:link w:val="Bullet1"/>
    <w:uiPriority w:val="2"/>
    <w:rsid w:val="00812BAE"/>
    <w:rPr>
      <w:rFonts w:ascii="Arial" w:eastAsia="Times New Roman" w:hAnsi="Arial" w:cs="Angsana New"/>
      <w:szCs w:val="22"/>
      <w:lang w:eastAsia="zh-CN" w:bidi="th-TH"/>
    </w:rPr>
  </w:style>
  <w:style w:type="paragraph" w:customStyle="1" w:styleId="METableHeading1">
    <w:name w:val="ME Table Heading 1"/>
    <w:basedOn w:val="Normal"/>
    <w:qFormat/>
    <w:rsid w:val="00C46B1A"/>
    <w:pPr>
      <w:spacing w:before="0" w:line="240" w:lineRule="atLeast"/>
    </w:pPr>
    <w:rPr>
      <w:rFonts w:eastAsiaTheme="minorHAnsi" w:cs="Arial"/>
      <w:b/>
      <w:bCs/>
      <w:lang w:eastAsia="zh-CN"/>
    </w:rPr>
  </w:style>
  <w:style w:type="character" w:styleId="FollowedHyperlink">
    <w:name w:val="FollowedHyperlink"/>
    <w:basedOn w:val="DefaultParagraphFont"/>
    <w:uiPriority w:val="99"/>
    <w:semiHidden/>
    <w:unhideWhenUsed/>
    <w:rsid w:val="0066213A"/>
    <w:rPr>
      <w:color w:val="800080" w:themeColor="followedHyperlink"/>
      <w:u w:val="single"/>
    </w:rPr>
  </w:style>
  <w:style w:type="paragraph" w:styleId="TOC3">
    <w:name w:val="toc 3"/>
    <w:basedOn w:val="Normal"/>
    <w:next w:val="Normal"/>
    <w:autoRedefine/>
    <w:uiPriority w:val="39"/>
    <w:unhideWhenUsed/>
    <w:rsid w:val="00126A60"/>
    <w:pPr>
      <w:tabs>
        <w:tab w:val="left" w:leader="dot" w:pos="567"/>
        <w:tab w:val="left" w:pos="9180"/>
      </w:tabs>
      <w:spacing w:after="100"/>
      <w:ind w:left="400"/>
    </w:pPr>
  </w:style>
  <w:style w:type="paragraph" w:customStyle="1" w:styleId="Heading1-notinTOC">
    <w:name w:val="Heading 1 - not in TOC"/>
    <w:basedOn w:val="Heading1"/>
    <w:next w:val="Heading1"/>
    <w:qFormat/>
    <w:rsid w:val="00CF3B7F"/>
    <w:pPr>
      <w:numPr>
        <w:numId w:val="0"/>
      </w:numPr>
    </w:pPr>
    <w:rPr>
      <w:color w:val="auto"/>
    </w:rPr>
  </w:style>
  <w:style w:type="paragraph" w:styleId="ListBullet2">
    <w:name w:val="List Bullet 2"/>
    <w:basedOn w:val="Bullets1"/>
    <w:uiPriority w:val="99"/>
    <w:unhideWhenUsed/>
    <w:rsid w:val="006B29C1"/>
  </w:style>
  <w:style w:type="paragraph" w:styleId="BodyText">
    <w:name w:val="Body Text"/>
    <w:link w:val="BodyTextChar"/>
    <w:unhideWhenUsed/>
    <w:rsid w:val="00552348"/>
    <w:pPr>
      <w:suppressAutoHyphens/>
      <w:spacing w:before="200" w:line="288" w:lineRule="auto"/>
    </w:pPr>
    <w:rPr>
      <w:rFonts w:ascii="Arial" w:eastAsia="Times New Roman" w:hAnsi="Arial" w:cs="Times New Roman"/>
      <w:lang w:eastAsia="en-AU"/>
    </w:rPr>
  </w:style>
  <w:style w:type="character" w:customStyle="1" w:styleId="BodyTextChar">
    <w:name w:val="Body Text Char"/>
    <w:basedOn w:val="DefaultParagraphFont"/>
    <w:link w:val="BodyText"/>
    <w:rsid w:val="00552348"/>
    <w:rPr>
      <w:rFonts w:ascii="Arial" w:eastAsia="Times New Roman" w:hAnsi="Arial" w:cs="Times New Roman"/>
      <w:lang w:eastAsia="en-AU"/>
    </w:rPr>
  </w:style>
  <w:style w:type="character" w:styleId="UnresolvedMention">
    <w:name w:val="Unresolved Mention"/>
    <w:basedOn w:val="DefaultParagraphFont"/>
    <w:uiPriority w:val="99"/>
    <w:semiHidden/>
    <w:unhideWhenUsed/>
    <w:rsid w:val="00680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5883">
      <w:bodyDiv w:val="1"/>
      <w:marLeft w:val="0"/>
      <w:marRight w:val="0"/>
      <w:marTop w:val="0"/>
      <w:marBottom w:val="0"/>
      <w:divBdr>
        <w:top w:val="none" w:sz="0" w:space="0" w:color="auto"/>
        <w:left w:val="none" w:sz="0" w:space="0" w:color="auto"/>
        <w:bottom w:val="none" w:sz="0" w:space="0" w:color="auto"/>
        <w:right w:val="none" w:sz="0" w:space="0" w:color="auto"/>
      </w:divBdr>
    </w:div>
    <w:div w:id="156772072">
      <w:bodyDiv w:val="1"/>
      <w:marLeft w:val="0"/>
      <w:marRight w:val="0"/>
      <w:marTop w:val="0"/>
      <w:marBottom w:val="0"/>
      <w:divBdr>
        <w:top w:val="none" w:sz="0" w:space="0" w:color="auto"/>
        <w:left w:val="none" w:sz="0" w:space="0" w:color="auto"/>
        <w:bottom w:val="none" w:sz="0" w:space="0" w:color="auto"/>
        <w:right w:val="none" w:sz="0" w:space="0" w:color="auto"/>
      </w:divBdr>
    </w:div>
    <w:div w:id="353314158">
      <w:bodyDiv w:val="1"/>
      <w:marLeft w:val="0"/>
      <w:marRight w:val="0"/>
      <w:marTop w:val="0"/>
      <w:marBottom w:val="0"/>
      <w:divBdr>
        <w:top w:val="none" w:sz="0" w:space="0" w:color="auto"/>
        <w:left w:val="none" w:sz="0" w:space="0" w:color="auto"/>
        <w:bottom w:val="none" w:sz="0" w:space="0" w:color="auto"/>
        <w:right w:val="none" w:sz="0" w:space="0" w:color="auto"/>
      </w:divBdr>
    </w:div>
    <w:div w:id="538276102">
      <w:bodyDiv w:val="1"/>
      <w:marLeft w:val="0"/>
      <w:marRight w:val="0"/>
      <w:marTop w:val="0"/>
      <w:marBottom w:val="0"/>
      <w:divBdr>
        <w:top w:val="none" w:sz="0" w:space="0" w:color="auto"/>
        <w:left w:val="none" w:sz="0" w:space="0" w:color="auto"/>
        <w:bottom w:val="none" w:sz="0" w:space="0" w:color="auto"/>
        <w:right w:val="none" w:sz="0" w:space="0" w:color="auto"/>
      </w:divBdr>
    </w:div>
    <w:div w:id="632567530">
      <w:bodyDiv w:val="1"/>
      <w:marLeft w:val="0"/>
      <w:marRight w:val="0"/>
      <w:marTop w:val="0"/>
      <w:marBottom w:val="0"/>
      <w:divBdr>
        <w:top w:val="none" w:sz="0" w:space="0" w:color="auto"/>
        <w:left w:val="none" w:sz="0" w:space="0" w:color="auto"/>
        <w:bottom w:val="none" w:sz="0" w:space="0" w:color="auto"/>
        <w:right w:val="none" w:sz="0" w:space="0" w:color="auto"/>
      </w:divBdr>
    </w:div>
    <w:div w:id="862748060">
      <w:bodyDiv w:val="1"/>
      <w:marLeft w:val="0"/>
      <w:marRight w:val="0"/>
      <w:marTop w:val="0"/>
      <w:marBottom w:val="0"/>
      <w:divBdr>
        <w:top w:val="none" w:sz="0" w:space="0" w:color="auto"/>
        <w:left w:val="none" w:sz="0" w:space="0" w:color="auto"/>
        <w:bottom w:val="none" w:sz="0" w:space="0" w:color="auto"/>
        <w:right w:val="none" w:sz="0" w:space="0" w:color="auto"/>
      </w:divBdr>
    </w:div>
    <w:div w:id="910385881">
      <w:bodyDiv w:val="1"/>
      <w:marLeft w:val="0"/>
      <w:marRight w:val="0"/>
      <w:marTop w:val="0"/>
      <w:marBottom w:val="0"/>
      <w:divBdr>
        <w:top w:val="none" w:sz="0" w:space="0" w:color="auto"/>
        <w:left w:val="none" w:sz="0" w:space="0" w:color="auto"/>
        <w:bottom w:val="none" w:sz="0" w:space="0" w:color="auto"/>
        <w:right w:val="none" w:sz="0" w:space="0" w:color="auto"/>
      </w:divBdr>
    </w:div>
    <w:div w:id="1346441831">
      <w:bodyDiv w:val="1"/>
      <w:marLeft w:val="0"/>
      <w:marRight w:val="0"/>
      <w:marTop w:val="0"/>
      <w:marBottom w:val="0"/>
      <w:divBdr>
        <w:top w:val="none" w:sz="0" w:space="0" w:color="auto"/>
        <w:left w:val="none" w:sz="0" w:space="0" w:color="auto"/>
        <w:bottom w:val="none" w:sz="0" w:space="0" w:color="auto"/>
        <w:right w:val="none" w:sz="0" w:space="0" w:color="auto"/>
      </w:divBdr>
    </w:div>
    <w:div w:id="1353990224">
      <w:bodyDiv w:val="1"/>
      <w:marLeft w:val="0"/>
      <w:marRight w:val="0"/>
      <w:marTop w:val="0"/>
      <w:marBottom w:val="0"/>
      <w:divBdr>
        <w:top w:val="none" w:sz="0" w:space="0" w:color="auto"/>
        <w:left w:val="none" w:sz="0" w:space="0" w:color="auto"/>
        <w:bottom w:val="none" w:sz="0" w:space="0" w:color="auto"/>
        <w:right w:val="none" w:sz="0" w:space="0" w:color="auto"/>
      </w:divBdr>
    </w:div>
    <w:div w:id="1686397697">
      <w:bodyDiv w:val="1"/>
      <w:marLeft w:val="0"/>
      <w:marRight w:val="0"/>
      <w:marTop w:val="0"/>
      <w:marBottom w:val="0"/>
      <w:divBdr>
        <w:top w:val="none" w:sz="0" w:space="0" w:color="auto"/>
        <w:left w:val="none" w:sz="0" w:space="0" w:color="auto"/>
        <w:bottom w:val="none" w:sz="0" w:space="0" w:color="auto"/>
        <w:right w:val="none" w:sz="0" w:space="0" w:color="auto"/>
      </w:divBdr>
    </w:div>
    <w:div w:id="1816486864">
      <w:bodyDiv w:val="1"/>
      <w:marLeft w:val="0"/>
      <w:marRight w:val="0"/>
      <w:marTop w:val="0"/>
      <w:marBottom w:val="0"/>
      <w:divBdr>
        <w:top w:val="none" w:sz="0" w:space="0" w:color="auto"/>
        <w:left w:val="none" w:sz="0" w:space="0" w:color="auto"/>
        <w:bottom w:val="none" w:sz="0" w:space="0" w:color="auto"/>
        <w:right w:val="none" w:sz="0" w:space="0" w:color="auto"/>
      </w:divBdr>
    </w:div>
    <w:div w:id="1828394710">
      <w:bodyDiv w:val="1"/>
      <w:marLeft w:val="0"/>
      <w:marRight w:val="0"/>
      <w:marTop w:val="0"/>
      <w:marBottom w:val="0"/>
      <w:divBdr>
        <w:top w:val="none" w:sz="0" w:space="0" w:color="auto"/>
        <w:left w:val="none" w:sz="0" w:space="0" w:color="auto"/>
        <w:bottom w:val="none" w:sz="0" w:space="0" w:color="auto"/>
        <w:right w:val="none" w:sz="0" w:space="0" w:color="auto"/>
      </w:divBdr>
    </w:div>
    <w:div w:id="183988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grants/vpfhousinground" TargetMode="External"/><Relationship Id="rId13" Type="http://schemas.openxmlformats.org/officeDocument/2006/relationships/hyperlink" Target="http://www.consumer.vic.gov.au/vpfhousinground"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mer.vic.gov.au/vpfhousinground" TargetMode="External"/><Relationship Id="rId17" Type="http://schemas.openxmlformats.org/officeDocument/2006/relationships/hyperlink" Target="mailto:vpf.grant.enquiries@justice.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pf.grant.enquiries@justice.vic.gov.au" TargetMode="External"/><Relationship Id="rId20" Type="http://schemas.openxmlformats.org/officeDocument/2006/relationships/hyperlink" Target="https://economicdevelopment.vic.gov.au/victorian-industry-participa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et.vic.gov.au/Public/Public.aspx?id=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pf.grant.enquiries@justice.vic.gov.au" TargetMode="External"/><Relationship Id="rId23" Type="http://schemas.openxmlformats.org/officeDocument/2006/relationships/header" Target="header2.xml"/><Relationship Id="rId10" Type="http://schemas.openxmlformats.org/officeDocument/2006/relationships/hyperlink" Target="http://www.solar.vic.gov.au/" TargetMode="External"/><Relationship Id="rId19" Type="http://schemas.openxmlformats.org/officeDocument/2006/relationships/hyperlink" Target="https://providers.dhhs.vic.gov.au/victorian-common-funding-agreement" TargetMode="External"/><Relationship Id="rId4" Type="http://schemas.openxmlformats.org/officeDocument/2006/relationships/settings" Target="settings.xml"/><Relationship Id="rId9" Type="http://schemas.openxmlformats.org/officeDocument/2006/relationships/hyperlink" Target="http://www.consumer.vic.gov.au/grants" TargetMode="External"/><Relationship Id="rId14" Type="http://schemas.openxmlformats.org/officeDocument/2006/relationships/hyperlink" Target="mailto:vpf.grant.enquiries@justice.vic.gov.a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A85B-66AF-48E1-AE6A-5A25278C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5900</Words>
  <Characters>33633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Invitation for expressions of interest - VPF housing funding round 2018-19</vt:lpstr>
    </vt:vector>
  </TitlesOfParts>
  <Company>Department of Justice and Regulation</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expressions of interest - VPF housing funding round 2018-19</dc:title>
  <dc:subject>Funded services and grants</dc:subject>
  <dc:creator>Consumer Affairs Victoria</dc:creator>
  <cp:keywords/>
  <dc:description/>
  <cp:lastModifiedBy>Fiona Creedy</cp:lastModifiedBy>
  <cp:revision>2</cp:revision>
  <cp:lastPrinted>2017-02-16T03:59:00Z</cp:lastPrinted>
  <dcterms:created xsi:type="dcterms:W3CDTF">2018-09-10T00:47:00Z</dcterms:created>
  <dcterms:modified xsi:type="dcterms:W3CDTF">2018-09-10T00:47:00Z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TRIMID</vt:lpwstr>
  </property>
  <property fmtid="{D5CDD505-2E9C-101B-9397-08002B2CF9AE}" pid="3" name="TRIM_DateDue">
    <vt:lpwstr>TRIM_DateDue</vt:lpwstr>
  </property>
  <property fmtid="{D5CDD505-2E9C-101B-9397-08002B2CF9AE}" pid="4" name="TRIM_Author">
    <vt:lpwstr>TRIM_Author</vt:lpwstr>
  </property>
  <property fmtid="{D5CDD505-2E9C-101B-9397-08002B2CF9AE}" pid="5" name="TRIM_Container">
    <vt:lpwstr>TRIM_Container</vt:lpwstr>
  </property>
  <property fmtid="{D5CDD505-2E9C-101B-9397-08002B2CF9AE}" pid="6" name="TRIM_Creator">
    <vt:lpwstr>TRIM_Creator</vt:lpwstr>
  </property>
  <property fmtid="{D5CDD505-2E9C-101B-9397-08002B2CF9AE}" pid="7" name="TRIM_DateRegistered">
    <vt:lpwstr>TRIM_DateRegistered</vt:lpwstr>
  </property>
  <property fmtid="{D5CDD505-2E9C-101B-9397-08002B2CF9AE}" pid="8" name="TRIM_OwnerLocation">
    <vt:lpwstr>TRIM_OwnerLocation</vt:lpwstr>
  </property>
  <property fmtid="{D5CDD505-2E9C-101B-9397-08002B2CF9AE}" pid="9" name="TRIM_ResponsibleOfficer">
    <vt:lpwstr>TRIM_ResponsibleOfficer</vt:lpwstr>
  </property>
  <property fmtid="{D5CDD505-2E9C-101B-9397-08002B2CF9AE}" pid="10" name="TRIM_Title">
    <vt:lpwstr>TRIM_Title</vt:lpwstr>
  </property>
</Properties>
</file>