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A2F44" w14:textId="77777777" w:rsidR="000F7512" w:rsidRPr="00AB45CC" w:rsidRDefault="000F7512" w:rsidP="00AB45CC">
      <w:pPr>
        <w:pStyle w:val="Sectionbreakfirstpage"/>
        <w:widowControl w:val="0"/>
        <w:spacing w:before="600"/>
        <w:rPr>
          <w:rFonts w:eastAsia="MS Gothic" w:cs="Arial"/>
          <w:b/>
          <w:color w:val="16145F" w:themeColor="accent3"/>
          <w:kern w:val="32"/>
          <w:sz w:val="36"/>
          <w:szCs w:val="36"/>
        </w:rPr>
      </w:pPr>
      <w:r w:rsidRPr="00AB45CC">
        <w:rPr>
          <w:rFonts w:eastAsia="MS Gothic" w:cs="Arial"/>
          <w:b/>
          <w:color w:val="16145F" w:themeColor="accent3"/>
          <w:kern w:val="32"/>
          <w:sz w:val="36"/>
          <w:szCs w:val="36"/>
        </w:rPr>
        <w:t>Practice Note – What is a prescriptive standard?</w:t>
      </w:r>
    </w:p>
    <w:p w14:paraId="48B42CE7" w14:textId="77777777" w:rsidR="000F7512" w:rsidRPr="00AB45CC" w:rsidRDefault="000F7512" w:rsidP="00AB45CC">
      <w:pPr>
        <w:pStyle w:val="Heading2"/>
        <w:keepNext w:val="0"/>
        <w:keepLines w:val="0"/>
        <w:widowControl w:val="0"/>
        <w:spacing w:after="240" w:line="240" w:lineRule="auto"/>
        <w:rPr>
          <w:rFonts w:eastAsia="MS Gothic" w:cs="Arial"/>
          <w:bCs/>
          <w:color w:val="16145F" w:themeColor="accent3"/>
          <w:kern w:val="32"/>
          <w:sz w:val="28"/>
        </w:rPr>
      </w:pPr>
      <w:r w:rsidRPr="00AB45CC">
        <w:rPr>
          <w:rFonts w:eastAsia="MS Gothic" w:cs="Arial"/>
          <w:bCs/>
          <w:color w:val="16145F" w:themeColor="accent3"/>
          <w:kern w:val="32"/>
          <w:sz w:val="28"/>
        </w:rPr>
        <w:t>Purpose</w:t>
      </w:r>
    </w:p>
    <w:p w14:paraId="432B74A8" w14:textId="77777777" w:rsidR="000F7512" w:rsidRPr="00AB45CC" w:rsidRDefault="000F7512" w:rsidP="00AB45CC">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 xml:space="preserve">This Practice Note is provided for the purposes of section 3(2) of the </w:t>
      </w:r>
      <w:r w:rsidRPr="00AB45CC">
        <w:rPr>
          <w:rFonts w:asciiTheme="majorHAnsi" w:hAnsiTheme="majorHAnsi" w:cstheme="majorHAnsi"/>
          <w:i/>
          <w:iCs/>
          <w:sz w:val="22"/>
          <w:szCs w:val="22"/>
        </w:rPr>
        <w:t>Professional Engineers Registration Act 2019</w:t>
      </w:r>
      <w:r w:rsidRPr="00AB45CC">
        <w:rPr>
          <w:rFonts w:asciiTheme="majorHAnsi" w:hAnsiTheme="majorHAnsi" w:cstheme="majorHAnsi"/>
          <w:sz w:val="22"/>
          <w:szCs w:val="22"/>
        </w:rPr>
        <w:t xml:space="preserve"> (the Act). It sets out the requirements for determining whether a document is a prescriptive standard. </w:t>
      </w:r>
    </w:p>
    <w:p w14:paraId="75272998" w14:textId="77777777" w:rsidR="000F7512" w:rsidRPr="00AB45CC" w:rsidRDefault="000F7512" w:rsidP="00AB45CC">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It covers the:</w:t>
      </w:r>
    </w:p>
    <w:p w14:paraId="7A73A0E1" w14:textId="77777777" w:rsidR="000F7512" w:rsidRPr="00AB45CC" w:rsidRDefault="000F7512" w:rsidP="00AB45CC">
      <w:pPr>
        <w:widowControl w:val="0"/>
        <w:numPr>
          <w:ilvl w:val="0"/>
          <w:numId w:val="35"/>
        </w:numPr>
        <w:rPr>
          <w:rFonts w:ascii="Arial" w:hAnsi="Arial"/>
          <w:sz w:val="22"/>
          <w:szCs w:val="22"/>
          <w:lang w:eastAsia="en-US"/>
        </w:rPr>
      </w:pPr>
      <w:r w:rsidRPr="00AB45CC">
        <w:rPr>
          <w:rFonts w:ascii="Arial" w:hAnsi="Arial"/>
          <w:sz w:val="22"/>
          <w:szCs w:val="22"/>
          <w:lang w:eastAsia="en-US"/>
        </w:rPr>
        <w:t xml:space="preserve">meaning of a prescriptive standard under the Act </w:t>
      </w:r>
    </w:p>
    <w:p w14:paraId="40EFD0E6" w14:textId="77777777" w:rsidR="000F7512" w:rsidRPr="00AB45CC" w:rsidRDefault="000F7512" w:rsidP="00AB45CC">
      <w:pPr>
        <w:widowControl w:val="0"/>
        <w:numPr>
          <w:ilvl w:val="0"/>
          <w:numId w:val="35"/>
        </w:numPr>
        <w:rPr>
          <w:rFonts w:ascii="Arial" w:hAnsi="Arial"/>
          <w:sz w:val="22"/>
          <w:szCs w:val="22"/>
          <w:lang w:eastAsia="en-US"/>
        </w:rPr>
      </w:pPr>
      <w:r w:rsidRPr="00AB45CC">
        <w:rPr>
          <w:rFonts w:ascii="Arial" w:hAnsi="Arial"/>
          <w:sz w:val="22"/>
          <w:szCs w:val="22"/>
          <w:lang w:eastAsia="en-US"/>
        </w:rPr>
        <w:t>prescriptive standard exemption</w:t>
      </w:r>
    </w:p>
    <w:p w14:paraId="4B2DD674" w14:textId="77777777" w:rsidR="000F7512" w:rsidRPr="00AB45CC" w:rsidRDefault="000F7512" w:rsidP="00AB45CC">
      <w:pPr>
        <w:widowControl w:val="0"/>
        <w:numPr>
          <w:ilvl w:val="0"/>
          <w:numId w:val="35"/>
        </w:numPr>
        <w:rPr>
          <w:rFonts w:ascii="Arial" w:hAnsi="Arial"/>
          <w:sz w:val="22"/>
          <w:szCs w:val="22"/>
          <w:lang w:eastAsia="en-US"/>
        </w:rPr>
      </w:pPr>
      <w:r w:rsidRPr="00AB45CC">
        <w:rPr>
          <w:rFonts w:ascii="Arial" w:hAnsi="Arial"/>
          <w:sz w:val="22"/>
          <w:szCs w:val="22"/>
          <w:lang w:eastAsia="en-US"/>
        </w:rPr>
        <w:t>criteria for determining a prescriptive standard</w:t>
      </w:r>
    </w:p>
    <w:p w14:paraId="3889043F" w14:textId="77777777" w:rsidR="000F7512" w:rsidRPr="00AB45CC" w:rsidRDefault="000F7512" w:rsidP="00AB45CC">
      <w:pPr>
        <w:widowControl w:val="0"/>
        <w:numPr>
          <w:ilvl w:val="0"/>
          <w:numId w:val="35"/>
        </w:numPr>
        <w:rPr>
          <w:rFonts w:ascii="Arial" w:hAnsi="Arial"/>
          <w:sz w:val="22"/>
          <w:szCs w:val="22"/>
          <w:lang w:eastAsia="en-US"/>
        </w:rPr>
      </w:pPr>
      <w:r w:rsidRPr="00AB45CC">
        <w:rPr>
          <w:rFonts w:ascii="Arial" w:hAnsi="Arial"/>
          <w:sz w:val="22"/>
          <w:szCs w:val="22"/>
          <w:lang w:eastAsia="en-US"/>
        </w:rPr>
        <w:t xml:space="preserve">different types of prescriptive standards, and </w:t>
      </w:r>
    </w:p>
    <w:p w14:paraId="7B74B222" w14:textId="77777777" w:rsidR="000F7512" w:rsidRPr="00AB45CC" w:rsidRDefault="000F7512" w:rsidP="00AB45CC">
      <w:pPr>
        <w:widowControl w:val="0"/>
        <w:numPr>
          <w:ilvl w:val="0"/>
          <w:numId w:val="35"/>
        </w:numPr>
        <w:spacing w:after="120"/>
        <w:rPr>
          <w:rFonts w:ascii="Arial" w:hAnsi="Arial"/>
          <w:sz w:val="22"/>
          <w:szCs w:val="22"/>
          <w:lang w:eastAsia="en-US"/>
        </w:rPr>
      </w:pPr>
      <w:r w:rsidRPr="00AB45CC">
        <w:rPr>
          <w:rFonts w:ascii="Arial" w:hAnsi="Arial"/>
          <w:sz w:val="22"/>
          <w:szCs w:val="22"/>
          <w:lang w:eastAsia="en-US"/>
        </w:rPr>
        <w:t>performance of work under a prescriptive standard.</w:t>
      </w:r>
    </w:p>
    <w:p w14:paraId="46E2CCF8" w14:textId="77777777" w:rsidR="000F7512" w:rsidRPr="00AB45CC" w:rsidRDefault="000F7512" w:rsidP="00AB45CC">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It also includes checklists for determining when a document is a prescriptive standard, and when the prescriptive standard exemption applies.</w:t>
      </w:r>
    </w:p>
    <w:p w14:paraId="05DE216F" w14:textId="77777777" w:rsidR="000F7512" w:rsidRPr="00AB45CC" w:rsidRDefault="000F7512" w:rsidP="00AB45CC">
      <w:pPr>
        <w:pStyle w:val="Heading2"/>
        <w:keepNext w:val="0"/>
        <w:keepLines w:val="0"/>
        <w:widowControl w:val="0"/>
        <w:spacing w:after="240" w:line="240" w:lineRule="auto"/>
        <w:rPr>
          <w:rFonts w:eastAsia="MS Gothic" w:cs="Arial"/>
          <w:bCs/>
          <w:color w:val="16145F" w:themeColor="accent3"/>
          <w:kern w:val="32"/>
          <w:sz w:val="28"/>
        </w:rPr>
      </w:pPr>
      <w:r w:rsidRPr="00AB45CC">
        <w:rPr>
          <w:rFonts w:eastAsia="MS Gothic" w:cs="Arial"/>
          <w:bCs/>
          <w:color w:val="16145F" w:themeColor="accent3"/>
          <w:kern w:val="32"/>
          <w:sz w:val="28"/>
        </w:rPr>
        <w:t>What the Act requires</w:t>
      </w:r>
    </w:p>
    <w:p w14:paraId="35B562E9" w14:textId="77777777" w:rsidR="000F7512" w:rsidRPr="00AB45CC" w:rsidRDefault="000F7512" w:rsidP="00117E6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Under the Act an engineering service is not a professional engineering service if it is “provided only in accordance with a prescriptive standard”.</w:t>
      </w:r>
      <w:r w:rsidRPr="00AB45CC">
        <w:rPr>
          <w:rFonts w:asciiTheme="majorHAnsi" w:hAnsiTheme="majorHAnsi" w:cstheme="majorHAnsi"/>
          <w:sz w:val="22"/>
          <w:szCs w:val="22"/>
          <w:vertAlign w:val="superscript"/>
        </w:rPr>
        <w:footnoteReference w:id="2"/>
      </w:r>
      <w:r w:rsidRPr="00AB45CC">
        <w:rPr>
          <w:rFonts w:asciiTheme="majorHAnsi" w:hAnsiTheme="majorHAnsi" w:cstheme="majorHAnsi"/>
          <w:sz w:val="22"/>
          <w:szCs w:val="22"/>
        </w:rPr>
        <w:t xml:space="preserve"> This means that a person providing a professional engineering service only in accordance with a prescriptive standard does not need to be registered with the Business Licensing Authority to provide that engineering service.</w:t>
      </w:r>
    </w:p>
    <w:p w14:paraId="0AA05858" w14:textId="77777777" w:rsidR="000F7512" w:rsidRPr="00AB45CC" w:rsidRDefault="000F7512" w:rsidP="00117E6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 xml:space="preserve">A prescriptive standard is defined in section 3(1) of the Act as “a document that states procedures or criteria – </w:t>
      </w:r>
    </w:p>
    <w:p w14:paraId="4469D753" w14:textId="77777777" w:rsidR="000F7512" w:rsidRPr="00117E6E" w:rsidRDefault="000F7512" w:rsidP="00117E6E">
      <w:pPr>
        <w:pStyle w:val="DJCSbody"/>
        <w:widowControl w:val="0"/>
        <w:numPr>
          <w:ilvl w:val="0"/>
          <w:numId w:val="34"/>
        </w:numPr>
        <w:spacing w:after="0" w:line="240" w:lineRule="auto"/>
        <w:ind w:left="850" w:hanging="425"/>
      </w:pPr>
      <w:r w:rsidRPr="00117E6E">
        <w:t>for carrying out a design, or a construction or production activity, relating to engineering; and</w:t>
      </w:r>
    </w:p>
    <w:p w14:paraId="2B765D33" w14:textId="77777777" w:rsidR="000F7512" w:rsidRPr="00117E6E" w:rsidRDefault="000F7512" w:rsidP="00117E6E">
      <w:pPr>
        <w:pStyle w:val="DJCSbody"/>
        <w:widowControl w:val="0"/>
        <w:numPr>
          <w:ilvl w:val="0"/>
          <w:numId w:val="34"/>
        </w:numPr>
        <w:spacing w:line="240" w:lineRule="auto"/>
        <w:ind w:left="851" w:hanging="425"/>
      </w:pPr>
      <w:r w:rsidRPr="00117E6E">
        <w:t>the application of which, to the carrying out of the design, or the construction or production, activity, does not require advanced scientifically based calculations;”.</w:t>
      </w:r>
    </w:p>
    <w:p w14:paraId="76E24364" w14:textId="77777777" w:rsidR="000F7512" w:rsidRPr="00AB45CC" w:rsidRDefault="000F7512" w:rsidP="00117E6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The prescriptive standard exemption is one of two exemptions from the requirement to be registered that is provided under the Act. The second exemption allows an unregistered person to carry out professional engineering services provided they do so under the direct supervision of a registered practising professional engineer.</w:t>
      </w:r>
      <w:r w:rsidRPr="00AB45CC">
        <w:rPr>
          <w:rFonts w:asciiTheme="majorHAnsi" w:hAnsiTheme="majorHAnsi" w:cstheme="majorHAnsi"/>
          <w:sz w:val="22"/>
          <w:szCs w:val="22"/>
          <w:vertAlign w:val="superscript"/>
        </w:rPr>
        <w:footnoteReference w:id="3"/>
      </w:r>
    </w:p>
    <w:p w14:paraId="614059AC" w14:textId="07ED652A" w:rsidR="000F7512" w:rsidRPr="00AB45CC" w:rsidRDefault="000F7512" w:rsidP="00117E6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For guidance on the meaning of professional engineering services and direct supervision see the “Guidelines on providing professional engineering services” and the “Guidelines on direct supervision”</w:t>
      </w:r>
      <w:r w:rsidR="00117E6E">
        <w:rPr>
          <w:rFonts w:asciiTheme="majorHAnsi" w:hAnsiTheme="majorHAnsi" w:cstheme="majorHAnsi"/>
          <w:sz w:val="22"/>
          <w:szCs w:val="22"/>
        </w:rPr>
        <w:t xml:space="preserve"> at </w:t>
      </w:r>
      <w:r w:rsidR="00117E6E">
        <w:rPr>
          <w:rFonts w:asciiTheme="majorHAnsi" w:hAnsiTheme="majorHAnsi" w:cstheme="majorHAnsi"/>
          <w:color w:val="0070C0"/>
          <w:sz w:val="22"/>
          <w:szCs w:val="22"/>
        </w:rPr>
        <w:t xml:space="preserve"> </w:t>
      </w:r>
      <w:hyperlink r:id="rId11" w:history="1">
        <w:r w:rsidR="00117E6E" w:rsidRPr="00647C03">
          <w:rPr>
            <w:rStyle w:val="Hyperlink"/>
            <w:rFonts w:cstheme="minorHAnsi"/>
            <w:bCs/>
            <w:szCs w:val="22"/>
          </w:rPr>
          <w:t>consumer.vic.gov.au/engineers</w:t>
        </w:r>
      </w:hyperlink>
      <w:r w:rsidR="00117E6E" w:rsidRPr="00647C03">
        <w:rPr>
          <w:rFonts w:eastAsia="Times"/>
          <w:bCs/>
        </w:rPr>
        <w:t>.</w:t>
      </w:r>
      <w:r w:rsidRPr="00AB45CC">
        <w:rPr>
          <w:rFonts w:asciiTheme="majorHAnsi" w:hAnsiTheme="majorHAnsi" w:cstheme="majorHAnsi"/>
          <w:color w:val="7B7B7B" w:themeColor="accent6" w:themeShade="BF"/>
          <w:sz w:val="22"/>
          <w:szCs w:val="22"/>
        </w:rPr>
        <w:t xml:space="preserve"> </w:t>
      </w:r>
    </w:p>
    <w:p w14:paraId="7CBD0F8B" w14:textId="77777777" w:rsidR="000F7512" w:rsidRPr="00117E6E" w:rsidRDefault="000F7512" w:rsidP="00117E6E">
      <w:pPr>
        <w:pStyle w:val="Heading2"/>
        <w:keepNext w:val="0"/>
        <w:keepLines w:val="0"/>
        <w:widowControl w:val="0"/>
        <w:spacing w:after="240" w:line="240" w:lineRule="auto"/>
        <w:rPr>
          <w:rFonts w:eastAsia="MS Gothic" w:cs="Arial"/>
          <w:bCs/>
          <w:color w:val="16145F" w:themeColor="accent3"/>
          <w:kern w:val="32"/>
          <w:sz w:val="28"/>
        </w:rPr>
      </w:pPr>
      <w:r w:rsidRPr="00117E6E">
        <w:rPr>
          <w:rFonts w:eastAsia="MS Gothic" w:cs="Arial"/>
          <w:bCs/>
          <w:color w:val="16145F" w:themeColor="accent3"/>
          <w:kern w:val="32"/>
          <w:sz w:val="28"/>
        </w:rPr>
        <w:t xml:space="preserve">The prescriptive standard exemption </w:t>
      </w:r>
    </w:p>
    <w:p w14:paraId="7C0A558F" w14:textId="77777777" w:rsidR="000F7512" w:rsidRPr="00117E6E" w:rsidRDefault="000F7512" w:rsidP="00AB45CC">
      <w:pPr>
        <w:widowControl w:val="0"/>
        <w:rPr>
          <w:rFonts w:asciiTheme="majorHAnsi" w:hAnsiTheme="majorHAnsi" w:cstheme="majorHAnsi"/>
          <w:sz w:val="22"/>
          <w:szCs w:val="22"/>
        </w:rPr>
      </w:pPr>
      <w:r w:rsidRPr="00117E6E">
        <w:rPr>
          <w:rFonts w:asciiTheme="majorHAnsi" w:hAnsiTheme="majorHAnsi" w:cstheme="majorHAnsi"/>
          <w:sz w:val="22"/>
          <w:szCs w:val="22"/>
        </w:rPr>
        <w:t xml:space="preserve">For an engineering service to qualify for the prescriptive standard exemption it must be provided: </w:t>
      </w:r>
    </w:p>
    <w:p w14:paraId="338137C6" w14:textId="77777777" w:rsidR="000F7512" w:rsidRPr="00117E6E" w:rsidRDefault="000F7512" w:rsidP="00F07F8E">
      <w:pPr>
        <w:widowControl w:val="0"/>
        <w:numPr>
          <w:ilvl w:val="0"/>
          <w:numId w:val="35"/>
        </w:numPr>
        <w:rPr>
          <w:rFonts w:ascii="Arial" w:hAnsi="Arial"/>
          <w:sz w:val="22"/>
          <w:szCs w:val="22"/>
          <w:lang w:eastAsia="en-US"/>
        </w:rPr>
      </w:pPr>
      <w:r w:rsidRPr="00117E6E">
        <w:rPr>
          <w:rFonts w:ascii="Arial" w:hAnsi="Arial"/>
          <w:sz w:val="22"/>
          <w:szCs w:val="22"/>
          <w:lang w:eastAsia="en-US"/>
        </w:rPr>
        <w:t>in accordance with, and</w:t>
      </w:r>
    </w:p>
    <w:p w14:paraId="7F458543" w14:textId="77777777" w:rsidR="000F7512" w:rsidRPr="00117E6E" w:rsidRDefault="000F7512" w:rsidP="00F07F8E">
      <w:pPr>
        <w:widowControl w:val="0"/>
        <w:numPr>
          <w:ilvl w:val="0"/>
          <w:numId w:val="35"/>
        </w:numPr>
        <w:spacing w:after="120"/>
        <w:ind w:left="714" w:hanging="357"/>
        <w:rPr>
          <w:rFonts w:ascii="Arial" w:hAnsi="Arial"/>
          <w:sz w:val="22"/>
          <w:szCs w:val="22"/>
          <w:lang w:eastAsia="en-US"/>
        </w:rPr>
      </w:pPr>
      <w:r w:rsidRPr="00117E6E">
        <w:rPr>
          <w:rFonts w:ascii="Arial" w:hAnsi="Arial"/>
          <w:sz w:val="22"/>
          <w:szCs w:val="22"/>
          <w:lang w:eastAsia="en-US"/>
        </w:rPr>
        <w:t>only in accordance with</w:t>
      </w:r>
    </w:p>
    <w:p w14:paraId="29164F7B" w14:textId="77777777" w:rsidR="000F7512" w:rsidRPr="00AB45CC" w:rsidRDefault="000F7512" w:rsidP="00AB45CC">
      <w:pPr>
        <w:widowControl w:val="0"/>
        <w:rPr>
          <w:rFonts w:asciiTheme="majorHAnsi" w:hAnsiTheme="majorHAnsi" w:cstheme="majorHAnsi"/>
          <w:sz w:val="22"/>
          <w:szCs w:val="22"/>
        </w:rPr>
      </w:pPr>
      <w:r w:rsidRPr="00AB45CC">
        <w:rPr>
          <w:rFonts w:asciiTheme="majorHAnsi" w:hAnsiTheme="majorHAnsi" w:cstheme="majorHAnsi"/>
          <w:sz w:val="22"/>
          <w:szCs w:val="22"/>
        </w:rPr>
        <w:t>a ‘prescriptive standard’.</w:t>
      </w:r>
    </w:p>
    <w:p w14:paraId="436A335B" w14:textId="2CADD8E3" w:rsidR="000F7512" w:rsidRPr="00117E6E" w:rsidRDefault="000F7512" w:rsidP="00F07F8E">
      <w:pPr>
        <w:pStyle w:val="Heading2"/>
        <w:keepNext w:val="0"/>
        <w:keepLines w:val="0"/>
        <w:widowControl w:val="0"/>
        <w:spacing w:after="240" w:line="240" w:lineRule="auto"/>
        <w:rPr>
          <w:rFonts w:eastAsia="MS Gothic" w:cs="Arial"/>
          <w:bCs/>
          <w:color w:val="16145F" w:themeColor="accent3"/>
          <w:kern w:val="32"/>
          <w:szCs w:val="24"/>
        </w:rPr>
      </w:pPr>
      <w:r w:rsidRPr="00117E6E">
        <w:rPr>
          <w:rFonts w:eastAsia="MS Gothic" w:cs="Arial"/>
          <w:bCs/>
          <w:color w:val="16145F" w:themeColor="accent3"/>
          <w:kern w:val="32"/>
          <w:szCs w:val="24"/>
        </w:rPr>
        <w:lastRenderedPageBreak/>
        <w:t>Criteria for determining a prescriptive standard</w:t>
      </w:r>
    </w:p>
    <w:p w14:paraId="5C410073" w14:textId="77777777" w:rsidR="000F7512" w:rsidRPr="00AB45CC" w:rsidRDefault="000F7512" w:rsidP="00117E6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 xml:space="preserve">For a standard to be a prescriptive standard it must meet four criteria. It must: </w:t>
      </w:r>
    </w:p>
    <w:p w14:paraId="44BB262D" w14:textId="77777777" w:rsidR="000F7512" w:rsidRPr="00117E6E" w:rsidRDefault="000F7512" w:rsidP="00117E6E">
      <w:pPr>
        <w:pStyle w:val="DJCSbody"/>
        <w:widowControl w:val="0"/>
        <w:numPr>
          <w:ilvl w:val="0"/>
          <w:numId w:val="31"/>
        </w:numPr>
        <w:spacing w:after="0" w:line="240" w:lineRule="auto"/>
        <w:ind w:left="992" w:hanging="567"/>
      </w:pPr>
      <w:r w:rsidRPr="00117E6E">
        <w:t>be a document</w:t>
      </w:r>
    </w:p>
    <w:p w14:paraId="5AB4637D" w14:textId="77777777" w:rsidR="000F7512" w:rsidRPr="00117E6E" w:rsidRDefault="000F7512" w:rsidP="00117E6E">
      <w:pPr>
        <w:pStyle w:val="DJCSbody"/>
        <w:widowControl w:val="0"/>
        <w:numPr>
          <w:ilvl w:val="0"/>
          <w:numId w:val="31"/>
        </w:numPr>
        <w:spacing w:after="0" w:line="240" w:lineRule="auto"/>
        <w:ind w:left="992" w:hanging="567"/>
      </w:pPr>
      <w:r w:rsidRPr="00117E6E">
        <w:t>state procedures or criteria for carrying out the design, or the construction or production activity to which it relates</w:t>
      </w:r>
    </w:p>
    <w:p w14:paraId="555995C4" w14:textId="77777777" w:rsidR="000F7512" w:rsidRPr="00117E6E" w:rsidRDefault="000F7512" w:rsidP="00117E6E">
      <w:pPr>
        <w:pStyle w:val="DJCSbody"/>
        <w:widowControl w:val="0"/>
        <w:numPr>
          <w:ilvl w:val="0"/>
          <w:numId w:val="31"/>
        </w:numPr>
        <w:spacing w:after="0" w:line="240" w:lineRule="auto"/>
        <w:ind w:left="992" w:hanging="567"/>
      </w:pPr>
      <w:r w:rsidRPr="00117E6E">
        <w:t>require little or no engineering judgement to apply the stated procedures or criteria, and</w:t>
      </w:r>
    </w:p>
    <w:p w14:paraId="68D3547F" w14:textId="77777777" w:rsidR="000F7512" w:rsidRPr="00117E6E" w:rsidRDefault="000F7512" w:rsidP="00117E6E">
      <w:pPr>
        <w:pStyle w:val="DJCSbody"/>
        <w:widowControl w:val="0"/>
        <w:numPr>
          <w:ilvl w:val="0"/>
          <w:numId w:val="31"/>
        </w:numPr>
        <w:spacing w:line="240" w:lineRule="auto"/>
        <w:ind w:left="992" w:hanging="567"/>
      </w:pPr>
      <w:r w:rsidRPr="00117E6E">
        <w:t>not require advanced scientifically based calculations to apply the stated procedures or criteria.</w:t>
      </w:r>
    </w:p>
    <w:p w14:paraId="0E5D733E" w14:textId="77777777" w:rsidR="000F7512" w:rsidRPr="00AB45CC" w:rsidRDefault="000F7512" w:rsidP="00117E6E">
      <w:pPr>
        <w:widowControl w:val="0"/>
        <w:snapToGrid w:val="0"/>
        <w:spacing w:after="120"/>
        <w:rPr>
          <w:rFonts w:asciiTheme="majorHAnsi" w:hAnsiTheme="majorHAnsi" w:cstheme="majorHAnsi"/>
          <w:sz w:val="22"/>
          <w:szCs w:val="22"/>
        </w:rPr>
      </w:pPr>
      <w:r w:rsidRPr="00AB45CC">
        <w:rPr>
          <w:rFonts w:asciiTheme="majorHAnsi" w:hAnsiTheme="majorHAnsi" w:cstheme="majorHAnsi"/>
          <w:sz w:val="22"/>
          <w:szCs w:val="22"/>
        </w:rPr>
        <w:t>These criteria are described in detail below.</w:t>
      </w:r>
    </w:p>
    <w:p w14:paraId="321AC29A" w14:textId="77777777" w:rsidR="000F7512" w:rsidRPr="00117E6E" w:rsidRDefault="000F7512" w:rsidP="00F07F8E">
      <w:pPr>
        <w:pStyle w:val="Heading2"/>
        <w:keepNext w:val="0"/>
        <w:keepLines w:val="0"/>
        <w:widowControl w:val="0"/>
        <w:numPr>
          <w:ilvl w:val="0"/>
          <w:numId w:val="32"/>
        </w:numPr>
        <w:spacing w:after="120" w:line="240" w:lineRule="auto"/>
        <w:ind w:left="567" w:hanging="567"/>
        <w:rPr>
          <w:rFonts w:eastAsia="MS Gothic" w:cs="Arial"/>
          <w:bCs/>
          <w:color w:val="16145F"/>
          <w:kern w:val="32"/>
          <w:szCs w:val="24"/>
        </w:rPr>
      </w:pPr>
      <w:r w:rsidRPr="00117E6E">
        <w:rPr>
          <w:rFonts w:eastAsia="MS Gothic" w:cs="Arial"/>
          <w:bCs/>
          <w:color w:val="16145F"/>
          <w:kern w:val="32"/>
          <w:szCs w:val="24"/>
        </w:rPr>
        <w:t>The standard is in the form of a document</w:t>
      </w:r>
    </w:p>
    <w:p w14:paraId="47A866CF" w14:textId="77777777" w:rsidR="000F7512" w:rsidRPr="00AB45CC" w:rsidRDefault="000F7512" w:rsidP="00AB45CC">
      <w:pPr>
        <w:widowControl w:val="0"/>
        <w:rPr>
          <w:rFonts w:asciiTheme="majorHAnsi" w:hAnsiTheme="majorHAnsi" w:cstheme="majorHAnsi"/>
          <w:sz w:val="22"/>
          <w:szCs w:val="22"/>
          <w:lang w:eastAsia="en-GB"/>
        </w:rPr>
      </w:pPr>
      <w:r w:rsidRPr="00AB45CC">
        <w:rPr>
          <w:rFonts w:asciiTheme="majorHAnsi" w:hAnsiTheme="majorHAnsi" w:cstheme="majorHAnsi"/>
          <w:sz w:val="22"/>
          <w:szCs w:val="22"/>
        </w:rPr>
        <w:t>A prescriptive standard must be a document as it must physically record in some way the procedures or criteria for the activities it covers. Verbal instructions and procedures or criteria carried out from memory, without being documented in any way, cannot be a prescriptive standard.</w:t>
      </w:r>
    </w:p>
    <w:p w14:paraId="227CFD60" w14:textId="77777777" w:rsidR="000F7512" w:rsidRPr="00AB45CC" w:rsidRDefault="000F7512" w:rsidP="00F07F8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 xml:space="preserve">A document is something on which things are written, printed or inscribed and which gives information. A document may be a physical or electronic written record but can also include: </w:t>
      </w:r>
    </w:p>
    <w:p w14:paraId="30110E1D" w14:textId="77777777" w:rsidR="000F7512" w:rsidRPr="00F07F8E" w:rsidRDefault="000F7512" w:rsidP="00F07F8E">
      <w:pPr>
        <w:widowControl w:val="0"/>
        <w:numPr>
          <w:ilvl w:val="0"/>
          <w:numId w:val="35"/>
        </w:numPr>
        <w:rPr>
          <w:rFonts w:ascii="Arial" w:hAnsi="Arial"/>
          <w:sz w:val="22"/>
          <w:szCs w:val="22"/>
          <w:lang w:eastAsia="en-US"/>
        </w:rPr>
      </w:pPr>
      <w:r w:rsidRPr="00AB45CC">
        <w:rPr>
          <w:rFonts w:asciiTheme="majorHAnsi" w:hAnsiTheme="majorHAnsi" w:cstheme="majorHAnsi"/>
          <w:sz w:val="22"/>
          <w:szCs w:val="22"/>
        </w:rPr>
        <w:t>“</w:t>
      </w:r>
      <w:r w:rsidRPr="00F07F8E">
        <w:rPr>
          <w:rFonts w:ascii="Arial" w:hAnsi="Arial"/>
          <w:sz w:val="22"/>
          <w:szCs w:val="22"/>
          <w:lang w:eastAsia="en-US"/>
        </w:rPr>
        <w:t>any book, map, plan, graph or drawing</w:t>
      </w:r>
    </w:p>
    <w:p w14:paraId="195737E5" w14:textId="77777777" w:rsidR="000F7512" w:rsidRPr="00F07F8E" w:rsidRDefault="000F7512" w:rsidP="00F07F8E">
      <w:pPr>
        <w:widowControl w:val="0"/>
        <w:numPr>
          <w:ilvl w:val="0"/>
          <w:numId w:val="35"/>
        </w:numPr>
        <w:rPr>
          <w:rFonts w:ascii="Arial" w:hAnsi="Arial"/>
          <w:sz w:val="22"/>
          <w:szCs w:val="22"/>
          <w:lang w:eastAsia="en-US"/>
        </w:rPr>
      </w:pPr>
      <w:r w:rsidRPr="00F07F8E">
        <w:rPr>
          <w:rFonts w:ascii="Arial" w:hAnsi="Arial"/>
          <w:sz w:val="22"/>
          <w:szCs w:val="22"/>
          <w:lang w:eastAsia="en-US"/>
        </w:rPr>
        <w:t xml:space="preserve">any photograph </w:t>
      </w:r>
    </w:p>
    <w:p w14:paraId="4207F900" w14:textId="77777777" w:rsidR="000F7512" w:rsidRPr="00F07F8E" w:rsidRDefault="000F7512" w:rsidP="00F07F8E">
      <w:pPr>
        <w:widowControl w:val="0"/>
        <w:numPr>
          <w:ilvl w:val="0"/>
          <w:numId w:val="35"/>
        </w:numPr>
        <w:rPr>
          <w:rFonts w:ascii="Arial" w:hAnsi="Arial"/>
          <w:sz w:val="22"/>
          <w:szCs w:val="22"/>
          <w:lang w:eastAsia="en-US"/>
        </w:rPr>
      </w:pPr>
      <w:r w:rsidRPr="00F07F8E">
        <w:rPr>
          <w:rFonts w:ascii="Arial" w:hAnsi="Arial"/>
          <w:sz w:val="22"/>
          <w:szCs w:val="22"/>
          <w:lang w:eastAsia="en-US"/>
        </w:rPr>
        <w:t>any label, marking or other writing which identifies or describes anything of which it forms part, or to which it is attached by any means whatsoever</w:t>
      </w:r>
    </w:p>
    <w:p w14:paraId="46E8404E" w14:textId="77777777" w:rsidR="000F7512" w:rsidRPr="00F07F8E" w:rsidRDefault="000F7512" w:rsidP="00F07F8E">
      <w:pPr>
        <w:widowControl w:val="0"/>
        <w:numPr>
          <w:ilvl w:val="0"/>
          <w:numId w:val="35"/>
        </w:numPr>
        <w:rPr>
          <w:rFonts w:ascii="Arial" w:hAnsi="Arial"/>
          <w:sz w:val="22"/>
          <w:szCs w:val="22"/>
          <w:lang w:eastAsia="en-US"/>
        </w:rPr>
      </w:pPr>
      <w:r w:rsidRPr="00F07F8E">
        <w:rPr>
          <w:rFonts w:ascii="Arial" w:hAnsi="Arial"/>
          <w:sz w:val="22"/>
          <w:szCs w:val="22"/>
          <w:lang w:eastAsia="en-US"/>
        </w:rPr>
        <w:t>any disc, tape, soundtrack or other device in which sounds or other data (not being visual images) are embodied so as to be capable (with or without the aid of some other equipment) of being reproduced therefrom</w:t>
      </w:r>
    </w:p>
    <w:p w14:paraId="56F7B8DE" w14:textId="77777777" w:rsidR="000F7512" w:rsidRPr="00F07F8E" w:rsidRDefault="000F7512" w:rsidP="00F07F8E">
      <w:pPr>
        <w:widowControl w:val="0"/>
        <w:numPr>
          <w:ilvl w:val="0"/>
          <w:numId w:val="35"/>
        </w:numPr>
        <w:rPr>
          <w:rFonts w:ascii="Arial" w:hAnsi="Arial"/>
          <w:sz w:val="22"/>
          <w:szCs w:val="22"/>
          <w:lang w:eastAsia="en-US"/>
        </w:rPr>
      </w:pPr>
      <w:r w:rsidRPr="00F07F8E">
        <w:rPr>
          <w:rFonts w:ascii="Arial" w:hAnsi="Arial"/>
          <w:sz w:val="22"/>
          <w:szCs w:val="22"/>
          <w:lang w:eastAsia="en-US"/>
        </w:rPr>
        <w:t xml:space="preserve">any film (including microfilm), negative, tape or other device in which one or more visual images are embodied so as to be capable (with or without the aid of some other equipment) of being reproduced therefrom, and </w:t>
      </w:r>
    </w:p>
    <w:p w14:paraId="787BEFE4" w14:textId="77777777" w:rsidR="000F7512" w:rsidRPr="00F07F8E" w:rsidRDefault="000F7512" w:rsidP="00F07F8E">
      <w:pPr>
        <w:widowControl w:val="0"/>
        <w:numPr>
          <w:ilvl w:val="0"/>
          <w:numId w:val="35"/>
        </w:numPr>
        <w:spacing w:after="120"/>
        <w:ind w:left="714" w:hanging="357"/>
        <w:rPr>
          <w:rFonts w:ascii="Arial" w:hAnsi="Arial"/>
          <w:sz w:val="22"/>
          <w:szCs w:val="22"/>
          <w:lang w:eastAsia="en-US"/>
        </w:rPr>
      </w:pPr>
      <w:r w:rsidRPr="00F07F8E">
        <w:rPr>
          <w:rFonts w:ascii="Arial" w:hAnsi="Arial"/>
          <w:sz w:val="22"/>
          <w:szCs w:val="22"/>
          <w:lang w:eastAsia="en-US"/>
        </w:rPr>
        <w:t>anything whatsoever on which is marked any words, figures, letters or symbols which are capable of carrying a definite meaning to persons conversant with them”.</w:t>
      </w:r>
      <w:r w:rsidRPr="00F07F8E">
        <w:rPr>
          <w:rFonts w:ascii="Arial" w:hAnsi="Arial"/>
          <w:sz w:val="22"/>
          <w:szCs w:val="22"/>
          <w:lang w:eastAsia="en-US"/>
        </w:rPr>
        <w:footnoteReference w:id="4"/>
      </w:r>
      <w:bookmarkStart w:id="0" w:name="_Hlk58826870"/>
    </w:p>
    <w:bookmarkEnd w:id="0"/>
    <w:p w14:paraId="45AEF676" w14:textId="77777777" w:rsidR="000F7512" w:rsidRPr="00117E6E" w:rsidRDefault="000F7512" w:rsidP="00F07F8E">
      <w:pPr>
        <w:pStyle w:val="Heading2"/>
        <w:keepNext w:val="0"/>
        <w:keepLines w:val="0"/>
        <w:widowControl w:val="0"/>
        <w:numPr>
          <w:ilvl w:val="0"/>
          <w:numId w:val="32"/>
        </w:numPr>
        <w:spacing w:after="120" w:line="240" w:lineRule="auto"/>
        <w:ind w:left="567" w:hanging="567"/>
        <w:rPr>
          <w:rFonts w:eastAsia="MS Gothic" w:cs="Arial"/>
          <w:bCs/>
          <w:color w:val="16145F"/>
          <w:kern w:val="32"/>
          <w:szCs w:val="24"/>
        </w:rPr>
      </w:pPr>
      <w:r w:rsidRPr="00117E6E">
        <w:rPr>
          <w:rFonts w:eastAsia="MS Gothic" w:cs="Arial"/>
          <w:bCs/>
          <w:color w:val="16145F"/>
          <w:kern w:val="32"/>
          <w:szCs w:val="24"/>
        </w:rPr>
        <w:t>The document states procedures or criteria</w:t>
      </w:r>
    </w:p>
    <w:p w14:paraId="6431F7CA" w14:textId="77777777" w:rsidR="000F7512" w:rsidRPr="00AB45CC" w:rsidRDefault="000F7512" w:rsidP="00AB45CC">
      <w:pPr>
        <w:widowControl w:val="0"/>
        <w:snapToGrid w:val="0"/>
        <w:rPr>
          <w:rFonts w:asciiTheme="majorHAnsi" w:hAnsiTheme="majorHAnsi" w:cstheme="majorHAnsi"/>
          <w:sz w:val="22"/>
          <w:szCs w:val="22"/>
        </w:rPr>
      </w:pPr>
      <w:r w:rsidRPr="00AB45CC">
        <w:rPr>
          <w:rFonts w:asciiTheme="majorHAnsi" w:hAnsiTheme="majorHAnsi" w:cstheme="majorHAnsi"/>
          <w:sz w:val="22"/>
          <w:szCs w:val="22"/>
        </w:rPr>
        <w:t xml:space="preserve">The prescriptive standard must state procedures or criteria for carrying out the activity to which it relates. </w:t>
      </w:r>
    </w:p>
    <w:p w14:paraId="6BFBE1F0" w14:textId="77777777" w:rsidR="000F7512" w:rsidRPr="00AB45CC" w:rsidRDefault="000F7512" w:rsidP="00AB45CC">
      <w:pPr>
        <w:widowControl w:val="0"/>
        <w:snapToGrid w:val="0"/>
        <w:rPr>
          <w:rFonts w:asciiTheme="majorHAnsi" w:hAnsiTheme="majorHAnsi" w:cstheme="majorHAnsi"/>
          <w:sz w:val="22"/>
          <w:szCs w:val="22"/>
        </w:rPr>
      </w:pPr>
      <w:r w:rsidRPr="00AB45CC">
        <w:rPr>
          <w:rFonts w:asciiTheme="majorHAnsi" w:hAnsiTheme="majorHAnsi" w:cstheme="majorHAnsi"/>
          <w:sz w:val="22"/>
          <w:szCs w:val="22"/>
        </w:rPr>
        <w:t>Procedures are the way the activity is to be done. Criteria are the principles and standards the activity must comply with and will be assessed against.</w:t>
      </w:r>
      <w:r w:rsidRPr="00AB45CC">
        <w:rPr>
          <w:rFonts w:asciiTheme="majorHAnsi" w:hAnsiTheme="majorHAnsi" w:cstheme="majorHAnsi"/>
          <w:color w:val="57585B"/>
          <w:spacing w:val="8"/>
          <w:sz w:val="22"/>
          <w:szCs w:val="22"/>
          <w:shd w:val="clear" w:color="auto" w:fill="FFFFFF"/>
          <w:lang w:eastAsia="en-GB"/>
        </w:rPr>
        <w:t xml:space="preserve"> </w:t>
      </w:r>
      <w:r w:rsidRPr="00AB45CC">
        <w:rPr>
          <w:rFonts w:asciiTheme="majorHAnsi" w:hAnsiTheme="majorHAnsi" w:cstheme="majorHAnsi"/>
          <w:sz w:val="22"/>
          <w:szCs w:val="22"/>
        </w:rPr>
        <w:t>If a document does not state one or more ways of performing or conducting the activity it covers, or one or more principles or standards by which the activity will be assessed, it is not a prescriptive standard.</w:t>
      </w:r>
    </w:p>
    <w:p w14:paraId="3917A10F" w14:textId="77777777" w:rsidR="000F7512" w:rsidRPr="00117E6E" w:rsidRDefault="000F7512" w:rsidP="00F07F8E">
      <w:pPr>
        <w:pStyle w:val="Heading2"/>
        <w:keepNext w:val="0"/>
        <w:keepLines w:val="0"/>
        <w:widowControl w:val="0"/>
        <w:numPr>
          <w:ilvl w:val="0"/>
          <w:numId w:val="32"/>
        </w:numPr>
        <w:spacing w:after="120" w:line="240" w:lineRule="auto"/>
        <w:ind w:left="567" w:hanging="567"/>
        <w:rPr>
          <w:rFonts w:eastAsia="MS Gothic" w:cs="Arial"/>
          <w:bCs/>
          <w:color w:val="16145F"/>
          <w:kern w:val="32"/>
          <w:szCs w:val="24"/>
        </w:rPr>
      </w:pPr>
      <w:r w:rsidRPr="00117E6E">
        <w:rPr>
          <w:rFonts w:eastAsia="MS Gothic" w:cs="Arial"/>
          <w:bCs/>
          <w:color w:val="16145F"/>
          <w:kern w:val="32"/>
          <w:szCs w:val="24"/>
        </w:rPr>
        <w:t>Little or no choice or judgement is required</w:t>
      </w:r>
    </w:p>
    <w:p w14:paraId="5A8A9371" w14:textId="77777777" w:rsidR="000F7512" w:rsidRPr="00AB45CC" w:rsidRDefault="000F7512" w:rsidP="00F07F8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An element of a prescriptive standard is that it requires little or no choice or judgement to apply the procedures or criteria it sets out. This is because, by definition, any ‘prescriptive’ standard or approach sets specific actions, measurements or other qualifiable means as the sole means of complying with it. For example, a standard design template developed by a registered professional engineer requires no judgement if prescriptively followed.</w:t>
      </w:r>
    </w:p>
    <w:p w14:paraId="11472B79" w14:textId="77777777" w:rsidR="000F7512" w:rsidRPr="00AB45CC" w:rsidRDefault="000F7512" w:rsidP="00F07F8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t xml:space="preserve">If the procedures or criteria require more than little or no choice or judgement to apply engineering principles and/or interpret engineering calculations or data, to the activity being undertaken, the document is not a prescriptive standard. </w:t>
      </w:r>
    </w:p>
    <w:p w14:paraId="39F61357" w14:textId="77777777" w:rsidR="000F7512" w:rsidRPr="00AB45CC" w:rsidRDefault="000F7512" w:rsidP="00F07F8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lastRenderedPageBreak/>
        <w:t xml:space="preserve">Therefore, a prescriptive standard provides a well-described and comprehensive approach that is easy to understand and follow. For example, pressure vessel fabrication drawings, which include materials, dimensions and parameters that can be simply followed to undertake work in particular circumstances. </w:t>
      </w:r>
    </w:p>
    <w:p w14:paraId="3050CF3E" w14:textId="77777777" w:rsidR="000F7512" w:rsidRPr="00AB45CC" w:rsidRDefault="000F7512" w:rsidP="00F07F8E">
      <w:pPr>
        <w:widowControl w:val="0"/>
        <w:spacing w:after="120"/>
        <w:rPr>
          <w:rFonts w:asciiTheme="majorHAnsi" w:eastAsiaTheme="minorEastAsia" w:hAnsiTheme="majorHAnsi" w:cstheme="majorHAnsi"/>
          <w:sz w:val="22"/>
          <w:szCs w:val="22"/>
        </w:rPr>
      </w:pPr>
      <w:r w:rsidRPr="00AB45CC">
        <w:rPr>
          <w:rFonts w:asciiTheme="majorHAnsi" w:eastAsiaTheme="minorEastAsia" w:hAnsiTheme="majorHAnsi" w:cstheme="majorHAnsi"/>
          <w:sz w:val="22"/>
          <w:szCs w:val="22"/>
        </w:rPr>
        <w:t>A prescriptive standard usually applies to a repetitive engineering activity that is routine, involves manageable risk and has minimal scope for misinterpretation, or to an activity normally carried out by an engineering technologists or technician</w:t>
      </w:r>
      <w:r w:rsidRPr="00AB45CC">
        <w:rPr>
          <w:rFonts w:asciiTheme="majorHAnsi" w:eastAsiaTheme="minorEastAsia" w:hAnsiTheme="majorHAnsi" w:cstheme="majorHAnsi"/>
          <w:sz w:val="22"/>
          <w:szCs w:val="22"/>
          <w:vertAlign w:val="superscript"/>
        </w:rPr>
        <w:footnoteReference w:id="5"/>
      </w:r>
      <w:r w:rsidRPr="00AB45CC">
        <w:rPr>
          <w:rFonts w:asciiTheme="majorHAnsi" w:eastAsiaTheme="minorEastAsia" w:hAnsiTheme="majorHAnsi" w:cstheme="majorHAnsi"/>
          <w:sz w:val="22"/>
          <w:szCs w:val="22"/>
        </w:rPr>
        <w:t xml:space="preserve"> e.g. an electrician. </w:t>
      </w:r>
    </w:p>
    <w:p w14:paraId="272B40D0" w14:textId="77777777" w:rsidR="000F7512" w:rsidRPr="00117E6E" w:rsidRDefault="000F7512" w:rsidP="00F07F8E">
      <w:pPr>
        <w:pStyle w:val="Heading2"/>
        <w:keepNext w:val="0"/>
        <w:keepLines w:val="0"/>
        <w:widowControl w:val="0"/>
        <w:numPr>
          <w:ilvl w:val="0"/>
          <w:numId w:val="32"/>
        </w:numPr>
        <w:spacing w:after="120" w:line="240" w:lineRule="auto"/>
        <w:ind w:left="567" w:hanging="567"/>
        <w:rPr>
          <w:rFonts w:eastAsia="MS Gothic" w:cs="Arial"/>
          <w:bCs/>
          <w:color w:val="16145F"/>
          <w:kern w:val="32"/>
          <w:szCs w:val="24"/>
        </w:rPr>
      </w:pPr>
      <w:r w:rsidRPr="00117E6E">
        <w:rPr>
          <w:rFonts w:eastAsia="MS Gothic" w:cs="Arial"/>
          <w:bCs/>
          <w:color w:val="16145F"/>
          <w:kern w:val="32"/>
          <w:szCs w:val="24"/>
        </w:rPr>
        <w:t>No advanced scientifically based calculations are required</w:t>
      </w:r>
    </w:p>
    <w:p w14:paraId="41622362" w14:textId="77777777" w:rsidR="000F7512" w:rsidRPr="00AB45CC" w:rsidRDefault="000F7512" w:rsidP="00117E6E">
      <w:pPr>
        <w:widowControl w:val="0"/>
        <w:snapToGrid w:val="0"/>
        <w:spacing w:after="120"/>
        <w:rPr>
          <w:rFonts w:asciiTheme="majorHAnsi" w:hAnsiTheme="majorHAnsi" w:cstheme="majorHAnsi"/>
          <w:sz w:val="22"/>
          <w:szCs w:val="22"/>
        </w:rPr>
      </w:pPr>
      <w:r w:rsidRPr="00AB45CC">
        <w:rPr>
          <w:rFonts w:asciiTheme="majorHAnsi" w:hAnsiTheme="majorHAnsi" w:cstheme="majorHAnsi"/>
          <w:sz w:val="22"/>
          <w:szCs w:val="22"/>
        </w:rPr>
        <w:t xml:space="preserve">A prescriptive standard must not require advanced scientifically based calculations to carry out the activity it covers. </w:t>
      </w:r>
    </w:p>
    <w:p w14:paraId="6CF44CCD" w14:textId="77777777" w:rsidR="000F7512" w:rsidRPr="00AB45CC" w:rsidRDefault="000F7512" w:rsidP="00117E6E">
      <w:pPr>
        <w:widowControl w:val="0"/>
        <w:snapToGrid w:val="0"/>
        <w:spacing w:after="120"/>
        <w:rPr>
          <w:rFonts w:asciiTheme="majorHAnsi" w:hAnsiTheme="majorHAnsi" w:cstheme="majorHAnsi"/>
          <w:sz w:val="22"/>
          <w:szCs w:val="22"/>
        </w:rPr>
      </w:pPr>
      <w:r w:rsidRPr="00AB45CC">
        <w:rPr>
          <w:rFonts w:asciiTheme="majorHAnsi" w:hAnsiTheme="majorHAnsi" w:cstheme="majorHAnsi"/>
          <w:sz w:val="22"/>
          <w:szCs w:val="22"/>
        </w:rPr>
        <w:t>Advanced scientifically based calculations include the science, physics and mathematics calculations that are required to model real world engineering applications and that combine mathematical theory and practical engineering. Calculations that use software modelling or computational simulations are not necessarily advanced scientifically based calculations.</w:t>
      </w:r>
    </w:p>
    <w:p w14:paraId="73334B62" w14:textId="77777777" w:rsidR="000F7512" w:rsidRPr="00AB45CC" w:rsidRDefault="000F7512" w:rsidP="00117E6E">
      <w:pPr>
        <w:widowControl w:val="0"/>
        <w:snapToGrid w:val="0"/>
        <w:spacing w:after="240"/>
        <w:rPr>
          <w:rFonts w:asciiTheme="majorHAnsi" w:hAnsiTheme="majorHAnsi" w:cstheme="majorHAnsi"/>
          <w:color w:val="FF0000"/>
          <w:sz w:val="22"/>
          <w:szCs w:val="22"/>
        </w:rPr>
      </w:pPr>
      <w:r w:rsidRPr="00AB45CC">
        <w:rPr>
          <w:rFonts w:asciiTheme="majorHAnsi" w:hAnsiTheme="majorHAnsi" w:cstheme="majorHAnsi"/>
          <w:sz w:val="22"/>
          <w:szCs w:val="22"/>
        </w:rPr>
        <w:t xml:space="preserve">Advanced scientifically based calculations are distinguished from other engineering calculations by the level of engineering and mathematical knowledge required to calculate and interpret the output. </w:t>
      </w:r>
      <w:bookmarkStart w:id="1" w:name="_Hlk58827282"/>
    </w:p>
    <w:tbl>
      <w:tblPr>
        <w:tblStyle w:val="TableGrid5"/>
        <w:tblW w:w="0" w:type="auto"/>
        <w:tblBorders>
          <w:top w:val="single" w:sz="8" w:space="0" w:color="16145F"/>
          <w:left w:val="single" w:sz="8" w:space="0" w:color="16145F"/>
          <w:bottom w:val="single" w:sz="8" w:space="0" w:color="16145F"/>
          <w:right w:val="single" w:sz="8" w:space="0" w:color="16145F"/>
          <w:insideH w:val="single" w:sz="8" w:space="0" w:color="16145F"/>
          <w:insideV w:val="single" w:sz="8" w:space="0" w:color="16145F"/>
        </w:tblBorders>
        <w:tblLayout w:type="fixed"/>
        <w:tblCellMar>
          <w:top w:w="113" w:type="dxa"/>
          <w:bottom w:w="113" w:type="dxa"/>
        </w:tblCellMar>
        <w:tblLook w:val="04A0" w:firstRow="1" w:lastRow="0" w:firstColumn="1" w:lastColumn="0" w:noHBand="0" w:noVBand="1"/>
      </w:tblPr>
      <w:tblGrid>
        <w:gridCol w:w="4990"/>
        <w:gridCol w:w="284"/>
        <w:gridCol w:w="4990"/>
      </w:tblGrid>
      <w:tr w:rsidR="000F7512" w:rsidRPr="00117E6E" w14:paraId="4F891536" w14:textId="77777777" w:rsidTr="00673ED1">
        <w:tc>
          <w:tcPr>
            <w:tcW w:w="4990" w:type="dxa"/>
            <w:tcBorders>
              <w:top w:val="nil"/>
              <w:left w:val="nil"/>
              <w:bottom w:val="nil"/>
              <w:right w:val="nil"/>
            </w:tcBorders>
            <w:shd w:val="clear" w:color="auto" w:fill="E1E1EB" w:themeFill="accent4" w:themeFillTint="33"/>
          </w:tcPr>
          <w:bookmarkEnd w:id="1"/>
          <w:p w14:paraId="11DFD2A2" w14:textId="77777777" w:rsidR="000F7512" w:rsidRPr="00117E6E" w:rsidRDefault="000F7512" w:rsidP="00AB45CC">
            <w:pPr>
              <w:widowControl w:val="0"/>
              <w:spacing w:after="60"/>
              <w:rPr>
                <w:rFonts w:asciiTheme="majorHAnsi" w:hAnsiTheme="majorHAnsi" w:cstheme="majorHAnsi"/>
                <w:b/>
                <w:bCs/>
                <w:i/>
                <w:iCs/>
                <w:sz w:val="20"/>
                <w:szCs w:val="20"/>
              </w:rPr>
            </w:pPr>
            <w:r w:rsidRPr="00117E6E">
              <w:rPr>
                <w:rFonts w:asciiTheme="majorHAnsi" w:hAnsiTheme="majorHAnsi" w:cstheme="majorHAnsi"/>
                <w:b/>
                <w:bCs/>
                <w:i/>
                <w:iCs/>
                <w:sz w:val="20"/>
                <w:szCs w:val="20"/>
              </w:rPr>
              <w:t xml:space="preserve">An example of a calculation that WOULD BE classified as ‘advanced scientifically based' </w:t>
            </w:r>
          </w:p>
          <w:p w14:paraId="52A05735" w14:textId="77777777" w:rsidR="000F7512" w:rsidRPr="00117E6E" w:rsidRDefault="000F7512" w:rsidP="00AB45CC">
            <w:pPr>
              <w:widowControl w:val="0"/>
              <w:spacing w:after="60"/>
              <w:rPr>
                <w:rFonts w:asciiTheme="majorHAnsi" w:hAnsiTheme="majorHAnsi" w:cstheme="majorHAnsi"/>
                <w:sz w:val="20"/>
                <w:szCs w:val="20"/>
              </w:rPr>
            </w:pPr>
            <w:r w:rsidRPr="00117E6E">
              <w:rPr>
                <w:rFonts w:asciiTheme="majorHAnsi" w:hAnsiTheme="majorHAnsi" w:cstheme="majorHAnsi"/>
                <w:sz w:val="20"/>
                <w:szCs w:val="20"/>
              </w:rPr>
              <w:t>Analysing power flows in a system using the Newton-Raphson method of solving nonlinear equations.</w:t>
            </w:r>
          </w:p>
          <w:p w14:paraId="6C3E7B98" w14:textId="77777777" w:rsidR="000F7512" w:rsidRPr="00117E6E" w:rsidRDefault="000F7512" w:rsidP="00AB45CC">
            <w:pPr>
              <w:widowControl w:val="0"/>
              <w:spacing w:after="60"/>
              <w:rPr>
                <w:rFonts w:asciiTheme="majorHAnsi" w:hAnsiTheme="majorHAnsi" w:cstheme="majorHAnsi"/>
                <w:sz w:val="20"/>
                <w:szCs w:val="20"/>
              </w:rPr>
            </w:pPr>
            <w:r w:rsidRPr="00117E6E">
              <w:rPr>
                <w:rFonts w:asciiTheme="majorHAnsi" w:hAnsiTheme="majorHAnsi" w:cstheme="majorHAnsi"/>
                <w:sz w:val="20"/>
                <w:szCs w:val="20"/>
              </w:rPr>
              <w:t>Power flow studies require a highly developed understanding of various branches of mathematics, including linear algebra and multivariable calculus. In practice, such calculations may be carried out by computational software. However, the level of electrical engineering knowledge required to accurately interpret the output and provide sound engineering advice exceeds that of the routine case.</w:t>
            </w:r>
          </w:p>
          <w:p w14:paraId="34187346" w14:textId="77777777" w:rsidR="000F7512" w:rsidRPr="00117E6E" w:rsidRDefault="000F7512" w:rsidP="00AB45CC">
            <w:pPr>
              <w:widowControl w:val="0"/>
              <w:rPr>
                <w:rFonts w:asciiTheme="majorHAnsi" w:hAnsiTheme="majorHAnsi" w:cstheme="majorHAnsi"/>
                <w:sz w:val="20"/>
                <w:szCs w:val="20"/>
              </w:rPr>
            </w:pPr>
          </w:p>
        </w:tc>
        <w:tc>
          <w:tcPr>
            <w:tcW w:w="284" w:type="dxa"/>
            <w:tcBorders>
              <w:top w:val="nil"/>
              <w:left w:val="nil"/>
              <w:bottom w:val="nil"/>
              <w:right w:val="nil"/>
            </w:tcBorders>
          </w:tcPr>
          <w:p w14:paraId="290B246A" w14:textId="77777777" w:rsidR="000F7512" w:rsidRPr="00117E6E" w:rsidRDefault="000F7512" w:rsidP="00AB45CC">
            <w:pPr>
              <w:widowControl w:val="0"/>
              <w:spacing w:after="60"/>
              <w:rPr>
                <w:rFonts w:asciiTheme="majorHAnsi" w:hAnsiTheme="majorHAnsi" w:cstheme="majorHAnsi"/>
                <w:b/>
                <w:bCs/>
                <w:i/>
                <w:iCs/>
                <w:sz w:val="20"/>
                <w:szCs w:val="20"/>
              </w:rPr>
            </w:pPr>
          </w:p>
        </w:tc>
        <w:tc>
          <w:tcPr>
            <w:tcW w:w="4990" w:type="dxa"/>
            <w:tcBorders>
              <w:top w:val="nil"/>
              <w:left w:val="nil"/>
              <w:bottom w:val="nil"/>
              <w:right w:val="nil"/>
            </w:tcBorders>
            <w:shd w:val="clear" w:color="auto" w:fill="E1E1EB" w:themeFill="accent4" w:themeFillTint="33"/>
          </w:tcPr>
          <w:p w14:paraId="2B80C423" w14:textId="77777777" w:rsidR="000F7512" w:rsidRPr="00117E6E" w:rsidRDefault="000F7512" w:rsidP="00AB45CC">
            <w:pPr>
              <w:widowControl w:val="0"/>
              <w:spacing w:after="60"/>
              <w:rPr>
                <w:rFonts w:asciiTheme="majorHAnsi" w:hAnsiTheme="majorHAnsi" w:cstheme="majorHAnsi"/>
                <w:b/>
                <w:bCs/>
                <w:i/>
                <w:iCs/>
                <w:sz w:val="20"/>
                <w:szCs w:val="20"/>
              </w:rPr>
            </w:pPr>
            <w:r w:rsidRPr="00117E6E">
              <w:rPr>
                <w:rFonts w:asciiTheme="majorHAnsi" w:hAnsiTheme="majorHAnsi" w:cstheme="majorHAnsi"/>
                <w:b/>
                <w:bCs/>
                <w:i/>
                <w:iCs/>
                <w:sz w:val="20"/>
                <w:szCs w:val="20"/>
              </w:rPr>
              <w:t xml:space="preserve">An example of a calculation that WOULD NOT BE classified as ‘advanced scientifically based' </w:t>
            </w:r>
          </w:p>
          <w:p w14:paraId="05F12D16" w14:textId="77777777" w:rsidR="000F7512" w:rsidRPr="00117E6E" w:rsidRDefault="000F7512" w:rsidP="00AB45CC">
            <w:pPr>
              <w:widowControl w:val="0"/>
              <w:spacing w:after="60"/>
              <w:rPr>
                <w:rFonts w:asciiTheme="majorHAnsi" w:hAnsiTheme="majorHAnsi" w:cstheme="majorHAnsi"/>
                <w:sz w:val="20"/>
                <w:szCs w:val="20"/>
              </w:rPr>
            </w:pPr>
            <w:r w:rsidRPr="00117E6E">
              <w:rPr>
                <w:rFonts w:asciiTheme="majorHAnsi" w:hAnsiTheme="majorHAnsi" w:cstheme="majorHAnsi"/>
                <w:sz w:val="20"/>
                <w:szCs w:val="20"/>
              </w:rPr>
              <w:t>The method for determining voltage drop specified in AS/NZS 3008.1.1:2017 Electrical installations.</w:t>
            </w:r>
          </w:p>
          <w:p w14:paraId="105B6B94" w14:textId="77777777" w:rsidR="000F7512" w:rsidRPr="00117E6E" w:rsidRDefault="000F7512" w:rsidP="00AB45CC">
            <w:pPr>
              <w:widowControl w:val="0"/>
              <w:spacing w:after="60"/>
              <w:rPr>
                <w:rFonts w:asciiTheme="majorHAnsi" w:hAnsiTheme="majorHAnsi" w:cstheme="majorHAnsi"/>
                <w:sz w:val="20"/>
                <w:szCs w:val="20"/>
              </w:rPr>
            </w:pPr>
            <w:r w:rsidRPr="00117E6E">
              <w:rPr>
                <w:rFonts w:asciiTheme="majorHAnsi" w:hAnsiTheme="majorHAnsi" w:cstheme="majorHAnsi"/>
                <w:sz w:val="20"/>
                <w:szCs w:val="20"/>
              </w:rPr>
              <w:t>Low-voltage installation voltage drop determined by the method in AS/NZS 3008 would not be categorised as advanced scientifically based because it only requires substitution of known or specified values into a defined formula and a general understanding of mathematical principles.</w:t>
            </w:r>
          </w:p>
          <w:p w14:paraId="1E3AC44A" w14:textId="77777777" w:rsidR="000F7512" w:rsidRPr="00117E6E" w:rsidRDefault="000F7512" w:rsidP="00AB45CC">
            <w:pPr>
              <w:widowControl w:val="0"/>
              <w:rPr>
                <w:rFonts w:asciiTheme="majorHAnsi" w:hAnsiTheme="majorHAnsi" w:cstheme="majorHAnsi"/>
                <w:sz w:val="20"/>
                <w:szCs w:val="20"/>
              </w:rPr>
            </w:pPr>
            <w:r w:rsidRPr="00117E6E">
              <w:rPr>
                <w:rFonts w:asciiTheme="majorHAnsi" w:hAnsiTheme="majorHAnsi" w:cstheme="majorHAnsi"/>
                <w:sz w:val="20"/>
                <w:szCs w:val="20"/>
              </w:rPr>
              <w:t>Further, the output of the calculation is evaluated with respect to thresholds set in AS/NZS 3000:2018 (Wiring Rules), thus constraining the level of engineering knowledge required to interpret the results.</w:t>
            </w:r>
          </w:p>
        </w:tc>
      </w:tr>
    </w:tbl>
    <w:p w14:paraId="58FF99A6" w14:textId="77777777" w:rsidR="000F7512" w:rsidRPr="00AB45CC" w:rsidRDefault="000F7512" w:rsidP="00117E6E">
      <w:pPr>
        <w:widowControl w:val="0"/>
        <w:snapToGrid w:val="0"/>
        <w:spacing w:before="240" w:after="120"/>
        <w:rPr>
          <w:rFonts w:asciiTheme="majorHAnsi" w:hAnsiTheme="majorHAnsi" w:cstheme="majorHAnsi"/>
          <w:sz w:val="22"/>
          <w:szCs w:val="22"/>
        </w:rPr>
      </w:pPr>
      <w:r w:rsidRPr="00AB45CC">
        <w:rPr>
          <w:rFonts w:asciiTheme="majorHAnsi" w:hAnsiTheme="majorHAnsi" w:cstheme="majorHAnsi"/>
          <w:sz w:val="22"/>
          <w:szCs w:val="22"/>
        </w:rPr>
        <w:t xml:space="preserve">Advanced scientifically based calculations, which usually require the application of sometimes complex engineering principles and data, can only be made by a person with the level of knowledge and experience required of a registered practising professional engineer. </w:t>
      </w:r>
      <w:bookmarkStart w:id="2" w:name="_Hlk58861789"/>
      <w:r w:rsidRPr="00AB45CC">
        <w:rPr>
          <w:rFonts w:asciiTheme="majorHAnsi" w:hAnsiTheme="majorHAnsi" w:cstheme="majorHAnsi"/>
          <w:sz w:val="22"/>
          <w:szCs w:val="22"/>
        </w:rPr>
        <w:t xml:space="preserve">Calculations required by a prescriptive standard must be able to be performed by a non-professional engineer who may have been trained in the use of such calculations. </w:t>
      </w:r>
    </w:p>
    <w:bookmarkEnd w:id="2"/>
    <w:p w14:paraId="60B657C2" w14:textId="77777777" w:rsidR="000F7512" w:rsidRPr="00AB45CC" w:rsidRDefault="000F7512" w:rsidP="00117E6E">
      <w:pPr>
        <w:widowControl w:val="0"/>
        <w:snapToGrid w:val="0"/>
        <w:spacing w:after="120"/>
        <w:rPr>
          <w:rFonts w:asciiTheme="majorHAnsi" w:hAnsiTheme="majorHAnsi" w:cstheme="majorHAnsi"/>
          <w:sz w:val="22"/>
          <w:szCs w:val="22"/>
        </w:rPr>
      </w:pPr>
      <w:r w:rsidRPr="00AB45CC">
        <w:rPr>
          <w:rFonts w:asciiTheme="majorHAnsi" w:hAnsiTheme="majorHAnsi" w:cstheme="majorHAnsi"/>
          <w:sz w:val="22"/>
          <w:szCs w:val="22"/>
        </w:rPr>
        <w:t>If calculations in a standard can only be made by a person with the level of knowledge and experience of a registered practising professional engineer, the standard is not a prescriptive standard.</w:t>
      </w:r>
    </w:p>
    <w:p w14:paraId="4E51A13D" w14:textId="77777777" w:rsidR="000F7512" w:rsidRPr="00F07F8E" w:rsidRDefault="000F7512" w:rsidP="00F07F8E">
      <w:pPr>
        <w:pStyle w:val="Heading2"/>
        <w:keepNext w:val="0"/>
        <w:keepLines w:val="0"/>
        <w:widowControl w:val="0"/>
        <w:spacing w:after="240" w:line="240" w:lineRule="auto"/>
        <w:rPr>
          <w:rFonts w:eastAsia="MS Gothic" w:cs="Arial"/>
          <w:bCs/>
          <w:color w:val="16145F" w:themeColor="accent3"/>
          <w:kern w:val="32"/>
          <w:szCs w:val="24"/>
        </w:rPr>
      </w:pPr>
      <w:bookmarkStart w:id="3" w:name="_Hlk58827633"/>
      <w:r w:rsidRPr="00F07F8E">
        <w:rPr>
          <w:rFonts w:eastAsia="MS Gothic" w:cs="Arial"/>
          <w:bCs/>
          <w:color w:val="16145F" w:themeColor="accent3"/>
          <w:kern w:val="32"/>
          <w:szCs w:val="24"/>
        </w:rPr>
        <w:t>Services are provided only in accordance with a prescriptive standard</w:t>
      </w:r>
    </w:p>
    <w:p w14:paraId="2CA3935A" w14:textId="77777777" w:rsidR="000F7512" w:rsidRPr="00AB45CC" w:rsidRDefault="000F7512" w:rsidP="00F07F8E">
      <w:pPr>
        <w:spacing w:after="120"/>
        <w:rPr>
          <w:rFonts w:asciiTheme="majorHAnsi" w:hAnsiTheme="majorHAnsi" w:cstheme="majorHAnsi"/>
          <w:sz w:val="22"/>
          <w:szCs w:val="22"/>
        </w:rPr>
      </w:pPr>
      <w:r w:rsidRPr="00AB45CC">
        <w:rPr>
          <w:rFonts w:asciiTheme="majorHAnsi" w:hAnsiTheme="majorHAnsi" w:cstheme="majorHAnsi"/>
          <w:sz w:val="22"/>
          <w:szCs w:val="22"/>
        </w:rPr>
        <w:t>To qualify for the prescriptive standard exemption, an engineering service being carried out under a prescriptive standard must be provided ‘only’ in accordance with that standard. That is, the whole of the professional engineering service/s must be provided under the prescriptive standard and the prescriptive standard must be prescriptively followed.</w:t>
      </w:r>
    </w:p>
    <w:p w14:paraId="1A58B6A5" w14:textId="77777777" w:rsidR="000F7512" w:rsidRPr="00AB45CC" w:rsidRDefault="000F7512" w:rsidP="00117E6E">
      <w:pPr>
        <w:widowControl w:val="0"/>
        <w:spacing w:after="120"/>
        <w:rPr>
          <w:rFonts w:asciiTheme="majorHAnsi" w:hAnsiTheme="majorHAnsi" w:cstheme="majorHAnsi"/>
          <w:sz w:val="22"/>
          <w:szCs w:val="22"/>
        </w:rPr>
      </w:pPr>
      <w:r w:rsidRPr="00AB45CC">
        <w:rPr>
          <w:rFonts w:asciiTheme="majorHAnsi" w:hAnsiTheme="majorHAnsi" w:cstheme="majorHAnsi"/>
          <w:sz w:val="22"/>
          <w:szCs w:val="22"/>
        </w:rPr>
        <w:lastRenderedPageBreak/>
        <w:t xml:space="preserve">If the professional engineering service/s deviates even slightly from the process detailed in the prescriptive standard being used or includes engineering services being done outside that standard, the prescriptive standard exemption will not apply. </w:t>
      </w:r>
    </w:p>
    <w:bookmarkEnd w:id="3"/>
    <w:p w14:paraId="58638E57" w14:textId="77777777" w:rsidR="000F7512" w:rsidRPr="00F07F8E" w:rsidRDefault="000F7512" w:rsidP="00F07F8E">
      <w:pPr>
        <w:pStyle w:val="Heading2"/>
        <w:keepNext w:val="0"/>
        <w:keepLines w:val="0"/>
        <w:widowControl w:val="0"/>
        <w:spacing w:after="240" w:line="240" w:lineRule="auto"/>
        <w:rPr>
          <w:rFonts w:eastAsia="MS Gothic" w:cs="Arial"/>
          <w:bCs/>
          <w:color w:val="16145F" w:themeColor="accent3"/>
          <w:kern w:val="32"/>
          <w:sz w:val="28"/>
        </w:rPr>
      </w:pPr>
      <w:r w:rsidRPr="00F07F8E">
        <w:rPr>
          <w:rFonts w:eastAsia="MS Gothic" w:cs="Arial"/>
          <w:bCs/>
          <w:color w:val="16145F" w:themeColor="accent3"/>
          <w:kern w:val="32"/>
          <w:sz w:val="28"/>
        </w:rPr>
        <w:t>Published and internal prescriptive standards</w:t>
      </w:r>
    </w:p>
    <w:p w14:paraId="7E58747F" w14:textId="77777777" w:rsidR="000F7512" w:rsidRPr="00AB45CC" w:rsidRDefault="000F7512" w:rsidP="00117E6E">
      <w:pPr>
        <w:spacing w:after="120"/>
        <w:rPr>
          <w:rFonts w:asciiTheme="majorHAnsi" w:hAnsiTheme="majorHAnsi" w:cstheme="majorHAnsi"/>
          <w:sz w:val="22"/>
          <w:szCs w:val="22"/>
        </w:rPr>
      </w:pPr>
      <w:r w:rsidRPr="00AB45CC">
        <w:rPr>
          <w:rFonts w:asciiTheme="majorHAnsi" w:hAnsiTheme="majorHAnsi" w:cstheme="majorHAnsi"/>
          <w:sz w:val="22"/>
          <w:szCs w:val="22"/>
        </w:rPr>
        <w:t>A prescriptive standard may be a document that is:</w:t>
      </w:r>
    </w:p>
    <w:p w14:paraId="227A24A0" w14:textId="77777777" w:rsidR="000F7512" w:rsidRPr="00F07F8E" w:rsidRDefault="000F7512" w:rsidP="00F07F8E">
      <w:pPr>
        <w:widowControl w:val="0"/>
        <w:numPr>
          <w:ilvl w:val="0"/>
          <w:numId w:val="35"/>
        </w:numPr>
        <w:rPr>
          <w:rFonts w:ascii="Arial" w:hAnsi="Arial"/>
          <w:sz w:val="22"/>
          <w:szCs w:val="22"/>
          <w:lang w:eastAsia="en-US"/>
        </w:rPr>
      </w:pPr>
      <w:r w:rsidRPr="00F07F8E">
        <w:rPr>
          <w:rFonts w:ascii="Arial" w:hAnsi="Arial"/>
          <w:sz w:val="22"/>
          <w:szCs w:val="22"/>
          <w:lang w:eastAsia="en-US"/>
        </w:rPr>
        <w:t>published by a body such as Standards Australia (published document), or</w:t>
      </w:r>
    </w:p>
    <w:p w14:paraId="42DBC499" w14:textId="77777777" w:rsidR="000F7512" w:rsidRPr="00F07F8E" w:rsidRDefault="000F7512" w:rsidP="00F07F8E">
      <w:pPr>
        <w:widowControl w:val="0"/>
        <w:numPr>
          <w:ilvl w:val="0"/>
          <w:numId w:val="35"/>
        </w:numPr>
        <w:spacing w:after="120"/>
        <w:ind w:left="714" w:hanging="357"/>
        <w:rPr>
          <w:rFonts w:ascii="Arial" w:hAnsi="Arial"/>
          <w:sz w:val="22"/>
          <w:szCs w:val="22"/>
          <w:lang w:eastAsia="en-US"/>
        </w:rPr>
      </w:pPr>
      <w:r w:rsidRPr="00F07F8E">
        <w:rPr>
          <w:rFonts w:ascii="Arial" w:hAnsi="Arial"/>
          <w:sz w:val="22"/>
          <w:szCs w:val="22"/>
          <w:lang w:eastAsia="en-US"/>
        </w:rPr>
        <w:t xml:space="preserve">endorsed by a registered professional engineer (internal document). </w:t>
      </w:r>
    </w:p>
    <w:p w14:paraId="0411FD73" w14:textId="77777777" w:rsidR="000F7512" w:rsidRPr="00F07F8E" w:rsidRDefault="000F7512" w:rsidP="00117E6E">
      <w:pPr>
        <w:spacing w:after="120"/>
        <w:rPr>
          <w:rFonts w:asciiTheme="majorHAnsi" w:hAnsiTheme="majorHAnsi" w:cstheme="majorHAnsi"/>
          <w:b/>
          <w:bCs/>
          <w:color w:val="16145F"/>
          <w:sz w:val="24"/>
          <w:szCs w:val="24"/>
        </w:rPr>
      </w:pPr>
      <w:r w:rsidRPr="00F07F8E">
        <w:rPr>
          <w:rFonts w:asciiTheme="majorHAnsi" w:hAnsiTheme="majorHAnsi" w:cstheme="majorHAnsi"/>
          <w:b/>
          <w:bCs/>
          <w:color w:val="16145F"/>
          <w:sz w:val="24"/>
          <w:szCs w:val="24"/>
        </w:rPr>
        <w:t>Published document</w:t>
      </w:r>
    </w:p>
    <w:p w14:paraId="4134CC6A" w14:textId="77777777" w:rsidR="000F7512" w:rsidRPr="00AB45CC" w:rsidRDefault="000F7512" w:rsidP="00117E6E">
      <w:pPr>
        <w:spacing w:after="120"/>
        <w:rPr>
          <w:rFonts w:asciiTheme="majorHAnsi" w:hAnsiTheme="majorHAnsi" w:cstheme="majorHAnsi"/>
          <w:sz w:val="22"/>
          <w:szCs w:val="22"/>
        </w:rPr>
      </w:pPr>
      <w:r w:rsidRPr="00AB45CC">
        <w:rPr>
          <w:rFonts w:asciiTheme="majorHAnsi" w:hAnsiTheme="majorHAnsi" w:cstheme="majorHAnsi"/>
          <w:sz w:val="22"/>
          <w:szCs w:val="22"/>
        </w:rPr>
        <w:t xml:space="preserve">While Standards Australia and similar bodies may publish standards, many Australian Standards and other published standards </w:t>
      </w:r>
      <w:r w:rsidRPr="00AB45CC">
        <w:rPr>
          <w:rFonts w:asciiTheme="majorHAnsi" w:hAnsiTheme="majorHAnsi" w:cstheme="majorHAnsi"/>
          <w:color w:val="000000" w:themeColor="text1"/>
          <w:sz w:val="22"/>
          <w:szCs w:val="22"/>
        </w:rPr>
        <w:t xml:space="preserve">may </w:t>
      </w:r>
      <w:r w:rsidRPr="00AB45CC">
        <w:rPr>
          <w:rFonts w:asciiTheme="majorHAnsi" w:hAnsiTheme="majorHAnsi" w:cstheme="majorHAnsi"/>
          <w:sz w:val="22"/>
          <w:szCs w:val="22"/>
        </w:rPr>
        <w:t>not meet the definition of a prescriptive standard as they require more than little or no judgement and/or advanced scientifically based calculations to follow the stated procedures or criteria.</w:t>
      </w:r>
    </w:p>
    <w:p w14:paraId="2192DBB9" w14:textId="77777777" w:rsidR="000F7512" w:rsidRPr="00AB45CC" w:rsidRDefault="000F7512" w:rsidP="00117E6E">
      <w:pPr>
        <w:spacing w:after="120"/>
        <w:rPr>
          <w:rFonts w:asciiTheme="majorHAnsi" w:hAnsiTheme="majorHAnsi" w:cstheme="majorHAnsi"/>
          <w:color w:val="000000" w:themeColor="text1"/>
          <w:sz w:val="22"/>
          <w:szCs w:val="22"/>
        </w:rPr>
      </w:pPr>
      <w:bookmarkStart w:id="4" w:name="_Hlk58863149"/>
      <w:r w:rsidRPr="00AB45CC">
        <w:rPr>
          <w:rFonts w:asciiTheme="majorHAnsi" w:hAnsiTheme="majorHAnsi" w:cstheme="majorHAnsi"/>
          <w:color w:val="000000" w:themeColor="text1"/>
          <w:sz w:val="22"/>
          <w:szCs w:val="22"/>
        </w:rPr>
        <w:t>However, in other situations such formal standards will be prescriptive standards. For example, AS/NZS 3000:2018 Electrical Installations (the Wiring Rules), would be considered a prescriptive standard for the design and construction of a typical domestic electrical installation.</w:t>
      </w:r>
    </w:p>
    <w:bookmarkEnd w:id="4"/>
    <w:p w14:paraId="1A03FA30" w14:textId="77777777" w:rsidR="000F7512" w:rsidRPr="00F07F8E" w:rsidRDefault="000F7512" w:rsidP="00117E6E">
      <w:pPr>
        <w:spacing w:after="120"/>
        <w:rPr>
          <w:rFonts w:asciiTheme="majorHAnsi" w:hAnsiTheme="majorHAnsi" w:cstheme="majorHAnsi"/>
          <w:b/>
          <w:bCs/>
          <w:color w:val="16145F"/>
          <w:sz w:val="24"/>
          <w:szCs w:val="24"/>
        </w:rPr>
      </w:pPr>
      <w:r w:rsidRPr="00F07F8E">
        <w:rPr>
          <w:rFonts w:asciiTheme="majorHAnsi" w:hAnsiTheme="majorHAnsi" w:cstheme="majorHAnsi"/>
          <w:b/>
          <w:bCs/>
          <w:color w:val="16145F"/>
          <w:sz w:val="24"/>
          <w:szCs w:val="24"/>
        </w:rPr>
        <w:t>Internal document</w:t>
      </w:r>
    </w:p>
    <w:p w14:paraId="25A1BCD6" w14:textId="77777777" w:rsidR="000F7512" w:rsidRPr="00AB45CC" w:rsidRDefault="000F7512" w:rsidP="00117E6E">
      <w:pPr>
        <w:spacing w:after="120"/>
        <w:rPr>
          <w:rFonts w:asciiTheme="majorHAnsi" w:eastAsiaTheme="minorEastAsia" w:hAnsiTheme="majorHAnsi" w:cstheme="majorHAnsi"/>
          <w:sz w:val="22"/>
          <w:szCs w:val="22"/>
        </w:rPr>
      </w:pPr>
      <w:r w:rsidRPr="00AB45CC">
        <w:rPr>
          <w:rFonts w:asciiTheme="majorHAnsi" w:eastAsiaTheme="minorEastAsia" w:hAnsiTheme="majorHAnsi" w:cstheme="majorHAnsi"/>
          <w:sz w:val="22"/>
          <w:szCs w:val="22"/>
        </w:rPr>
        <w:t>For an internal document to be a prescriptive standard it must be endorsed by a registered professional engineer for application in particular circumstances.</w:t>
      </w:r>
    </w:p>
    <w:p w14:paraId="48D61676" w14:textId="77777777" w:rsidR="000F7512" w:rsidRPr="00AB45CC" w:rsidRDefault="000F7512" w:rsidP="00117E6E">
      <w:pPr>
        <w:spacing w:after="120"/>
        <w:rPr>
          <w:rFonts w:asciiTheme="majorHAnsi" w:hAnsiTheme="majorHAnsi" w:cstheme="majorHAnsi"/>
          <w:sz w:val="22"/>
          <w:szCs w:val="22"/>
        </w:rPr>
      </w:pPr>
      <w:r w:rsidRPr="00AB45CC">
        <w:rPr>
          <w:rFonts w:asciiTheme="majorHAnsi" w:hAnsiTheme="majorHAnsi" w:cstheme="majorHAnsi"/>
          <w:sz w:val="22"/>
          <w:szCs w:val="22"/>
        </w:rPr>
        <w:t>As with a published document, an internal document must meet the requirements for a prescriptive standard set in the Act – state procedures and criteria and not require scientifically based calculations – and not require the person using the document to make a judgement about whether it applies in a particular situation or how to follow the procedures or criteria.</w:t>
      </w:r>
    </w:p>
    <w:p w14:paraId="582899F6" w14:textId="77777777" w:rsidR="000F7512" w:rsidRPr="00F07F8E" w:rsidRDefault="000F7512" w:rsidP="00F07F8E">
      <w:pPr>
        <w:pStyle w:val="Heading2"/>
        <w:keepNext w:val="0"/>
        <w:keepLines w:val="0"/>
        <w:widowControl w:val="0"/>
        <w:spacing w:after="240" w:line="240" w:lineRule="auto"/>
        <w:rPr>
          <w:rFonts w:eastAsia="MS Gothic" w:cs="Arial"/>
          <w:bCs/>
          <w:color w:val="16145F" w:themeColor="accent3"/>
          <w:kern w:val="32"/>
          <w:sz w:val="28"/>
        </w:rPr>
      </w:pPr>
      <w:r w:rsidRPr="00F07F8E">
        <w:rPr>
          <w:rFonts w:eastAsia="MS Gothic" w:cs="Arial"/>
          <w:bCs/>
          <w:color w:val="16145F" w:themeColor="accent3"/>
          <w:kern w:val="32"/>
          <w:sz w:val="28"/>
        </w:rPr>
        <w:t>A decision to use a prescriptive standard</w:t>
      </w:r>
    </w:p>
    <w:p w14:paraId="28A75E31" w14:textId="77777777" w:rsidR="000F7512" w:rsidRPr="00AB45CC" w:rsidRDefault="000F7512" w:rsidP="00117E6E">
      <w:pPr>
        <w:spacing w:after="120"/>
        <w:rPr>
          <w:rFonts w:asciiTheme="majorHAnsi" w:hAnsiTheme="majorHAnsi" w:cstheme="majorHAnsi"/>
          <w:sz w:val="22"/>
          <w:szCs w:val="22"/>
          <w:lang w:eastAsia="en-GB"/>
        </w:rPr>
      </w:pPr>
      <w:r w:rsidRPr="00AB45CC">
        <w:rPr>
          <w:rFonts w:asciiTheme="majorHAnsi" w:hAnsiTheme="majorHAnsi" w:cstheme="majorHAnsi"/>
          <w:sz w:val="22"/>
          <w:szCs w:val="22"/>
          <w:lang w:eastAsia="en-GB"/>
        </w:rPr>
        <w:t xml:space="preserve">A decision to use a prescriptive standard is likely to be a professional engineering service because it requires professional judgement about which prescriptive standard to apply in a particular situation. </w:t>
      </w:r>
    </w:p>
    <w:p w14:paraId="37D53FE3" w14:textId="77777777" w:rsidR="000F7512" w:rsidRPr="00AB45CC" w:rsidRDefault="000F7512" w:rsidP="00117E6E">
      <w:pPr>
        <w:spacing w:after="120"/>
        <w:rPr>
          <w:rFonts w:asciiTheme="majorHAnsi" w:hAnsiTheme="majorHAnsi" w:cstheme="majorHAnsi"/>
          <w:sz w:val="22"/>
          <w:szCs w:val="22"/>
          <w:lang w:eastAsia="en-GB"/>
        </w:rPr>
      </w:pPr>
      <w:r w:rsidRPr="00AB45CC">
        <w:rPr>
          <w:rFonts w:asciiTheme="majorHAnsi" w:hAnsiTheme="majorHAnsi" w:cstheme="majorHAnsi"/>
          <w:sz w:val="22"/>
          <w:szCs w:val="22"/>
          <w:lang w:eastAsia="en-GB"/>
        </w:rPr>
        <w:t>Where such a decision:</w:t>
      </w:r>
    </w:p>
    <w:p w14:paraId="0B00C940" w14:textId="77777777" w:rsidR="000F7512" w:rsidRPr="00F07F8E" w:rsidRDefault="000F7512" w:rsidP="00F07F8E">
      <w:pPr>
        <w:widowControl w:val="0"/>
        <w:numPr>
          <w:ilvl w:val="0"/>
          <w:numId w:val="35"/>
        </w:numPr>
        <w:rPr>
          <w:rFonts w:ascii="Arial" w:hAnsi="Arial"/>
          <w:sz w:val="22"/>
          <w:szCs w:val="22"/>
          <w:lang w:eastAsia="en-US"/>
        </w:rPr>
      </w:pPr>
      <w:r w:rsidRPr="00F07F8E">
        <w:rPr>
          <w:rFonts w:ascii="Arial" w:hAnsi="Arial"/>
          <w:sz w:val="22"/>
          <w:szCs w:val="22"/>
          <w:lang w:eastAsia="en-US"/>
        </w:rPr>
        <w:t>is a professional engineering service, the decision to use a prescriptive standard must be made by a registered professional engineer, or</w:t>
      </w:r>
    </w:p>
    <w:p w14:paraId="3835514D" w14:textId="77777777" w:rsidR="000F7512" w:rsidRPr="00F07F8E" w:rsidRDefault="000F7512" w:rsidP="00F07F8E">
      <w:pPr>
        <w:widowControl w:val="0"/>
        <w:numPr>
          <w:ilvl w:val="0"/>
          <w:numId w:val="35"/>
        </w:numPr>
        <w:spacing w:after="120"/>
        <w:ind w:left="714" w:hanging="357"/>
        <w:rPr>
          <w:rFonts w:ascii="Arial" w:hAnsi="Arial"/>
          <w:sz w:val="22"/>
          <w:szCs w:val="22"/>
          <w:lang w:eastAsia="en-US"/>
        </w:rPr>
      </w:pPr>
      <w:r w:rsidRPr="00F07F8E">
        <w:rPr>
          <w:rFonts w:ascii="Arial" w:hAnsi="Arial"/>
          <w:sz w:val="22"/>
          <w:szCs w:val="22"/>
          <w:lang w:eastAsia="en-US"/>
        </w:rPr>
        <w:t>is not a professional engineering service, the decision to use a prescriptive standard does not need to be made by a registered professional engineer.</w:t>
      </w:r>
    </w:p>
    <w:p w14:paraId="707CC186" w14:textId="77777777" w:rsidR="000F7512" w:rsidRPr="00F07F8E" w:rsidRDefault="000F7512" w:rsidP="00F07F8E">
      <w:pPr>
        <w:pStyle w:val="Heading2"/>
        <w:keepNext w:val="0"/>
        <w:keepLines w:val="0"/>
        <w:widowControl w:val="0"/>
        <w:spacing w:after="240" w:line="240" w:lineRule="auto"/>
        <w:rPr>
          <w:rFonts w:eastAsia="MS Gothic" w:cs="Arial"/>
          <w:bCs/>
          <w:color w:val="16145F" w:themeColor="accent3"/>
          <w:kern w:val="32"/>
          <w:sz w:val="28"/>
        </w:rPr>
      </w:pPr>
      <w:r w:rsidRPr="00F07F8E">
        <w:rPr>
          <w:rFonts w:eastAsia="MS Gothic" w:cs="Arial"/>
          <w:bCs/>
          <w:color w:val="16145F" w:themeColor="accent3"/>
          <w:kern w:val="32"/>
          <w:sz w:val="28"/>
        </w:rPr>
        <w:t>Checklist for determining whether a document is a prescriptive standard</w:t>
      </w:r>
    </w:p>
    <w:p w14:paraId="7D19279D" w14:textId="77777777" w:rsidR="000F7512" w:rsidRPr="00AB45CC" w:rsidRDefault="000F7512" w:rsidP="00AB45CC">
      <w:pPr>
        <w:widowControl w:val="0"/>
        <w:rPr>
          <w:rFonts w:asciiTheme="majorHAnsi" w:hAnsiTheme="majorHAnsi" w:cstheme="majorHAnsi"/>
          <w:sz w:val="22"/>
          <w:szCs w:val="22"/>
        </w:rPr>
      </w:pPr>
      <w:r w:rsidRPr="00AB45CC">
        <w:rPr>
          <w:rFonts w:asciiTheme="majorHAnsi" w:hAnsiTheme="majorHAnsi" w:cstheme="majorHAnsi"/>
          <w:sz w:val="22"/>
          <w:szCs w:val="22"/>
        </w:rPr>
        <w:t>It is important that registered practising professional engineers understand what is and is not a prescriptive standard so that they can leave activities undertaken only in accordance with prescriptive standards to unregistered engineers or technicians. In turn, registered practising professional engineers can concentrate on carrying out or providing direct supervision for professional engineering services that are not provided only in accordance with a prescriptive standard.</w:t>
      </w:r>
    </w:p>
    <w:p w14:paraId="4911AEA4" w14:textId="77777777" w:rsidR="000F7512" w:rsidRPr="00AB45CC" w:rsidRDefault="000F7512" w:rsidP="00AB45CC">
      <w:pPr>
        <w:widowControl w:val="0"/>
        <w:rPr>
          <w:rFonts w:asciiTheme="majorHAnsi" w:hAnsiTheme="majorHAnsi" w:cstheme="majorHAnsi"/>
          <w:color w:val="000000" w:themeColor="text1"/>
          <w:sz w:val="22"/>
          <w:szCs w:val="22"/>
        </w:rPr>
      </w:pPr>
    </w:p>
    <w:p w14:paraId="44A28CE3" w14:textId="0A475243" w:rsidR="000F7512" w:rsidRPr="00AB45CC" w:rsidRDefault="000F7512" w:rsidP="00F07F8E">
      <w:pPr>
        <w:widowControl w:val="0"/>
        <w:spacing w:after="120"/>
        <w:rPr>
          <w:rFonts w:asciiTheme="majorHAnsi" w:hAnsiTheme="majorHAnsi" w:cstheme="majorHAnsi"/>
          <w:color w:val="000000" w:themeColor="text1"/>
          <w:sz w:val="22"/>
          <w:szCs w:val="22"/>
        </w:rPr>
      </w:pPr>
      <w:r w:rsidRPr="00AB45CC">
        <w:rPr>
          <w:rFonts w:asciiTheme="majorHAnsi" w:hAnsiTheme="majorHAnsi" w:cstheme="majorHAnsi"/>
          <w:color w:val="000000" w:themeColor="text1"/>
          <w:sz w:val="22"/>
          <w:szCs w:val="22"/>
        </w:rPr>
        <w:t>A document is a prescriptive standard if it:</w:t>
      </w:r>
    </w:p>
    <w:tbl>
      <w:tblPr>
        <w:tblStyle w:val="TableGrid1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2"/>
        <w:gridCol w:w="9644"/>
      </w:tblGrid>
      <w:tr w:rsidR="000F7512" w:rsidRPr="00AB45CC" w14:paraId="178D0F57" w14:textId="77777777" w:rsidTr="00F07F8E">
        <w:tc>
          <w:tcPr>
            <w:tcW w:w="562" w:type="dxa"/>
          </w:tcPr>
          <w:p w14:paraId="2B03BEF3" w14:textId="77777777" w:rsidR="000F7512" w:rsidRPr="00F07F8E" w:rsidRDefault="000F7512" w:rsidP="00F07F8E">
            <w:pPr>
              <w:widowControl w:val="0"/>
              <w:jc w:val="center"/>
              <w:rPr>
                <w:rFonts w:asciiTheme="majorHAnsi" w:hAnsiTheme="majorHAnsi" w:cstheme="majorHAnsi"/>
                <w:color w:val="16145F"/>
                <w:sz w:val="28"/>
                <w:szCs w:val="28"/>
                <w:lang w:eastAsia="en-GB"/>
              </w:rPr>
            </w:pPr>
            <w:bookmarkStart w:id="5" w:name="_Hlk58828152"/>
            <w:r w:rsidRPr="00F07F8E">
              <w:rPr>
                <w:rFonts w:asciiTheme="majorHAnsi" w:eastAsia="Wingdings" w:hAnsiTheme="majorHAnsi" w:cstheme="majorHAnsi"/>
                <w:color w:val="16145F"/>
                <w:sz w:val="28"/>
                <w:szCs w:val="28"/>
                <w:lang w:eastAsia="en-GB"/>
              </w:rPr>
              <w:sym w:font="Wingdings" w:char="F0FE"/>
            </w:r>
          </w:p>
        </w:tc>
        <w:tc>
          <w:tcPr>
            <w:tcW w:w="9644" w:type="dxa"/>
          </w:tcPr>
          <w:p w14:paraId="49C14BFD" w14:textId="77777777" w:rsidR="000F7512" w:rsidRPr="00AB45CC" w:rsidRDefault="000F7512" w:rsidP="00F07F8E">
            <w:pPr>
              <w:widowControl w:val="0"/>
              <w:rPr>
                <w:rFonts w:asciiTheme="majorHAnsi" w:hAnsiTheme="majorHAnsi" w:cstheme="majorHAnsi"/>
              </w:rPr>
            </w:pPr>
            <w:r w:rsidRPr="00AB45CC">
              <w:rPr>
                <w:rFonts w:asciiTheme="majorHAnsi" w:hAnsiTheme="majorHAnsi" w:cstheme="majorHAnsi"/>
              </w:rPr>
              <w:t>provides a physical or electronic record of the procedures and criteria for the activity it covers, and</w:t>
            </w:r>
          </w:p>
        </w:tc>
      </w:tr>
      <w:tr w:rsidR="000F7512" w:rsidRPr="00AB45CC" w14:paraId="6468EB6A" w14:textId="77777777" w:rsidTr="00F07F8E">
        <w:tc>
          <w:tcPr>
            <w:tcW w:w="562" w:type="dxa"/>
          </w:tcPr>
          <w:p w14:paraId="19923BB3" w14:textId="77777777" w:rsidR="000F7512" w:rsidRPr="00F07F8E" w:rsidRDefault="000F7512" w:rsidP="00F07F8E">
            <w:pPr>
              <w:widowControl w:val="0"/>
              <w:jc w:val="center"/>
              <w:rPr>
                <w:rFonts w:asciiTheme="majorHAnsi" w:hAnsiTheme="majorHAnsi" w:cstheme="majorHAnsi"/>
                <w:color w:val="16145F"/>
                <w:sz w:val="28"/>
                <w:szCs w:val="28"/>
                <w:lang w:eastAsia="en-GB"/>
              </w:rPr>
            </w:pPr>
            <w:r w:rsidRPr="00F07F8E">
              <w:rPr>
                <w:rFonts w:asciiTheme="majorHAnsi" w:eastAsia="Wingdings" w:hAnsiTheme="majorHAnsi" w:cstheme="majorHAnsi"/>
                <w:color w:val="16145F"/>
                <w:sz w:val="28"/>
                <w:szCs w:val="28"/>
                <w:lang w:eastAsia="en-GB"/>
              </w:rPr>
              <w:lastRenderedPageBreak/>
              <w:sym w:font="Wingdings" w:char="F0FE"/>
            </w:r>
          </w:p>
        </w:tc>
        <w:tc>
          <w:tcPr>
            <w:tcW w:w="9644" w:type="dxa"/>
          </w:tcPr>
          <w:p w14:paraId="1A08F342" w14:textId="77777777" w:rsidR="000F7512" w:rsidRPr="00AB45CC" w:rsidRDefault="000F7512" w:rsidP="00F07F8E">
            <w:pPr>
              <w:widowControl w:val="0"/>
              <w:rPr>
                <w:rFonts w:asciiTheme="majorHAnsi" w:hAnsiTheme="majorHAnsi" w:cstheme="majorHAnsi"/>
              </w:rPr>
            </w:pPr>
            <w:r w:rsidRPr="00AB45CC">
              <w:rPr>
                <w:rFonts w:asciiTheme="majorHAnsi" w:hAnsiTheme="majorHAnsi" w:cstheme="majorHAnsi"/>
              </w:rPr>
              <w:t>details and explains exactly how the procedures or criteria will apply to the activity it covers, and</w:t>
            </w:r>
          </w:p>
        </w:tc>
      </w:tr>
      <w:tr w:rsidR="000F7512" w:rsidRPr="00AB45CC" w14:paraId="3E3266F2" w14:textId="77777777" w:rsidTr="00F07F8E">
        <w:tc>
          <w:tcPr>
            <w:tcW w:w="562" w:type="dxa"/>
          </w:tcPr>
          <w:p w14:paraId="281C2371" w14:textId="77777777" w:rsidR="000F7512" w:rsidRPr="00F07F8E" w:rsidRDefault="000F7512" w:rsidP="00F07F8E">
            <w:pPr>
              <w:widowControl w:val="0"/>
              <w:jc w:val="center"/>
              <w:rPr>
                <w:rFonts w:asciiTheme="majorHAnsi" w:hAnsiTheme="majorHAnsi" w:cstheme="majorHAnsi"/>
                <w:color w:val="16145F"/>
                <w:sz w:val="28"/>
                <w:szCs w:val="28"/>
                <w:lang w:eastAsia="en-GB"/>
              </w:rPr>
            </w:pPr>
            <w:r w:rsidRPr="00F07F8E">
              <w:rPr>
                <w:rFonts w:asciiTheme="majorHAnsi" w:eastAsia="Wingdings" w:hAnsiTheme="majorHAnsi" w:cstheme="majorHAnsi"/>
                <w:color w:val="16145F"/>
                <w:sz w:val="28"/>
                <w:szCs w:val="28"/>
                <w:lang w:eastAsia="en-GB"/>
              </w:rPr>
              <w:sym w:font="Wingdings" w:char="F0FE"/>
            </w:r>
          </w:p>
        </w:tc>
        <w:tc>
          <w:tcPr>
            <w:tcW w:w="9644" w:type="dxa"/>
          </w:tcPr>
          <w:p w14:paraId="5A886909" w14:textId="77777777" w:rsidR="000F7512" w:rsidRPr="00AB45CC" w:rsidRDefault="000F7512" w:rsidP="00F07F8E">
            <w:pPr>
              <w:widowControl w:val="0"/>
              <w:rPr>
                <w:rFonts w:asciiTheme="majorHAnsi" w:hAnsiTheme="majorHAnsi" w:cstheme="majorHAnsi"/>
              </w:rPr>
            </w:pPr>
            <w:r w:rsidRPr="00AB45CC">
              <w:rPr>
                <w:rFonts w:asciiTheme="majorHAnsi" w:hAnsiTheme="majorHAnsi" w:cstheme="majorHAnsi"/>
              </w:rPr>
              <w:t>requires little or no choice or engineering judgement to apply the procedures or criteria it sets out, and</w:t>
            </w:r>
          </w:p>
        </w:tc>
      </w:tr>
      <w:tr w:rsidR="000F7512" w:rsidRPr="00AB45CC" w14:paraId="5E18DC4B" w14:textId="77777777" w:rsidTr="00F07F8E">
        <w:tc>
          <w:tcPr>
            <w:tcW w:w="562" w:type="dxa"/>
          </w:tcPr>
          <w:p w14:paraId="2EA4223D" w14:textId="77777777" w:rsidR="000F7512" w:rsidRPr="00F07F8E" w:rsidRDefault="000F7512" w:rsidP="00F07F8E">
            <w:pPr>
              <w:widowControl w:val="0"/>
              <w:jc w:val="center"/>
              <w:rPr>
                <w:rFonts w:asciiTheme="majorHAnsi" w:hAnsiTheme="majorHAnsi" w:cstheme="majorHAnsi"/>
                <w:color w:val="16145F"/>
                <w:sz w:val="28"/>
                <w:szCs w:val="28"/>
                <w:lang w:eastAsia="en-GB"/>
              </w:rPr>
            </w:pPr>
            <w:r w:rsidRPr="00F07F8E">
              <w:rPr>
                <w:rFonts w:asciiTheme="majorHAnsi" w:eastAsia="Wingdings" w:hAnsiTheme="majorHAnsi" w:cstheme="majorHAnsi"/>
                <w:color w:val="16145F"/>
                <w:sz w:val="28"/>
                <w:szCs w:val="28"/>
                <w:lang w:eastAsia="en-GB"/>
              </w:rPr>
              <w:sym w:font="Wingdings" w:char="F0FE"/>
            </w:r>
          </w:p>
        </w:tc>
        <w:tc>
          <w:tcPr>
            <w:tcW w:w="9644" w:type="dxa"/>
          </w:tcPr>
          <w:p w14:paraId="69C24D35" w14:textId="77777777" w:rsidR="000F7512" w:rsidRPr="00AB45CC" w:rsidRDefault="000F7512" w:rsidP="00F07F8E">
            <w:pPr>
              <w:widowControl w:val="0"/>
              <w:snapToGrid w:val="0"/>
              <w:rPr>
                <w:rFonts w:asciiTheme="majorHAnsi" w:hAnsiTheme="majorHAnsi" w:cstheme="majorHAnsi"/>
              </w:rPr>
            </w:pPr>
            <w:r w:rsidRPr="00AB45CC">
              <w:rPr>
                <w:rFonts w:asciiTheme="majorHAnsi" w:hAnsiTheme="majorHAnsi" w:cstheme="majorHAnsi"/>
              </w:rPr>
              <w:t>provides a simple, well-described and comprehensive approach that clearly explains how to carry out the activity so that the knowledge and experience of a registered practising professional engineer is not needed.</w:t>
            </w:r>
          </w:p>
        </w:tc>
      </w:tr>
    </w:tbl>
    <w:bookmarkEnd w:id="5"/>
    <w:p w14:paraId="7AC8149D" w14:textId="77777777" w:rsidR="000F7512" w:rsidRPr="00AB45CC" w:rsidRDefault="000F7512" w:rsidP="00F07F8E">
      <w:pPr>
        <w:widowControl w:val="0"/>
        <w:spacing w:before="240" w:after="120"/>
        <w:rPr>
          <w:rFonts w:asciiTheme="majorHAnsi" w:hAnsiTheme="majorHAnsi" w:cstheme="majorHAnsi"/>
          <w:color w:val="000000" w:themeColor="text1"/>
          <w:sz w:val="22"/>
          <w:szCs w:val="22"/>
        </w:rPr>
      </w:pPr>
      <w:r w:rsidRPr="00AB45CC">
        <w:rPr>
          <w:rFonts w:asciiTheme="majorHAnsi" w:hAnsiTheme="majorHAnsi" w:cstheme="majorHAnsi"/>
          <w:color w:val="000000" w:themeColor="text1"/>
          <w:sz w:val="22"/>
          <w:szCs w:val="22"/>
        </w:rPr>
        <w:t>The prescriptive standard exemption from registration applies if an engineering service is provided:</w:t>
      </w:r>
    </w:p>
    <w:tbl>
      <w:tblPr>
        <w:tblStyle w:val="TableGrid1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2"/>
        <w:gridCol w:w="9644"/>
      </w:tblGrid>
      <w:tr w:rsidR="000F7512" w:rsidRPr="00AB45CC" w14:paraId="1561CA7B" w14:textId="77777777" w:rsidTr="00F07F8E">
        <w:tc>
          <w:tcPr>
            <w:tcW w:w="562" w:type="dxa"/>
          </w:tcPr>
          <w:p w14:paraId="68CBD666" w14:textId="77777777" w:rsidR="000F7512" w:rsidRPr="00F07F8E" w:rsidRDefault="000F7512" w:rsidP="00AB45CC">
            <w:pPr>
              <w:widowControl w:val="0"/>
              <w:jc w:val="center"/>
              <w:rPr>
                <w:rFonts w:asciiTheme="majorHAnsi" w:hAnsiTheme="majorHAnsi" w:cstheme="majorHAnsi"/>
                <w:color w:val="16145F"/>
                <w:sz w:val="28"/>
                <w:szCs w:val="28"/>
                <w:lang w:eastAsia="en-GB"/>
              </w:rPr>
            </w:pPr>
            <w:r w:rsidRPr="00F07F8E">
              <w:rPr>
                <w:rFonts w:asciiTheme="majorHAnsi" w:eastAsia="Wingdings" w:hAnsiTheme="majorHAnsi" w:cstheme="majorHAnsi"/>
                <w:color w:val="16145F"/>
                <w:sz w:val="28"/>
                <w:szCs w:val="28"/>
                <w:lang w:eastAsia="en-GB"/>
              </w:rPr>
              <w:sym w:font="Wingdings" w:char="F0FE"/>
            </w:r>
          </w:p>
        </w:tc>
        <w:tc>
          <w:tcPr>
            <w:tcW w:w="9644" w:type="dxa"/>
          </w:tcPr>
          <w:p w14:paraId="6EED018F" w14:textId="77777777" w:rsidR="000F7512" w:rsidRPr="00AB45CC" w:rsidRDefault="000F7512" w:rsidP="00AB45CC">
            <w:pPr>
              <w:widowControl w:val="0"/>
              <w:rPr>
                <w:rFonts w:asciiTheme="majorHAnsi" w:hAnsiTheme="majorHAnsi" w:cstheme="majorHAnsi"/>
              </w:rPr>
            </w:pPr>
            <w:r w:rsidRPr="00AB45CC">
              <w:rPr>
                <w:rFonts w:asciiTheme="majorHAnsi" w:hAnsiTheme="majorHAnsi" w:cstheme="majorHAnsi"/>
              </w:rPr>
              <w:t>in accordance with a prescriptive standard, and</w:t>
            </w:r>
          </w:p>
        </w:tc>
      </w:tr>
      <w:tr w:rsidR="000F7512" w:rsidRPr="00AB45CC" w14:paraId="2BCFAD52" w14:textId="77777777" w:rsidTr="00F07F8E">
        <w:tc>
          <w:tcPr>
            <w:tcW w:w="562" w:type="dxa"/>
          </w:tcPr>
          <w:p w14:paraId="63A18A27" w14:textId="77777777" w:rsidR="000F7512" w:rsidRPr="00F07F8E" w:rsidRDefault="000F7512" w:rsidP="00AB45CC">
            <w:pPr>
              <w:widowControl w:val="0"/>
              <w:jc w:val="center"/>
              <w:rPr>
                <w:rFonts w:asciiTheme="majorHAnsi" w:hAnsiTheme="majorHAnsi" w:cstheme="majorHAnsi"/>
                <w:color w:val="16145F"/>
                <w:sz w:val="28"/>
                <w:szCs w:val="28"/>
                <w:lang w:eastAsia="en-GB"/>
              </w:rPr>
            </w:pPr>
            <w:r w:rsidRPr="00F07F8E">
              <w:rPr>
                <w:rFonts w:asciiTheme="majorHAnsi" w:eastAsia="Wingdings" w:hAnsiTheme="majorHAnsi" w:cstheme="majorHAnsi"/>
                <w:color w:val="16145F"/>
                <w:sz w:val="28"/>
                <w:szCs w:val="28"/>
                <w:lang w:eastAsia="en-GB"/>
              </w:rPr>
              <w:sym w:font="Wingdings" w:char="F0FE"/>
            </w:r>
          </w:p>
        </w:tc>
        <w:tc>
          <w:tcPr>
            <w:tcW w:w="9644" w:type="dxa"/>
          </w:tcPr>
          <w:p w14:paraId="473DE038" w14:textId="77777777" w:rsidR="000F7512" w:rsidRPr="00AB45CC" w:rsidRDefault="000F7512" w:rsidP="00AB45CC">
            <w:pPr>
              <w:widowControl w:val="0"/>
              <w:snapToGrid w:val="0"/>
              <w:rPr>
                <w:rFonts w:asciiTheme="majorHAnsi" w:hAnsiTheme="majorHAnsi" w:cstheme="majorHAnsi"/>
              </w:rPr>
            </w:pPr>
            <w:r w:rsidRPr="00AB45CC">
              <w:rPr>
                <w:rFonts w:asciiTheme="majorHAnsi" w:hAnsiTheme="majorHAnsi" w:cstheme="majorHAnsi"/>
              </w:rPr>
              <w:t>only in accordance with that standard.</w:t>
            </w:r>
          </w:p>
        </w:tc>
      </w:tr>
    </w:tbl>
    <w:p w14:paraId="5938E89F" w14:textId="77777777" w:rsidR="000F7512" w:rsidRPr="00AB45CC" w:rsidRDefault="000F7512" w:rsidP="00AB45CC">
      <w:pPr>
        <w:widowControl w:val="0"/>
        <w:spacing w:after="160"/>
        <w:rPr>
          <w:rFonts w:asciiTheme="majorHAnsi" w:hAnsiTheme="majorHAnsi" w:cstheme="majorHAnsi"/>
          <w:sz w:val="22"/>
          <w:szCs w:val="22"/>
        </w:rPr>
      </w:pPr>
    </w:p>
    <w:p w14:paraId="774100B0" w14:textId="77777777" w:rsidR="000F7512" w:rsidRPr="00AB45CC" w:rsidRDefault="000F7512" w:rsidP="00AB45CC">
      <w:pPr>
        <w:widowControl w:val="0"/>
        <w:rPr>
          <w:rFonts w:asciiTheme="majorHAnsi" w:hAnsiTheme="majorHAnsi" w:cstheme="majorHAnsi"/>
          <w:sz w:val="22"/>
          <w:szCs w:val="22"/>
        </w:rPr>
      </w:pPr>
    </w:p>
    <w:p w14:paraId="2D179FB5" w14:textId="77777777" w:rsidR="00D91234" w:rsidRPr="00AB45CC" w:rsidRDefault="00D91234" w:rsidP="00AB45CC">
      <w:pPr>
        <w:rPr>
          <w:rFonts w:asciiTheme="majorHAnsi" w:hAnsiTheme="majorHAnsi" w:cstheme="majorHAnsi"/>
          <w:sz w:val="22"/>
          <w:szCs w:val="22"/>
        </w:rPr>
      </w:pPr>
    </w:p>
    <w:sectPr w:rsidR="00D91234" w:rsidRPr="00AB45CC" w:rsidSect="00F07F8E">
      <w:headerReference w:type="default" r:id="rId12"/>
      <w:footerReference w:type="default" r:id="rId13"/>
      <w:headerReference w:type="first" r:id="rId14"/>
      <w:footerReference w:type="first" r:id="rId15"/>
      <w:type w:val="continuous"/>
      <w:pgSz w:w="11906" w:h="16838" w:code="9"/>
      <w:pgMar w:top="1871" w:right="851" w:bottom="1418" w:left="851" w:header="1049" w:footer="442"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AA47F2" w14:textId="77777777" w:rsidR="00CC379D" w:rsidRDefault="00CC379D">
      <w:r>
        <w:separator/>
      </w:r>
    </w:p>
  </w:endnote>
  <w:endnote w:type="continuationSeparator" w:id="0">
    <w:p w14:paraId="095DFD75" w14:textId="77777777" w:rsidR="00CC379D" w:rsidRDefault="00CC3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9615145"/>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1759048265"/>
          <w:docPartObj>
            <w:docPartGallery w:val="Page Numbers (Top of Page)"/>
            <w:docPartUnique/>
          </w:docPartObj>
        </w:sdtPr>
        <w:sdtEndPr/>
        <w:sdtContent>
          <w:p w14:paraId="3492CA24" w14:textId="3FF9D034" w:rsidR="009C6D5E" w:rsidRPr="009C6D5E" w:rsidRDefault="00A04213" w:rsidP="009C6D5E">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65408" behindDoc="1" locked="0" layoutInCell="1" allowOverlap="1" wp14:anchorId="2C615CDE" wp14:editId="7759386D">
                  <wp:simplePos x="0" y="0"/>
                  <wp:positionH relativeFrom="margin">
                    <wp:posOffset>4980940</wp:posOffset>
                  </wp:positionH>
                  <wp:positionV relativeFrom="paragraph">
                    <wp:posOffset>160655</wp:posOffset>
                  </wp:positionV>
                  <wp:extent cx="1498578" cy="412109"/>
                  <wp:effectExtent l="0" t="0" r="635"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009C6D5E" w:rsidRPr="009C6D5E">
              <w:rPr>
                <w:rFonts w:asciiTheme="majorHAnsi" w:hAnsiTheme="majorHAnsi" w:cstheme="majorHAnsi"/>
              </w:rPr>
              <w:t>consumer.vic.gov.au/engineers</w:t>
            </w:r>
          </w:p>
          <w:p w14:paraId="1DB58DD5" w14:textId="7E6D3E3E" w:rsidR="009C6D5E" w:rsidRPr="009C6D5E" w:rsidRDefault="009C6D5E" w:rsidP="009C6D5E">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1</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90EEB2F" w14:textId="3CF0000D" w:rsidR="009C6D5E" w:rsidRPr="009C6D5E" w:rsidRDefault="009C6D5E"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sidR="00A04213">
              <w:rPr>
                <w:rFonts w:asciiTheme="majorHAnsi" w:hAnsiTheme="majorHAnsi" w:cstheme="majorHAnsi"/>
              </w:rPr>
              <w:tab/>
            </w:r>
          </w:p>
        </w:sdtContent>
      </w:sdt>
    </w:sdtContent>
  </w:sdt>
  <w:p w14:paraId="58A6886F" w14:textId="5D824B58" w:rsidR="009C6D5E" w:rsidRPr="009C6D5E" w:rsidRDefault="00D52173">
    <w:pPr>
      <w:pStyle w:val="Footer"/>
      <w:rPr>
        <w:rFonts w:asciiTheme="majorHAnsi" w:hAnsiTheme="majorHAnsi" w:cstheme="majorHAnsi"/>
      </w:rPr>
    </w:pPr>
    <w:r>
      <w:rPr>
        <w:noProof/>
      </w:rPr>
      <w:drawing>
        <wp:anchor distT="0" distB="0" distL="114300" distR="114300" simplePos="0" relativeHeight="251673600" behindDoc="1" locked="0" layoutInCell="1" allowOverlap="1" wp14:anchorId="279EC9E3" wp14:editId="705E2F02">
          <wp:simplePos x="0" y="0"/>
          <wp:positionH relativeFrom="page">
            <wp:posOffset>6985</wp:posOffset>
          </wp:positionH>
          <wp:positionV relativeFrom="page">
            <wp:posOffset>10838180</wp:posOffset>
          </wp:positionV>
          <wp:extent cx="7574400" cy="1000631"/>
          <wp:effectExtent l="0" t="0" r="0" b="317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2"/>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r w:rsidR="00366F3B">
      <w:rPr>
        <w:rFonts w:asciiTheme="majorHAnsi" w:hAnsiTheme="majorHAnsi" w:cstheme="majorHAnsi"/>
      </w:rPr>
      <w:t>3</w:t>
    </w:r>
    <w:r w:rsidR="009C6D5E" w:rsidRPr="009C6D5E">
      <w:rPr>
        <w:rFonts w:asciiTheme="majorHAnsi" w:hAnsiTheme="majorHAnsi" w:cstheme="majorHAnsi"/>
      </w:rPr>
      <w:t xml:space="preserve"> August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7786594"/>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509809364"/>
          <w:docPartObj>
            <w:docPartGallery w:val="Page Numbers (Top of Page)"/>
            <w:docPartUnique/>
          </w:docPartObj>
        </w:sdtPr>
        <w:sdtEndPr/>
        <w:sdtContent>
          <w:p w14:paraId="4F6A92B5" w14:textId="77777777" w:rsidR="00B6330C" w:rsidRPr="009C6D5E" w:rsidRDefault="00B6330C" w:rsidP="00B6330C">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71552" behindDoc="1" locked="0" layoutInCell="1" allowOverlap="1" wp14:anchorId="35E2229F" wp14:editId="3F56F7DE">
                  <wp:simplePos x="0" y="0"/>
                  <wp:positionH relativeFrom="margin">
                    <wp:posOffset>4980940</wp:posOffset>
                  </wp:positionH>
                  <wp:positionV relativeFrom="paragraph">
                    <wp:posOffset>160655</wp:posOffset>
                  </wp:positionV>
                  <wp:extent cx="1498578" cy="412109"/>
                  <wp:effectExtent l="0" t="0" r="635"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Pr="009C6D5E">
              <w:rPr>
                <w:rFonts w:asciiTheme="majorHAnsi" w:hAnsiTheme="majorHAnsi" w:cstheme="majorHAnsi"/>
              </w:rPr>
              <w:t>consumer.vic.gov.au/engineers</w:t>
            </w:r>
          </w:p>
          <w:p w14:paraId="468AFF8C" w14:textId="77777777" w:rsidR="00B6330C" w:rsidRPr="009C6D5E" w:rsidRDefault="00B6330C" w:rsidP="00B6330C">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2</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D7A76DF" w14:textId="77777777" w:rsidR="00B6330C" w:rsidRPr="009C6D5E" w:rsidRDefault="00B6330C"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Pr>
                <w:rFonts w:asciiTheme="majorHAnsi" w:hAnsiTheme="majorHAnsi" w:cstheme="majorHAnsi"/>
              </w:rPr>
              <w:tab/>
            </w:r>
          </w:p>
        </w:sdtContent>
      </w:sdt>
    </w:sdtContent>
  </w:sdt>
  <w:p w14:paraId="55F7D47C" w14:textId="46C71AF6" w:rsidR="009C6D5E" w:rsidRPr="00B6330C" w:rsidRDefault="00B6330C" w:rsidP="00B6330C">
    <w:pPr>
      <w:pStyle w:val="Footer"/>
      <w:rPr>
        <w:rFonts w:asciiTheme="majorHAnsi" w:hAnsiTheme="majorHAnsi" w:cstheme="majorHAnsi"/>
      </w:rPr>
    </w:pPr>
    <w:r w:rsidRPr="009C6D5E">
      <w:rPr>
        <w:rFonts w:asciiTheme="majorHAnsi" w:hAnsiTheme="majorHAnsi" w:cstheme="majorHAnsi"/>
      </w:rPr>
      <w:t>2 August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9D6B4" w14:textId="77777777" w:rsidR="00CC379D" w:rsidRDefault="00CC379D" w:rsidP="002862F1">
      <w:pPr>
        <w:spacing w:before="120"/>
      </w:pPr>
      <w:r>
        <w:separator/>
      </w:r>
    </w:p>
  </w:footnote>
  <w:footnote w:type="continuationSeparator" w:id="0">
    <w:p w14:paraId="535D1902" w14:textId="77777777" w:rsidR="00CC379D" w:rsidRDefault="00CC379D">
      <w:r>
        <w:continuationSeparator/>
      </w:r>
    </w:p>
    <w:p w14:paraId="35953499" w14:textId="77777777" w:rsidR="00CC379D" w:rsidRDefault="00CC379D"/>
    <w:p w14:paraId="380FA760" w14:textId="77777777" w:rsidR="00CC379D" w:rsidRDefault="00CC379D"/>
  </w:footnote>
  <w:footnote w:type="continuationNotice" w:id="1">
    <w:p w14:paraId="2A6A8A94" w14:textId="77777777" w:rsidR="00CC379D" w:rsidRDefault="00CC379D"/>
  </w:footnote>
  <w:footnote w:id="2">
    <w:p w14:paraId="13C4537B" w14:textId="77777777" w:rsidR="000F7512" w:rsidRPr="00145726" w:rsidRDefault="000F7512" w:rsidP="000F7512">
      <w:pPr>
        <w:pStyle w:val="FootnoteText"/>
        <w:tabs>
          <w:tab w:val="left" w:pos="284"/>
        </w:tabs>
        <w:spacing w:after="40"/>
        <w:ind w:left="284" w:hanging="284"/>
        <w:rPr>
          <w:rFonts w:cstheme="minorHAnsi"/>
        </w:rPr>
      </w:pPr>
      <w:r w:rsidRPr="00145726">
        <w:rPr>
          <w:rStyle w:val="FootnoteReference"/>
          <w:rFonts w:cstheme="minorHAnsi"/>
        </w:rPr>
        <w:footnoteRef/>
      </w:r>
      <w:r w:rsidRPr="00145726">
        <w:rPr>
          <w:rFonts w:cstheme="minorHAnsi"/>
        </w:rPr>
        <w:t xml:space="preserve"> </w:t>
      </w:r>
      <w:r w:rsidRPr="00145726">
        <w:rPr>
          <w:rFonts w:cstheme="minorHAnsi"/>
        </w:rPr>
        <w:tab/>
        <w:t xml:space="preserve">Definition of professional engineering service in section 3(1) of the </w:t>
      </w:r>
      <w:r w:rsidRPr="00145726">
        <w:rPr>
          <w:rFonts w:cstheme="minorHAnsi"/>
          <w:i/>
          <w:iCs/>
        </w:rPr>
        <w:t>Professional Engineers Registration Act 2019</w:t>
      </w:r>
      <w:r w:rsidRPr="00145726">
        <w:rPr>
          <w:rFonts w:cstheme="minorHAnsi"/>
        </w:rPr>
        <w:t>.</w:t>
      </w:r>
    </w:p>
  </w:footnote>
  <w:footnote w:id="3">
    <w:p w14:paraId="6DC34CC1" w14:textId="77777777" w:rsidR="000F7512" w:rsidRPr="004B54BC" w:rsidRDefault="000F7512" w:rsidP="000F7512">
      <w:pPr>
        <w:pStyle w:val="FootnoteText"/>
        <w:tabs>
          <w:tab w:val="left" w:pos="284"/>
        </w:tabs>
        <w:spacing w:after="40"/>
        <w:ind w:left="284" w:hanging="284"/>
        <w:rPr>
          <w:rFonts w:cstheme="minorHAnsi"/>
        </w:rPr>
      </w:pPr>
      <w:r w:rsidRPr="00145726">
        <w:rPr>
          <w:rStyle w:val="FootnoteReference"/>
          <w:rFonts w:cstheme="minorHAnsi"/>
        </w:rPr>
        <w:footnoteRef/>
      </w:r>
      <w:r w:rsidRPr="00145726">
        <w:rPr>
          <w:rFonts w:cstheme="minorHAnsi"/>
        </w:rPr>
        <w:t xml:space="preserve"> </w:t>
      </w:r>
      <w:r w:rsidRPr="00145726">
        <w:rPr>
          <w:rFonts w:cstheme="minorHAnsi"/>
        </w:rPr>
        <w:tab/>
        <w:t>A professional engineer who is registered with the Business Licensing Authority as a ‘non-practising’ professional engineer cannot provide professional engineering services.</w:t>
      </w:r>
    </w:p>
  </w:footnote>
  <w:footnote w:id="4">
    <w:p w14:paraId="7864755B" w14:textId="77777777" w:rsidR="000F7512" w:rsidRPr="00145726" w:rsidRDefault="000F7512" w:rsidP="000F7512">
      <w:pPr>
        <w:pStyle w:val="FootnoteText"/>
        <w:tabs>
          <w:tab w:val="left" w:pos="284"/>
        </w:tabs>
        <w:spacing w:after="40"/>
        <w:ind w:left="284" w:hanging="284"/>
        <w:rPr>
          <w:rFonts w:cstheme="minorHAnsi"/>
        </w:rPr>
      </w:pPr>
      <w:r w:rsidRPr="00145726">
        <w:rPr>
          <w:rStyle w:val="FootnoteReference"/>
          <w:rFonts w:cstheme="minorHAnsi"/>
        </w:rPr>
        <w:footnoteRef/>
      </w:r>
      <w:r w:rsidRPr="00145726">
        <w:rPr>
          <w:rFonts w:cstheme="minorHAnsi"/>
        </w:rPr>
        <w:t xml:space="preserve"> </w:t>
      </w:r>
      <w:r w:rsidRPr="00145726">
        <w:rPr>
          <w:rFonts w:cstheme="minorHAnsi"/>
        </w:rPr>
        <w:tab/>
        <w:t xml:space="preserve">Section 38 </w:t>
      </w:r>
      <w:r w:rsidRPr="00145726">
        <w:rPr>
          <w:rFonts w:cstheme="minorHAnsi"/>
          <w:i/>
          <w:iCs/>
        </w:rPr>
        <w:t>Interpretation of Legislation Act 1984.</w:t>
      </w:r>
    </w:p>
  </w:footnote>
  <w:footnote w:id="5">
    <w:p w14:paraId="40F71DF8" w14:textId="77777777" w:rsidR="000F7512" w:rsidRPr="00145726" w:rsidRDefault="000F7512" w:rsidP="000F7512">
      <w:pPr>
        <w:pStyle w:val="FootnoteText"/>
        <w:tabs>
          <w:tab w:val="left" w:pos="284"/>
        </w:tabs>
        <w:spacing w:after="40"/>
        <w:ind w:left="284" w:hanging="284"/>
        <w:rPr>
          <w:rFonts w:cstheme="minorHAnsi"/>
        </w:rPr>
      </w:pPr>
      <w:r w:rsidRPr="00145726">
        <w:rPr>
          <w:rStyle w:val="FootnoteReference"/>
          <w:rFonts w:cstheme="minorHAnsi"/>
        </w:rPr>
        <w:footnoteRef/>
      </w:r>
      <w:r w:rsidRPr="00145726">
        <w:rPr>
          <w:rFonts w:cstheme="minorHAnsi"/>
        </w:rPr>
        <w:t xml:space="preserve"> </w:t>
      </w:r>
      <w:r w:rsidRPr="00145726">
        <w:rPr>
          <w:rFonts w:cstheme="minorHAnsi"/>
        </w:rPr>
        <w:tab/>
        <w:t>Engineering technologists and technicians adopt and apply technologies or develop related technologies to create, operate, maintain and improve the systems, applications and equipment devised by professional engineers.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65CA9" w14:textId="02F17AED" w:rsidR="00D52173" w:rsidRDefault="00D52173">
    <w:pPr>
      <w:pStyle w:val="Header"/>
    </w:pPr>
    <w:r>
      <w:rPr>
        <w:noProof/>
      </w:rPr>
      <w:drawing>
        <wp:anchor distT="0" distB="0" distL="114300" distR="114300" simplePos="0" relativeHeight="251675648" behindDoc="1" locked="0" layoutInCell="1" allowOverlap="1" wp14:anchorId="05057BB7" wp14:editId="3367BA3F">
          <wp:simplePos x="0" y="0"/>
          <wp:positionH relativeFrom="page">
            <wp:posOffset>10695</wp:posOffset>
          </wp:positionH>
          <wp:positionV relativeFrom="page">
            <wp:posOffset>33020</wp:posOffset>
          </wp:positionV>
          <wp:extent cx="7574400" cy="1000631"/>
          <wp:effectExtent l="0" t="0" r="0" b="317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48771" w14:textId="6C0460A8" w:rsidR="009C6D5E" w:rsidRDefault="009C6D5E">
    <w:pPr>
      <w:pStyle w:val="Header"/>
    </w:pPr>
    <w:r>
      <w:rPr>
        <w:noProof/>
      </w:rPr>
      <mc:AlternateContent>
        <mc:Choice Requires="wps">
          <w:drawing>
            <wp:anchor distT="45720" distB="45720" distL="114300" distR="114300" simplePos="0" relativeHeight="251669504" behindDoc="0" locked="0" layoutInCell="1" allowOverlap="1" wp14:anchorId="7EFD0EA7" wp14:editId="04FB4E42">
              <wp:simplePos x="0" y="0"/>
              <wp:positionH relativeFrom="column">
                <wp:posOffset>-476250</wp:posOffset>
              </wp:positionH>
              <wp:positionV relativeFrom="paragraph">
                <wp:posOffset>-422275</wp:posOffset>
              </wp:positionV>
              <wp:extent cx="329946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noFill/>
                      <a:ln w="9525">
                        <a:noFill/>
                        <a:miter lim="800000"/>
                        <a:headEnd/>
                        <a:tailEnd/>
                      </a:ln>
                    </wps:spPr>
                    <wps:txbx>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FD0EA7" id="_x0000_t202" coordsize="21600,21600" o:spt="202" path="m,l,21600r21600,l21600,xe">
              <v:stroke joinstyle="miter"/>
              <v:path gradientshapeok="t" o:connecttype="rect"/>
            </v:shapetype>
            <v:shape id="Text Box 2" o:spid="_x0000_s1026" type="#_x0000_t202" style="position:absolute;margin-left:-37.5pt;margin-top:-33.25pt;width:259.8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" filled="f" stroked="f">
              <v:textbox style="mso-fit-shape-to-text:t">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v:textbox>
              <w10:wrap type="square"/>
            </v:shape>
          </w:pict>
        </mc:Fallback>
      </mc:AlternateContent>
    </w:r>
    <w:r>
      <w:rPr>
        <w:noProof/>
      </w:rPr>
      <w:drawing>
        <wp:anchor distT="0" distB="0" distL="114300" distR="114300" simplePos="0" relativeHeight="251667456" behindDoc="1" locked="0" layoutInCell="1" allowOverlap="1" wp14:anchorId="0D809102" wp14:editId="1E49AAAB">
          <wp:simplePos x="0" y="0"/>
          <wp:positionH relativeFrom="page">
            <wp:posOffset>-3810</wp:posOffset>
          </wp:positionH>
          <wp:positionV relativeFrom="page">
            <wp:posOffset>2540</wp:posOffset>
          </wp:positionV>
          <wp:extent cx="7610395" cy="125991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610395" cy="125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2506FF6"/>
    <w:multiLevelType w:val="hybridMultilevel"/>
    <w:tmpl w:val="0B20171A"/>
    <w:lvl w:ilvl="0" w:tplc="540A88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626A70"/>
    <w:multiLevelType w:val="hybridMultilevel"/>
    <w:tmpl w:val="576EA93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C6494"/>
    <w:multiLevelType w:val="multilevel"/>
    <w:tmpl w:val="A5A05F38"/>
    <w:numStyleLink w:val="ZZBullets"/>
  </w:abstractNum>
  <w:abstractNum w:abstractNumId="4"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E65674C"/>
    <w:multiLevelType w:val="hybridMultilevel"/>
    <w:tmpl w:val="32E0350A"/>
    <w:lvl w:ilvl="0" w:tplc="B88A0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BA95C70"/>
    <w:multiLevelType w:val="hybridMultilevel"/>
    <w:tmpl w:val="E848BF68"/>
    <w:lvl w:ilvl="0" w:tplc="7938CB90">
      <w:start w:val="1"/>
      <w:numFmt w:val="bullet"/>
      <w:lvlText w:val=""/>
      <w:lvlJc w:val="left"/>
      <w:pPr>
        <w:ind w:left="1080" w:hanging="72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E653876"/>
    <w:multiLevelType w:val="hybridMultilevel"/>
    <w:tmpl w:val="73DAE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9E17C9"/>
    <w:multiLevelType w:val="hybridMultilevel"/>
    <w:tmpl w:val="77B25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60565"/>
    <w:multiLevelType w:val="hybridMultilevel"/>
    <w:tmpl w:val="32E876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B65EDB"/>
    <w:multiLevelType w:val="hybridMultilevel"/>
    <w:tmpl w:val="54D628FC"/>
    <w:lvl w:ilvl="0" w:tplc="E9E0E8EA">
      <w:numFmt w:val="bullet"/>
      <w:lvlText w:val="•"/>
      <w:lvlJc w:val="left"/>
      <w:pPr>
        <w:ind w:left="1080" w:hanging="72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52340D"/>
    <w:multiLevelType w:val="hybridMultilevel"/>
    <w:tmpl w:val="4992B5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DF11FB1"/>
    <w:multiLevelType w:val="hybridMultilevel"/>
    <w:tmpl w:val="1D36ED7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EF06B42"/>
    <w:multiLevelType w:val="hybridMultilevel"/>
    <w:tmpl w:val="3E944072"/>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B17EA8"/>
    <w:multiLevelType w:val="hybridMultilevel"/>
    <w:tmpl w:val="95B6EF9C"/>
    <w:lvl w:ilvl="0" w:tplc="6B9E0064">
      <w:start w:val="1"/>
      <w:numFmt w:val="lowerLetter"/>
      <w:lvlText w:val="(%1)"/>
      <w:lvlJc w:val="left"/>
      <w:pPr>
        <w:ind w:left="720" w:hanging="360"/>
      </w:pPr>
      <w:rPr>
        <w:rFonts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BE4B93"/>
    <w:multiLevelType w:val="hybridMultilevel"/>
    <w:tmpl w:val="0644D0B0"/>
    <w:lvl w:ilvl="0" w:tplc="50DA4B38">
      <w:start w:val="1"/>
      <w:numFmt w:val="lowerRoman"/>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7B0694"/>
    <w:multiLevelType w:val="hybridMultilevel"/>
    <w:tmpl w:val="1A6AD940"/>
    <w:lvl w:ilvl="0" w:tplc="BAD071A6">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3EF75932"/>
    <w:multiLevelType w:val="hybridMultilevel"/>
    <w:tmpl w:val="428A241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03734F9"/>
    <w:multiLevelType w:val="hybridMultilevel"/>
    <w:tmpl w:val="E1203806"/>
    <w:lvl w:ilvl="0" w:tplc="540A88A6">
      <w:start w:val="1"/>
      <w:numFmt w:val="lowerRoman"/>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0F7AA7"/>
    <w:multiLevelType w:val="hybridMultilevel"/>
    <w:tmpl w:val="4E2C713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56616F"/>
    <w:multiLevelType w:val="hybridMultilevel"/>
    <w:tmpl w:val="5148AE10"/>
    <w:lvl w:ilvl="0" w:tplc="0C09000F">
      <w:start w:val="1"/>
      <w:numFmt w:val="decimal"/>
      <w:lvlText w:val="%1."/>
      <w:lvlJc w:val="left"/>
      <w:pPr>
        <w:ind w:left="720" w:hanging="360"/>
      </w:pPr>
      <w:rPr>
        <w:rFonts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396096"/>
    <w:multiLevelType w:val="hybridMultilevel"/>
    <w:tmpl w:val="291A4F9E"/>
    <w:lvl w:ilvl="0" w:tplc="ABAA160C">
      <w:start w:val="1"/>
      <w:numFmt w:val="bullet"/>
      <w:lvlText w:val=""/>
      <w:lvlJc w:val="left"/>
      <w:pPr>
        <w:ind w:left="720" w:hanging="36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364C56"/>
    <w:multiLevelType w:val="hybridMultilevel"/>
    <w:tmpl w:val="06FA02A0"/>
    <w:lvl w:ilvl="0" w:tplc="60AE73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18803CE"/>
    <w:multiLevelType w:val="hybridMultilevel"/>
    <w:tmpl w:val="5C3AAFF4"/>
    <w:lvl w:ilvl="0" w:tplc="540A88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E59430A"/>
    <w:multiLevelType w:val="hybridMultilevel"/>
    <w:tmpl w:val="1840CE30"/>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9507FC8"/>
    <w:multiLevelType w:val="hybridMultilevel"/>
    <w:tmpl w:val="15F23B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7F2B9F"/>
    <w:multiLevelType w:val="hybridMultilevel"/>
    <w:tmpl w:val="7FC056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D4045C5"/>
    <w:multiLevelType w:val="hybridMultilevel"/>
    <w:tmpl w:val="B386B46C"/>
    <w:lvl w:ilvl="0" w:tplc="6AA223A0">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DFF6C55"/>
    <w:multiLevelType w:val="hybridMultilevel"/>
    <w:tmpl w:val="ADB6C2BA"/>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AF5515"/>
    <w:multiLevelType w:val="hybridMultilevel"/>
    <w:tmpl w:val="80A6D6D2"/>
    <w:lvl w:ilvl="0" w:tplc="ABAA160C">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8"/>
  </w:num>
  <w:num w:numId="4">
    <w:abstractNumId w:val="17"/>
  </w:num>
  <w:num w:numId="5">
    <w:abstractNumId w:val="27"/>
  </w:num>
  <w:num w:numId="6">
    <w:abstractNumId w:val="30"/>
  </w:num>
  <w:num w:numId="7">
    <w:abstractNumId w:val="19"/>
  </w:num>
  <w:num w:numId="8">
    <w:abstractNumId w:val="4"/>
  </w:num>
  <w:num w:numId="9">
    <w:abstractNumId w:val="27"/>
  </w:num>
  <w:num w:numId="10">
    <w:abstractNumId w:val="3"/>
  </w:num>
  <w:num w:numId="11">
    <w:abstractNumId w:val="31"/>
  </w:num>
  <w:num w:numId="12">
    <w:abstractNumId w:val="32"/>
  </w:num>
  <w:num w:numId="13">
    <w:abstractNumId w:val="26"/>
  </w:num>
  <w:num w:numId="14">
    <w:abstractNumId w:val="25"/>
  </w:num>
  <w:num w:numId="15">
    <w:abstractNumId w:val="34"/>
  </w:num>
  <w:num w:numId="16">
    <w:abstractNumId w:val="29"/>
  </w:num>
  <w:num w:numId="17">
    <w:abstractNumId w:val="12"/>
  </w:num>
  <w:num w:numId="18">
    <w:abstractNumId w:val="11"/>
  </w:num>
  <w:num w:numId="19">
    <w:abstractNumId w:val="10"/>
  </w:num>
  <w:num w:numId="20">
    <w:abstractNumId w:val="20"/>
  </w:num>
  <w:num w:numId="21">
    <w:abstractNumId w:val="13"/>
  </w:num>
  <w:num w:numId="22">
    <w:abstractNumId w:val="22"/>
  </w:num>
  <w:num w:numId="23">
    <w:abstractNumId w:val="15"/>
  </w:num>
  <w:num w:numId="24">
    <w:abstractNumId w:val="2"/>
  </w:num>
  <w:num w:numId="25">
    <w:abstractNumId w:val="33"/>
  </w:num>
  <w:num w:numId="26">
    <w:abstractNumId w:val="5"/>
  </w:num>
  <w:num w:numId="27">
    <w:abstractNumId w:val="6"/>
  </w:num>
  <w:num w:numId="28">
    <w:abstractNumId w:val="16"/>
  </w:num>
  <w:num w:numId="29">
    <w:abstractNumId w:val="35"/>
  </w:num>
  <w:num w:numId="30">
    <w:abstractNumId w:val="8"/>
  </w:num>
  <w:num w:numId="31">
    <w:abstractNumId w:val="21"/>
  </w:num>
  <w:num w:numId="32">
    <w:abstractNumId w:val="1"/>
  </w:num>
  <w:num w:numId="33">
    <w:abstractNumId w:val="7"/>
  </w:num>
  <w:num w:numId="34">
    <w:abstractNumId w:val="14"/>
  </w:num>
  <w:num w:numId="35">
    <w:abstractNumId w:val="24"/>
  </w:num>
  <w:num w:numId="36">
    <w:abstractNumId w:val="23"/>
  </w:num>
  <w:num w:numId="37">
    <w:abstractNumId w:val="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83B"/>
    <w:rsid w:val="000072B6"/>
    <w:rsid w:val="00007F5C"/>
    <w:rsid w:val="0001021B"/>
    <w:rsid w:val="00011D89"/>
    <w:rsid w:val="000122CE"/>
    <w:rsid w:val="00013677"/>
    <w:rsid w:val="000153AC"/>
    <w:rsid w:val="000154FD"/>
    <w:rsid w:val="000233BD"/>
    <w:rsid w:val="00024D89"/>
    <w:rsid w:val="000250B6"/>
    <w:rsid w:val="00031A3A"/>
    <w:rsid w:val="00033D81"/>
    <w:rsid w:val="00041BF0"/>
    <w:rsid w:val="0004536B"/>
    <w:rsid w:val="00046B68"/>
    <w:rsid w:val="00050BE7"/>
    <w:rsid w:val="000527DD"/>
    <w:rsid w:val="000578B2"/>
    <w:rsid w:val="00057955"/>
    <w:rsid w:val="00060959"/>
    <w:rsid w:val="000663CD"/>
    <w:rsid w:val="00071C56"/>
    <w:rsid w:val="000733FE"/>
    <w:rsid w:val="00074219"/>
    <w:rsid w:val="00074ED5"/>
    <w:rsid w:val="0008115C"/>
    <w:rsid w:val="000844FC"/>
    <w:rsid w:val="0008508E"/>
    <w:rsid w:val="0008617F"/>
    <w:rsid w:val="0009113B"/>
    <w:rsid w:val="0009186E"/>
    <w:rsid w:val="00092103"/>
    <w:rsid w:val="0009215D"/>
    <w:rsid w:val="00093402"/>
    <w:rsid w:val="00094DA3"/>
    <w:rsid w:val="00096CD1"/>
    <w:rsid w:val="00097A6B"/>
    <w:rsid w:val="000A012C"/>
    <w:rsid w:val="000A0EB9"/>
    <w:rsid w:val="000A14C0"/>
    <w:rsid w:val="000A186C"/>
    <w:rsid w:val="000A1A51"/>
    <w:rsid w:val="000A1EA4"/>
    <w:rsid w:val="000B3EDB"/>
    <w:rsid w:val="000B543D"/>
    <w:rsid w:val="000B5BF7"/>
    <w:rsid w:val="000B6BC8"/>
    <w:rsid w:val="000B7AD6"/>
    <w:rsid w:val="000C0303"/>
    <w:rsid w:val="000C03DF"/>
    <w:rsid w:val="000C05F9"/>
    <w:rsid w:val="000C42EA"/>
    <w:rsid w:val="000C4546"/>
    <w:rsid w:val="000C6D55"/>
    <w:rsid w:val="000D1242"/>
    <w:rsid w:val="000D355B"/>
    <w:rsid w:val="000E0970"/>
    <w:rsid w:val="000E3A24"/>
    <w:rsid w:val="000E3CC7"/>
    <w:rsid w:val="000E6BD4"/>
    <w:rsid w:val="000E7ECE"/>
    <w:rsid w:val="000F032B"/>
    <w:rsid w:val="000F05A8"/>
    <w:rsid w:val="000F0C2A"/>
    <w:rsid w:val="000F1F1E"/>
    <w:rsid w:val="000F2259"/>
    <w:rsid w:val="000F4550"/>
    <w:rsid w:val="000F4C2C"/>
    <w:rsid w:val="000F7512"/>
    <w:rsid w:val="00101BE9"/>
    <w:rsid w:val="00102C03"/>
    <w:rsid w:val="0010392D"/>
    <w:rsid w:val="0010447F"/>
    <w:rsid w:val="00104FE3"/>
    <w:rsid w:val="001060D4"/>
    <w:rsid w:val="0011164F"/>
    <w:rsid w:val="0011581C"/>
    <w:rsid w:val="00117E6E"/>
    <w:rsid w:val="00120BD3"/>
    <w:rsid w:val="00122FEA"/>
    <w:rsid w:val="001232BD"/>
    <w:rsid w:val="00124ED5"/>
    <w:rsid w:val="001276FA"/>
    <w:rsid w:val="001331B6"/>
    <w:rsid w:val="001447B3"/>
    <w:rsid w:val="00144AFF"/>
    <w:rsid w:val="00144DD5"/>
    <w:rsid w:val="00145726"/>
    <w:rsid w:val="00152073"/>
    <w:rsid w:val="00153860"/>
    <w:rsid w:val="00156598"/>
    <w:rsid w:val="0015685A"/>
    <w:rsid w:val="001577E4"/>
    <w:rsid w:val="00161939"/>
    <w:rsid w:val="00161AA0"/>
    <w:rsid w:val="00162093"/>
    <w:rsid w:val="00171264"/>
    <w:rsid w:val="00172BAF"/>
    <w:rsid w:val="001745A8"/>
    <w:rsid w:val="00176B3C"/>
    <w:rsid w:val="001771DD"/>
    <w:rsid w:val="0017785A"/>
    <w:rsid w:val="00177995"/>
    <w:rsid w:val="00177A8C"/>
    <w:rsid w:val="00180564"/>
    <w:rsid w:val="00180704"/>
    <w:rsid w:val="00185E8B"/>
    <w:rsid w:val="00186B33"/>
    <w:rsid w:val="0019078D"/>
    <w:rsid w:val="00190B1D"/>
    <w:rsid w:val="0019243D"/>
    <w:rsid w:val="00192F9D"/>
    <w:rsid w:val="00195D63"/>
    <w:rsid w:val="00195DD2"/>
    <w:rsid w:val="00196EB8"/>
    <w:rsid w:val="00196EFB"/>
    <w:rsid w:val="001979FF"/>
    <w:rsid w:val="00197B17"/>
    <w:rsid w:val="001A1C54"/>
    <w:rsid w:val="001A3ACE"/>
    <w:rsid w:val="001A5EF7"/>
    <w:rsid w:val="001C111D"/>
    <w:rsid w:val="001C277E"/>
    <w:rsid w:val="001C2A72"/>
    <w:rsid w:val="001D0B75"/>
    <w:rsid w:val="001D21C8"/>
    <w:rsid w:val="001D3C09"/>
    <w:rsid w:val="001D44E8"/>
    <w:rsid w:val="001D60EC"/>
    <w:rsid w:val="001E2127"/>
    <w:rsid w:val="001E2CD6"/>
    <w:rsid w:val="001E44DF"/>
    <w:rsid w:val="001E68A5"/>
    <w:rsid w:val="001E6BB0"/>
    <w:rsid w:val="001F03C4"/>
    <w:rsid w:val="001F1E9D"/>
    <w:rsid w:val="001F3826"/>
    <w:rsid w:val="001F6611"/>
    <w:rsid w:val="001F6E46"/>
    <w:rsid w:val="001F7C91"/>
    <w:rsid w:val="00205F4C"/>
    <w:rsid w:val="002063E2"/>
    <w:rsid w:val="00206463"/>
    <w:rsid w:val="00206F2F"/>
    <w:rsid w:val="0021053D"/>
    <w:rsid w:val="00210A92"/>
    <w:rsid w:val="002127B6"/>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36A4"/>
    <w:rsid w:val="00254F58"/>
    <w:rsid w:val="002620BC"/>
    <w:rsid w:val="00262802"/>
    <w:rsid w:val="00263A90"/>
    <w:rsid w:val="0026408B"/>
    <w:rsid w:val="0026558B"/>
    <w:rsid w:val="00266260"/>
    <w:rsid w:val="00267C3E"/>
    <w:rsid w:val="00267D96"/>
    <w:rsid w:val="002709BB"/>
    <w:rsid w:val="00272B6B"/>
    <w:rsid w:val="00273BAC"/>
    <w:rsid w:val="002763B3"/>
    <w:rsid w:val="002802E3"/>
    <w:rsid w:val="0028213D"/>
    <w:rsid w:val="002862F1"/>
    <w:rsid w:val="002875AD"/>
    <w:rsid w:val="00287FEF"/>
    <w:rsid w:val="00291373"/>
    <w:rsid w:val="00293BA1"/>
    <w:rsid w:val="0029597D"/>
    <w:rsid w:val="002962C3"/>
    <w:rsid w:val="0029752B"/>
    <w:rsid w:val="002A483C"/>
    <w:rsid w:val="002A7D0D"/>
    <w:rsid w:val="002B0C7C"/>
    <w:rsid w:val="002B0CD9"/>
    <w:rsid w:val="002B1729"/>
    <w:rsid w:val="002B36C7"/>
    <w:rsid w:val="002B4DD4"/>
    <w:rsid w:val="002B5277"/>
    <w:rsid w:val="002B5375"/>
    <w:rsid w:val="002B77C1"/>
    <w:rsid w:val="002C2728"/>
    <w:rsid w:val="002D37ED"/>
    <w:rsid w:val="002D5006"/>
    <w:rsid w:val="002E01D0"/>
    <w:rsid w:val="002E161D"/>
    <w:rsid w:val="002E3100"/>
    <w:rsid w:val="002E3B91"/>
    <w:rsid w:val="002E46FA"/>
    <w:rsid w:val="002E5C15"/>
    <w:rsid w:val="002E6C95"/>
    <w:rsid w:val="002E7C36"/>
    <w:rsid w:val="002F19BD"/>
    <w:rsid w:val="002F1E9E"/>
    <w:rsid w:val="002F4B47"/>
    <w:rsid w:val="002F4CE5"/>
    <w:rsid w:val="002F5F31"/>
    <w:rsid w:val="002F5F46"/>
    <w:rsid w:val="00301254"/>
    <w:rsid w:val="00302216"/>
    <w:rsid w:val="00303E53"/>
    <w:rsid w:val="00306E5F"/>
    <w:rsid w:val="00307E14"/>
    <w:rsid w:val="003111F0"/>
    <w:rsid w:val="00314054"/>
    <w:rsid w:val="00316F27"/>
    <w:rsid w:val="00322E4B"/>
    <w:rsid w:val="0032348F"/>
    <w:rsid w:val="00323FE3"/>
    <w:rsid w:val="0032521E"/>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66F3B"/>
    <w:rsid w:val="00367081"/>
    <w:rsid w:val="003716FD"/>
    <w:rsid w:val="0037204B"/>
    <w:rsid w:val="00373025"/>
    <w:rsid w:val="0037419A"/>
    <w:rsid w:val="003744CF"/>
    <w:rsid w:val="00374517"/>
    <w:rsid w:val="00374717"/>
    <w:rsid w:val="0037676C"/>
    <w:rsid w:val="00381043"/>
    <w:rsid w:val="003829E5"/>
    <w:rsid w:val="003933D1"/>
    <w:rsid w:val="003956CC"/>
    <w:rsid w:val="00395C9A"/>
    <w:rsid w:val="00396D5E"/>
    <w:rsid w:val="003A6B67"/>
    <w:rsid w:val="003A7609"/>
    <w:rsid w:val="003B13B6"/>
    <w:rsid w:val="003B15E6"/>
    <w:rsid w:val="003B2A68"/>
    <w:rsid w:val="003C08A2"/>
    <w:rsid w:val="003C2045"/>
    <w:rsid w:val="003C43A1"/>
    <w:rsid w:val="003C4FC0"/>
    <w:rsid w:val="003C55F4"/>
    <w:rsid w:val="003C5673"/>
    <w:rsid w:val="003C7897"/>
    <w:rsid w:val="003C7A3F"/>
    <w:rsid w:val="003D2766"/>
    <w:rsid w:val="003D3E8F"/>
    <w:rsid w:val="003D499A"/>
    <w:rsid w:val="003D6475"/>
    <w:rsid w:val="003D6B6C"/>
    <w:rsid w:val="003D7CB8"/>
    <w:rsid w:val="003D7F69"/>
    <w:rsid w:val="003E2B38"/>
    <w:rsid w:val="003E375C"/>
    <w:rsid w:val="003E4086"/>
    <w:rsid w:val="003E5589"/>
    <w:rsid w:val="003F0445"/>
    <w:rsid w:val="003F0CF0"/>
    <w:rsid w:val="003F0F6F"/>
    <w:rsid w:val="003F10A4"/>
    <w:rsid w:val="003F14B1"/>
    <w:rsid w:val="003F3289"/>
    <w:rsid w:val="003F5695"/>
    <w:rsid w:val="003F5BCE"/>
    <w:rsid w:val="004013C7"/>
    <w:rsid w:val="00401FCF"/>
    <w:rsid w:val="004033E8"/>
    <w:rsid w:val="00406285"/>
    <w:rsid w:val="00411BE2"/>
    <w:rsid w:val="004148F9"/>
    <w:rsid w:val="004161B1"/>
    <w:rsid w:val="0042084E"/>
    <w:rsid w:val="0042100A"/>
    <w:rsid w:val="00421EEF"/>
    <w:rsid w:val="00424153"/>
    <w:rsid w:val="00424D65"/>
    <w:rsid w:val="0043397E"/>
    <w:rsid w:val="00435C79"/>
    <w:rsid w:val="00442C6C"/>
    <w:rsid w:val="0044350F"/>
    <w:rsid w:val="00443CBE"/>
    <w:rsid w:val="00443E8A"/>
    <w:rsid w:val="004441BC"/>
    <w:rsid w:val="004468B4"/>
    <w:rsid w:val="004506B2"/>
    <w:rsid w:val="0045230A"/>
    <w:rsid w:val="00452991"/>
    <w:rsid w:val="00457337"/>
    <w:rsid w:val="004621E4"/>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4866"/>
    <w:rsid w:val="004F55F1"/>
    <w:rsid w:val="004F6936"/>
    <w:rsid w:val="00503DC6"/>
    <w:rsid w:val="00506F5D"/>
    <w:rsid w:val="00507B9B"/>
    <w:rsid w:val="00507CA9"/>
    <w:rsid w:val="005126D0"/>
    <w:rsid w:val="00512A03"/>
    <w:rsid w:val="0051568D"/>
    <w:rsid w:val="00516DF3"/>
    <w:rsid w:val="00517119"/>
    <w:rsid w:val="0052069C"/>
    <w:rsid w:val="00524AA4"/>
    <w:rsid w:val="00526C15"/>
    <w:rsid w:val="00531FC9"/>
    <w:rsid w:val="005343DD"/>
    <w:rsid w:val="00536499"/>
    <w:rsid w:val="00543903"/>
    <w:rsid w:val="00543B7C"/>
    <w:rsid w:val="00543F11"/>
    <w:rsid w:val="00547A95"/>
    <w:rsid w:val="0055226D"/>
    <w:rsid w:val="00553B0F"/>
    <w:rsid w:val="0055495F"/>
    <w:rsid w:val="005612A0"/>
    <w:rsid w:val="00563E8F"/>
    <w:rsid w:val="00572031"/>
    <w:rsid w:val="00572282"/>
    <w:rsid w:val="00575B39"/>
    <w:rsid w:val="00576E84"/>
    <w:rsid w:val="00577ED6"/>
    <w:rsid w:val="00582B8C"/>
    <w:rsid w:val="0058671C"/>
    <w:rsid w:val="0058757E"/>
    <w:rsid w:val="0059043C"/>
    <w:rsid w:val="00596A4B"/>
    <w:rsid w:val="00597507"/>
    <w:rsid w:val="005A0E4C"/>
    <w:rsid w:val="005A7921"/>
    <w:rsid w:val="005B1C6D"/>
    <w:rsid w:val="005B21B6"/>
    <w:rsid w:val="005B36EA"/>
    <w:rsid w:val="005B3A08"/>
    <w:rsid w:val="005B560A"/>
    <w:rsid w:val="005B6A55"/>
    <w:rsid w:val="005B7736"/>
    <w:rsid w:val="005B7A63"/>
    <w:rsid w:val="005C0955"/>
    <w:rsid w:val="005C4026"/>
    <w:rsid w:val="005C49DA"/>
    <w:rsid w:val="005C50F3"/>
    <w:rsid w:val="005C54B5"/>
    <w:rsid w:val="005C5D80"/>
    <w:rsid w:val="005C5D91"/>
    <w:rsid w:val="005D07B8"/>
    <w:rsid w:val="005D1549"/>
    <w:rsid w:val="005D6597"/>
    <w:rsid w:val="005E14E7"/>
    <w:rsid w:val="005E1DC7"/>
    <w:rsid w:val="005E1E1E"/>
    <w:rsid w:val="005E26A3"/>
    <w:rsid w:val="005E447E"/>
    <w:rsid w:val="005E64B9"/>
    <w:rsid w:val="005E77E9"/>
    <w:rsid w:val="005F02E5"/>
    <w:rsid w:val="005F0775"/>
    <w:rsid w:val="005F0CF5"/>
    <w:rsid w:val="005F21EB"/>
    <w:rsid w:val="00601ECB"/>
    <w:rsid w:val="00605908"/>
    <w:rsid w:val="00610783"/>
    <w:rsid w:val="00610D7C"/>
    <w:rsid w:val="00613414"/>
    <w:rsid w:val="0061789C"/>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47C03"/>
    <w:rsid w:val="0065035C"/>
    <w:rsid w:val="0065092E"/>
    <w:rsid w:val="00653779"/>
    <w:rsid w:val="006557A7"/>
    <w:rsid w:val="00656290"/>
    <w:rsid w:val="006613E0"/>
    <w:rsid w:val="006621D7"/>
    <w:rsid w:val="0066302A"/>
    <w:rsid w:val="00670597"/>
    <w:rsid w:val="006706D0"/>
    <w:rsid w:val="00673ED1"/>
    <w:rsid w:val="00677342"/>
    <w:rsid w:val="00677574"/>
    <w:rsid w:val="00680D50"/>
    <w:rsid w:val="00683824"/>
    <w:rsid w:val="0068454C"/>
    <w:rsid w:val="0069008F"/>
    <w:rsid w:val="00691B62"/>
    <w:rsid w:val="006933B5"/>
    <w:rsid w:val="00693D14"/>
    <w:rsid w:val="00696F01"/>
    <w:rsid w:val="006A0BD5"/>
    <w:rsid w:val="006A18C2"/>
    <w:rsid w:val="006A5612"/>
    <w:rsid w:val="006B077C"/>
    <w:rsid w:val="006B2DD4"/>
    <w:rsid w:val="006B6461"/>
    <w:rsid w:val="006B6803"/>
    <w:rsid w:val="006C3D68"/>
    <w:rsid w:val="006C5554"/>
    <w:rsid w:val="006C6103"/>
    <w:rsid w:val="006D0F16"/>
    <w:rsid w:val="006D2A3F"/>
    <w:rsid w:val="006D2FBC"/>
    <w:rsid w:val="006E138B"/>
    <w:rsid w:val="006E2654"/>
    <w:rsid w:val="006F01E6"/>
    <w:rsid w:val="006F1FDC"/>
    <w:rsid w:val="006F6B8C"/>
    <w:rsid w:val="00700A6A"/>
    <w:rsid w:val="007013EF"/>
    <w:rsid w:val="00705256"/>
    <w:rsid w:val="007120DC"/>
    <w:rsid w:val="0071530D"/>
    <w:rsid w:val="007173CA"/>
    <w:rsid w:val="007216AA"/>
    <w:rsid w:val="00721AB5"/>
    <w:rsid w:val="00721CFB"/>
    <w:rsid w:val="00721DEF"/>
    <w:rsid w:val="00723494"/>
    <w:rsid w:val="00724A43"/>
    <w:rsid w:val="00733DA4"/>
    <w:rsid w:val="00733FC0"/>
    <w:rsid w:val="007346E4"/>
    <w:rsid w:val="00735442"/>
    <w:rsid w:val="00740F22"/>
    <w:rsid w:val="00741F1A"/>
    <w:rsid w:val="007434FA"/>
    <w:rsid w:val="007443AE"/>
    <w:rsid w:val="007450C9"/>
    <w:rsid w:val="007450F8"/>
    <w:rsid w:val="0074696E"/>
    <w:rsid w:val="00750135"/>
    <w:rsid w:val="00750EC2"/>
    <w:rsid w:val="00752B28"/>
    <w:rsid w:val="00754E36"/>
    <w:rsid w:val="007630A3"/>
    <w:rsid w:val="00763139"/>
    <w:rsid w:val="00770F37"/>
    <w:rsid w:val="007711A0"/>
    <w:rsid w:val="00771CFB"/>
    <w:rsid w:val="00772D5E"/>
    <w:rsid w:val="00773975"/>
    <w:rsid w:val="00773E69"/>
    <w:rsid w:val="00773EEA"/>
    <w:rsid w:val="00776928"/>
    <w:rsid w:val="007801A9"/>
    <w:rsid w:val="00785677"/>
    <w:rsid w:val="00786F16"/>
    <w:rsid w:val="00791BD7"/>
    <w:rsid w:val="007933F7"/>
    <w:rsid w:val="00795112"/>
    <w:rsid w:val="00796374"/>
    <w:rsid w:val="00796E20"/>
    <w:rsid w:val="00797C32"/>
    <w:rsid w:val="007A11E8"/>
    <w:rsid w:val="007A13B3"/>
    <w:rsid w:val="007A79C9"/>
    <w:rsid w:val="007B0914"/>
    <w:rsid w:val="007B1374"/>
    <w:rsid w:val="007B589F"/>
    <w:rsid w:val="007B6186"/>
    <w:rsid w:val="007B6959"/>
    <w:rsid w:val="007B73BC"/>
    <w:rsid w:val="007C1DF7"/>
    <w:rsid w:val="007C20B9"/>
    <w:rsid w:val="007C7301"/>
    <w:rsid w:val="007C7859"/>
    <w:rsid w:val="007D2BDE"/>
    <w:rsid w:val="007D2FB6"/>
    <w:rsid w:val="007D49EB"/>
    <w:rsid w:val="007E0DE2"/>
    <w:rsid w:val="007E3B98"/>
    <w:rsid w:val="007E417A"/>
    <w:rsid w:val="007E5370"/>
    <w:rsid w:val="007E7900"/>
    <w:rsid w:val="007F31B6"/>
    <w:rsid w:val="007F546C"/>
    <w:rsid w:val="007F5753"/>
    <w:rsid w:val="007F625F"/>
    <w:rsid w:val="007F665E"/>
    <w:rsid w:val="00800412"/>
    <w:rsid w:val="008006DB"/>
    <w:rsid w:val="008025B8"/>
    <w:rsid w:val="0080587B"/>
    <w:rsid w:val="00806468"/>
    <w:rsid w:val="008115C8"/>
    <w:rsid w:val="008155F0"/>
    <w:rsid w:val="00816735"/>
    <w:rsid w:val="00817707"/>
    <w:rsid w:val="00820141"/>
    <w:rsid w:val="00820E0C"/>
    <w:rsid w:val="0082366F"/>
    <w:rsid w:val="008320DA"/>
    <w:rsid w:val="00832A29"/>
    <w:rsid w:val="008338A2"/>
    <w:rsid w:val="00837C59"/>
    <w:rsid w:val="00841AA9"/>
    <w:rsid w:val="00853EE4"/>
    <w:rsid w:val="00854623"/>
    <w:rsid w:val="00855535"/>
    <w:rsid w:val="00857C5A"/>
    <w:rsid w:val="0086255E"/>
    <w:rsid w:val="008633F0"/>
    <w:rsid w:val="008643A0"/>
    <w:rsid w:val="008651E8"/>
    <w:rsid w:val="00866E83"/>
    <w:rsid w:val="00866F9F"/>
    <w:rsid w:val="00867D9D"/>
    <w:rsid w:val="008701DA"/>
    <w:rsid w:val="00872E0A"/>
    <w:rsid w:val="00875285"/>
    <w:rsid w:val="00881542"/>
    <w:rsid w:val="00882DE3"/>
    <w:rsid w:val="008844A6"/>
    <w:rsid w:val="00884B62"/>
    <w:rsid w:val="0088529C"/>
    <w:rsid w:val="008852AE"/>
    <w:rsid w:val="00887903"/>
    <w:rsid w:val="0089270A"/>
    <w:rsid w:val="00893AF6"/>
    <w:rsid w:val="00894BC4"/>
    <w:rsid w:val="00895FCB"/>
    <w:rsid w:val="008A1221"/>
    <w:rsid w:val="008A1C1B"/>
    <w:rsid w:val="008A22D3"/>
    <w:rsid w:val="008A5B32"/>
    <w:rsid w:val="008A623E"/>
    <w:rsid w:val="008B2EE4"/>
    <w:rsid w:val="008B4D3D"/>
    <w:rsid w:val="008B57B8"/>
    <w:rsid w:val="008B57C7"/>
    <w:rsid w:val="008C0958"/>
    <w:rsid w:val="008C153F"/>
    <w:rsid w:val="008C2F92"/>
    <w:rsid w:val="008C3C81"/>
    <w:rsid w:val="008C72D2"/>
    <w:rsid w:val="008D2846"/>
    <w:rsid w:val="008D4236"/>
    <w:rsid w:val="008D462F"/>
    <w:rsid w:val="008D66EE"/>
    <w:rsid w:val="008D6DCF"/>
    <w:rsid w:val="008D7525"/>
    <w:rsid w:val="008E4376"/>
    <w:rsid w:val="008E7A0A"/>
    <w:rsid w:val="008E7B49"/>
    <w:rsid w:val="008F59F6"/>
    <w:rsid w:val="00900719"/>
    <w:rsid w:val="00900C01"/>
    <w:rsid w:val="009017AC"/>
    <w:rsid w:val="00902E74"/>
    <w:rsid w:val="00904A1C"/>
    <w:rsid w:val="00905030"/>
    <w:rsid w:val="00906490"/>
    <w:rsid w:val="009111B2"/>
    <w:rsid w:val="00911BBA"/>
    <w:rsid w:val="00920B22"/>
    <w:rsid w:val="00924AE1"/>
    <w:rsid w:val="009269B1"/>
    <w:rsid w:val="0092724D"/>
    <w:rsid w:val="0093338F"/>
    <w:rsid w:val="00937BD9"/>
    <w:rsid w:val="00941848"/>
    <w:rsid w:val="00950E2C"/>
    <w:rsid w:val="00950FDC"/>
    <w:rsid w:val="00951864"/>
    <w:rsid w:val="00951D50"/>
    <w:rsid w:val="009525EB"/>
    <w:rsid w:val="00954874"/>
    <w:rsid w:val="00961400"/>
    <w:rsid w:val="00963646"/>
    <w:rsid w:val="00963C22"/>
    <w:rsid w:val="0096632D"/>
    <w:rsid w:val="0097003A"/>
    <w:rsid w:val="00970060"/>
    <w:rsid w:val="00972313"/>
    <w:rsid w:val="0097323C"/>
    <w:rsid w:val="00973828"/>
    <w:rsid w:val="0097559F"/>
    <w:rsid w:val="00975FD4"/>
    <w:rsid w:val="00984F2F"/>
    <w:rsid w:val="009853E1"/>
    <w:rsid w:val="00986E6B"/>
    <w:rsid w:val="00991374"/>
    <w:rsid w:val="00991769"/>
    <w:rsid w:val="00991882"/>
    <w:rsid w:val="0099307F"/>
    <w:rsid w:val="00994386"/>
    <w:rsid w:val="00994C66"/>
    <w:rsid w:val="009A0024"/>
    <w:rsid w:val="009A13D8"/>
    <w:rsid w:val="009A279E"/>
    <w:rsid w:val="009A4271"/>
    <w:rsid w:val="009A6FA4"/>
    <w:rsid w:val="009A7FAD"/>
    <w:rsid w:val="009B0A6F"/>
    <w:rsid w:val="009B0A94"/>
    <w:rsid w:val="009B1B1B"/>
    <w:rsid w:val="009B59E9"/>
    <w:rsid w:val="009B70AA"/>
    <w:rsid w:val="009C5E77"/>
    <w:rsid w:val="009C6D5E"/>
    <w:rsid w:val="009C7A7E"/>
    <w:rsid w:val="009D02E8"/>
    <w:rsid w:val="009D0686"/>
    <w:rsid w:val="009D2B6D"/>
    <w:rsid w:val="009D51D0"/>
    <w:rsid w:val="009D6343"/>
    <w:rsid w:val="009D70A4"/>
    <w:rsid w:val="009D7653"/>
    <w:rsid w:val="009E08D1"/>
    <w:rsid w:val="009E0EFF"/>
    <w:rsid w:val="009E1B95"/>
    <w:rsid w:val="009E496F"/>
    <w:rsid w:val="009E4B0D"/>
    <w:rsid w:val="009E6047"/>
    <w:rsid w:val="009E7F92"/>
    <w:rsid w:val="009F02A3"/>
    <w:rsid w:val="009F2F27"/>
    <w:rsid w:val="009F34AA"/>
    <w:rsid w:val="009F6BCB"/>
    <w:rsid w:val="009F7B78"/>
    <w:rsid w:val="00A0057A"/>
    <w:rsid w:val="00A04213"/>
    <w:rsid w:val="00A04E24"/>
    <w:rsid w:val="00A0740B"/>
    <w:rsid w:val="00A07655"/>
    <w:rsid w:val="00A0776B"/>
    <w:rsid w:val="00A11421"/>
    <w:rsid w:val="00A13A01"/>
    <w:rsid w:val="00A14E9B"/>
    <w:rsid w:val="00A157B1"/>
    <w:rsid w:val="00A22229"/>
    <w:rsid w:val="00A23AE1"/>
    <w:rsid w:val="00A2521D"/>
    <w:rsid w:val="00A330BB"/>
    <w:rsid w:val="00A330E5"/>
    <w:rsid w:val="00A35F6C"/>
    <w:rsid w:val="00A412C3"/>
    <w:rsid w:val="00A424B8"/>
    <w:rsid w:val="00A44882"/>
    <w:rsid w:val="00A51A1C"/>
    <w:rsid w:val="00A54715"/>
    <w:rsid w:val="00A54760"/>
    <w:rsid w:val="00A60450"/>
    <w:rsid w:val="00A6061C"/>
    <w:rsid w:val="00A61DD8"/>
    <w:rsid w:val="00A62822"/>
    <w:rsid w:val="00A62D44"/>
    <w:rsid w:val="00A67263"/>
    <w:rsid w:val="00A71067"/>
    <w:rsid w:val="00A7161C"/>
    <w:rsid w:val="00A74373"/>
    <w:rsid w:val="00A76A51"/>
    <w:rsid w:val="00A77AA3"/>
    <w:rsid w:val="00A82974"/>
    <w:rsid w:val="00A854EB"/>
    <w:rsid w:val="00A8645C"/>
    <w:rsid w:val="00A872E5"/>
    <w:rsid w:val="00A91406"/>
    <w:rsid w:val="00A96E65"/>
    <w:rsid w:val="00A97C72"/>
    <w:rsid w:val="00A97E5A"/>
    <w:rsid w:val="00AA04EE"/>
    <w:rsid w:val="00AA305F"/>
    <w:rsid w:val="00AA4DBC"/>
    <w:rsid w:val="00AA5435"/>
    <w:rsid w:val="00AA63D4"/>
    <w:rsid w:val="00AB06E8"/>
    <w:rsid w:val="00AB1CD3"/>
    <w:rsid w:val="00AB3262"/>
    <w:rsid w:val="00AB352F"/>
    <w:rsid w:val="00AB45CC"/>
    <w:rsid w:val="00AC065D"/>
    <w:rsid w:val="00AC1F5A"/>
    <w:rsid w:val="00AC274B"/>
    <w:rsid w:val="00AC4764"/>
    <w:rsid w:val="00AC6D36"/>
    <w:rsid w:val="00AD0CBA"/>
    <w:rsid w:val="00AD1127"/>
    <w:rsid w:val="00AD141A"/>
    <w:rsid w:val="00AD26E2"/>
    <w:rsid w:val="00AD29AC"/>
    <w:rsid w:val="00AD5143"/>
    <w:rsid w:val="00AD784C"/>
    <w:rsid w:val="00AE0636"/>
    <w:rsid w:val="00AE126A"/>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56C6"/>
    <w:rsid w:val="00B06571"/>
    <w:rsid w:val="00B068BA"/>
    <w:rsid w:val="00B075A0"/>
    <w:rsid w:val="00B1088C"/>
    <w:rsid w:val="00B11688"/>
    <w:rsid w:val="00B1234B"/>
    <w:rsid w:val="00B1301A"/>
    <w:rsid w:val="00B13851"/>
    <w:rsid w:val="00B13B1C"/>
    <w:rsid w:val="00B22291"/>
    <w:rsid w:val="00B23F9A"/>
    <w:rsid w:val="00B2417B"/>
    <w:rsid w:val="00B245D3"/>
    <w:rsid w:val="00B248A9"/>
    <w:rsid w:val="00B24E6F"/>
    <w:rsid w:val="00B26CB5"/>
    <w:rsid w:val="00B2752E"/>
    <w:rsid w:val="00B307CC"/>
    <w:rsid w:val="00B31F07"/>
    <w:rsid w:val="00B326B7"/>
    <w:rsid w:val="00B431E8"/>
    <w:rsid w:val="00B4391C"/>
    <w:rsid w:val="00B45141"/>
    <w:rsid w:val="00B46733"/>
    <w:rsid w:val="00B5273A"/>
    <w:rsid w:val="00B53F04"/>
    <w:rsid w:val="00B57329"/>
    <w:rsid w:val="00B60E61"/>
    <w:rsid w:val="00B615BF"/>
    <w:rsid w:val="00B61F8D"/>
    <w:rsid w:val="00B62B50"/>
    <w:rsid w:val="00B6330C"/>
    <w:rsid w:val="00B635B7"/>
    <w:rsid w:val="00B63AE8"/>
    <w:rsid w:val="00B65950"/>
    <w:rsid w:val="00B66D83"/>
    <w:rsid w:val="00B672C0"/>
    <w:rsid w:val="00B73DB1"/>
    <w:rsid w:val="00B74B10"/>
    <w:rsid w:val="00B75646"/>
    <w:rsid w:val="00B761F0"/>
    <w:rsid w:val="00B83CE0"/>
    <w:rsid w:val="00B90729"/>
    <w:rsid w:val="00B907DA"/>
    <w:rsid w:val="00B93063"/>
    <w:rsid w:val="00B950BC"/>
    <w:rsid w:val="00B9714C"/>
    <w:rsid w:val="00B972C1"/>
    <w:rsid w:val="00B97EA0"/>
    <w:rsid w:val="00BA0D05"/>
    <w:rsid w:val="00BA16DD"/>
    <w:rsid w:val="00BA1954"/>
    <w:rsid w:val="00BA29AD"/>
    <w:rsid w:val="00BA3F8D"/>
    <w:rsid w:val="00BA5317"/>
    <w:rsid w:val="00BB4DDA"/>
    <w:rsid w:val="00BB7A10"/>
    <w:rsid w:val="00BC0F72"/>
    <w:rsid w:val="00BC4BF5"/>
    <w:rsid w:val="00BC7468"/>
    <w:rsid w:val="00BC7D4F"/>
    <w:rsid w:val="00BC7ED7"/>
    <w:rsid w:val="00BD0D1B"/>
    <w:rsid w:val="00BD2850"/>
    <w:rsid w:val="00BD5C28"/>
    <w:rsid w:val="00BE0D2E"/>
    <w:rsid w:val="00BE20CF"/>
    <w:rsid w:val="00BE2103"/>
    <w:rsid w:val="00BE28D2"/>
    <w:rsid w:val="00BE4A64"/>
    <w:rsid w:val="00BE5A2C"/>
    <w:rsid w:val="00BF557D"/>
    <w:rsid w:val="00BF567C"/>
    <w:rsid w:val="00BF766D"/>
    <w:rsid w:val="00BF7F58"/>
    <w:rsid w:val="00C01381"/>
    <w:rsid w:val="00C01AB1"/>
    <w:rsid w:val="00C06C29"/>
    <w:rsid w:val="00C079B8"/>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5484"/>
    <w:rsid w:val="00C4173A"/>
    <w:rsid w:val="00C602FF"/>
    <w:rsid w:val="00C61174"/>
    <w:rsid w:val="00C6148F"/>
    <w:rsid w:val="00C618E9"/>
    <w:rsid w:val="00C62F7A"/>
    <w:rsid w:val="00C63B9C"/>
    <w:rsid w:val="00C6682F"/>
    <w:rsid w:val="00C66F7C"/>
    <w:rsid w:val="00C7118A"/>
    <w:rsid w:val="00C7275E"/>
    <w:rsid w:val="00C74C5D"/>
    <w:rsid w:val="00C75EF6"/>
    <w:rsid w:val="00C77168"/>
    <w:rsid w:val="00C850DA"/>
    <w:rsid w:val="00C863C4"/>
    <w:rsid w:val="00C920EA"/>
    <w:rsid w:val="00C93C3E"/>
    <w:rsid w:val="00C95AE9"/>
    <w:rsid w:val="00CA12E3"/>
    <w:rsid w:val="00CA6611"/>
    <w:rsid w:val="00CA6AE6"/>
    <w:rsid w:val="00CA782F"/>
    <w:rsid w:val="00CA7BCF"/>
    <w:rsid w:val="00CB3285"/>
    <w:rsid w:val="00CC0C72"/>
    <w:rsid w:val="00CC2BFD"/>
    <w:rsid w:val="00CC35BB"/>
    <w:rsid w:val="00CC379D"/>
    <w:rsid w:val="00CC3829"/>
    <w:rsid w:val="00CD0D45"/>
    <w:rsid w:val="00CD1207"/>
    <w:rsid w:val="00CD22EF"/>
    <w:rsid w:val="00CD322C"/>
    <w:rsid w:val="00CD3476"/>
    <w:rsid w:val="00CD414C"/>
    <w:rsid w:val="00CD64DF"/>
    <w:rsid w:val="00CD669A"/>
    <w:rsid w:val="00CD7AB8"/>
    <w:rsid w:val="00CE2B78"/>
    <w:rsid w:val="00CE4746"/>
    <w:rsid w:val="00CF2F50"/>
    <w:rsid w:val="00CF4C7A"/>
    <w:rsid w:val="00CF6198"/>
    <w:rsid w:val="00CF7303"/>
    <w:rsid w:val="00D00185"/>
    <w:rsid w:val="00D01F4D"/>
    <w:rsid w:val="00D02919"/>
    <w:rsid w:val="00D036DF"/>
    <w:rsid w:val="00D04C61"/>
    <w:rsid w:val="00D055AD"/>
    <w:rsid w:val="00D05B8D"/>
    <w:rsid w:val="00D06308"/>
    <w:rsid w:val="00D065A2"/>
    <w:rsid w:val="00D07F00"/>
    <w:rsid w:val="00D162AB"/>
    <w:rsid w:val="00D17B72"/>
    <w:rsid w:val="00D20D79"/>
    <w:rsid w:val="00D26A72"/>
    <w:rsid w:val="00D27170"/>
    <w:rsid w:val="00D30CB3"/>
    <w:rsid w:val="00D3185C"/>
    <w:rsid w:val="00D32B12"/>
    <w:rsid w:val="00D33064"/>
    <w:rsid w:val="00D3318E"/>
    <w:rsid w:val="00D33E72"/>
    <w:rsid w:val="00D35BD6"/>
    <w:rsid w:val="00D361B5"/>
    <w:rsid w:val="00D411A2"/>
    <w:rsid w:val="00D41F92"/>
    <w:rsid w:val="00D42572"/>
    <w:rsid w:val="00D44A87"/>
    <w:rsid w:val="00D4606D"/>
    <w:rsid w:val="00D4784E"/>
    <w:rsid w:val="00D50B9C"/>
    <w:rsid w:val="00D52173"/>
    <w:rsid w:val="00D52D73"/>
    <w:rsid w:val="00D52E58"/>
    <w:rsid w:val="00D56B20"/>
    <w:rsid w:val="00D6009D"/>
    <w:rsid w:val="00D6498A"/>
    <w:rsid w:val="00D64C91"/>
    <w:rsid w:val="00D65F6C"/>
    <w:rsid w:val="00D714CC"/>
    <w:rsid w:val="00D72DED"/>
    <w:rsid w:val="00D75EA7"/>
    <w:rsid w:val="00D76BDD"/>
    <w:rsid w:val="00D77C58"/>
    <w:rsid w:val="00D77F71"/>
    <w:rsid w:val="00D80816"/>
    <w:rsid w:val="00D81F21"/>
    <w:rsid w:val="00D91234"/>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3E36"/>
    <w:rsid w:val="00E04D6E"/>
    <w:rsid w:val="00E05435"/>
    <w:rsid w:val="00E058E6"/>
    <w:rsid w:val="00E11332"/>
    <w:rsid w:val="00E11352"/>
    <w:rsid w:val="00E145AB"/>
    <w:rsid w:val="00E16332"/>
    <w:rsid w:val="00E16BD0"/>
    <w:rsid w:val="00E170DC"/>
    <w:rsid w:val="00E22996"/>
    <w:rsid w:val="00E26818"/>
    <w:rsid w:val="00E27FFC"/>
    <w:rsid w:val="00E30B15"/>
    <w:rsid w:val="00E40181"/>
    <w:rsid w:val="00E527E5"/>
    <w:rsid w:val="00E55B45"/>
    <w:rsid w:val="00E56A01"/>
    <w:rsid w:val="00E62255"/>
    <w:rsid w:val="00E629A1"/>
    <w:rsid w:val="00E66CFB"/>
    <w:rsid w:val="00E6794C"/>
    <w:rsid w:val="00E71591"/>
    <w:rsid w:val="00E803AE"/>
    <w:rsid w:val="00E80DE3"/>
    <w:rsid w:val="00E82C55"/>
    <w:rsid w:val="00E87D8E"/>
    <w:rsid w:val="00E90056"/>
    <w:rsid w:val="00E92AC3"/>
    <w:rsid w:val="00E97DB7"/>
    <w:rsid w:val="00EA17D8"/>
    <w:rsid w:val="00EA1D7D"/>
    <w:rsid w:val="00EA50B2"/>
    <w:rsid w:val="00EA7475"/>
    <w:rsid w:val="00EA7F5E"/>
    <w:rsid w:val="00EB00E0"/>
    <w:rsid w:val="00EB0BCE"/>
    <w:rsid w:val="00EB547E"/>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60D1"/>
    <w:rsid w:val="00F0080F"/>
    <w:rsid w:val="00F00F9C"/>
    <w:rsid w:val="00F01E5F"/>
    <w:rsid w:val="00F02ABA"/>
    <w:rsid w:val="00F03C45"/>
    <w:rsid w:val="00F0437A"/>
    <w:rsid w:val="00F04ECC"/>
    <w:rsid w:val="00F058D9"/>
    <w:rsid w:val="00F07F8E"/>
    <w:rsid w:val="00F11037"/>
    <w:rsid w:val="00F1154D"/>
    <w:rsid w:val="00F16F1B"/>
    <w:rsid w:val="00F1719E"/>
    <w:rsid w:val="00F250A9"/>
    <w:rsid w:val="00F2597A"/>
    <w:rsid w:val="00F25FB5"/>
    <w:rsid w:val="00F260F7"/>
    <w:rsid w:val="00F30FF4"/>
    <w:rsid w:val="00F3122E"/>
    <w:rsid w:val="00F33000"/>
    <w:rsid w:val="00F331AD"/>
    <w:rsid w:val="00F35287"/>
    <w:rsid w:val="00F43A37"/>
    <w:rsid w:val="00F4641B"/>
    <w:rsid w:val="00F46EB8"/>
    <w:rsid w:val="00F50CD1"/>
    <w:rsid w:val="00F50F7D"/>
    <w:rsid w:val="00F511E4"/>
    <w:rsid w:val="00F52D09"/>
    <w:rsid w:val="00F52E08"/>
    <w:rsid w:val="00F55B21"/>
    <w:rsid w:val="00F56EF6"/>
    <w:rsid w:val="00F61A9F"/>
    <w:rsid w:val="00F64696"/>
    <w:rsid w:val="00F65957"/>
    <w:rsid w:val="00F65AA9"/>
    <w:rsid w:val="00F6768F"/>
    <w:rsid w:val="00F70FAD"/>
    <w:rsid w:val="00F72C2C"/>
    <w:rsid w:val="00F76CAB"/>
    <w:rsid w:val="00F772C6"/>
    <w:rsid w:val="00F815B5"/>
    <w:rsid w:val="00F84DAD"/>
    <w:rsid w:val="00F85195"/>
    <w:rsid w:val="00F87453"/>
    <w:rsid w:val="00F90E1A"/>
    <w:rsid w:val="00F938BA"/>
    <w:rsid w:val="00F95B77"/>
    <w:rsid w:val="00F963B2"/>
    <w:rsid w:val="00F96874"/>
    <w:rsid w:val="00FA2C46"/>
    <w:rsid w:val="00FA3525"/>
    <w:rsid w:val="00FA38AC"/>
    <w:rsid w:val="00FA47CE"/>
    <w:rsid w:val="00FA4D8D"/>
    <w:rsid w:val="00FA5A53"/>
    <w:rsid w:val="00FB26E5"/>
    <w:rsid w:val="00FB2CB4"/>
    <w:rsid w:val="00FB3CEE"/>
    <w:rsid w:val="00FB4769"/>
    <w:rsid w:val="00FB4CDA"/>
    <w:rsid w:val="00FB75C4"/>
    <w:rsid w:val="00FC0F81"/>
    <w:rsid w:val="00FC395C"/>
    <w:rsid w:val="00FD3766"/>
    <w:rsid w:val="00FD47C4"/>
    <w:rsid w:val="00FD4FC5"/>
    <w:rsid w:val="00FD72DA"/>
    <w:rsid w:val="00FE206E"/>
    <w:rsid w:val="00FE2DCF"/>
    <w:rsid w:val="00FE3FA7"/>
    <w:rsid w:val="00FE4E65"/>
    <w:rsid w:val="00FF2FCE"/>
    <w:rsid w:val="00FF3FF2"/>
    <w:rsid w:val="00FF4F7D"/>
    <w:rsid w:val="00FF6D9D"/>
    <w:rsid w:val="00FF737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9"/>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99"/>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99"/>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FootnoteReference">
    <w:name w:val="footnote reference"/>
    <w:basedOn w:val="DefaultParagraphFont"/>
    <w:uiPriority w:val="99"/>
    <w:semiHidden/>
    <w:unhideWhenUsed/>
    <w:rsid w:val="000A14C0"/>
    <w:rPr>
      <w:vertAlign w:val="superscript"/>
    </w:rPr>
  </w:style>
  <w:style w:type="table" w:customStyle="1" w:styleId="TableGrid11">
    <w:name w:val="Table Grid11"/>
    <w:basedOn w:val="TableNormal"/>
    <w:next w:val="TableGrid"/>
    <w:uiPriority w:val="39"/>
    <w:rsid w:val="002F19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153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7512"/>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0F75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sumer.vic.gov.au/engineer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5" ma:contentTypeDescription="Create a new document." ma:contentTypeScope="" ma:versionID="d8d8fe6569f09d360e369101e9339a52">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109f34e2099c2916db617837ec2120af"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provals xmlns="a0a21f9c-edc1-4b0f-a2f7-c6ac7f14bc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2.xml><?xml version="1.0" encoding="utf-8"?>
<ds:datastoreItem xmlns:ds="http://schemas.openxmlformats.org/officeDocument/2006/customXml" ds:itemID="{380A0541-22FE-4B37-9D78-3C2E49D3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A7883D-4F6F-48FD-90E9-DA5FA89CC306}">
  <ds:schemaRefs>
    <ds:schemaRef ds:uri="http://schemas.microsoft.com/office/2006/documentManagement/types"/>
    <ds:schemaRef ds:uri="60b6a01b-9bff-4298-a3fd-070febc62cfa"/>
    <ds:schemaRef ds:uri="http://purl.org/dc/elements/1.1/"/>
    <ds:schemaRef ds:uri="http://schemas.microsoft.com/office/infopath/2007/PartnerControls"/>
    <ds:schemaRef ds:uri="http://purl.org/dc/terms/"/>
    <ds:schemaRef ds:uri="http://schemas.openxmlformats.org/package/2006/metadata/core-properties"/>
    <ds:schemaRef ds:uri="a0a21f9c-edc1-4b0f-a2f7-c6ac7f14bc3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6B0E53EF-F2CF-4CB9-BBC5-083E5989DE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1846</Words>
  <Characters>10699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12520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David M Darragh (DJCS)</cp:lastModifiedBy>
  <cp:revision>2</cp:revision>
  <cp:lastPrinted>2017-07-07T00:32:00Z</cp:lastPrinted>
  <dcterms:created xsi:type="dcterms:W3CDTF">2021-08-03T02:52:00Z</dcterms:created>
  <dcterms:modified xsi:type="dcterms:W3CDTF">2021-08-03T02:52:00Z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0x0101005265D79D61091942A4A1BAD50811B0D9</vt:lpwstr>
  </property>
  <property fmtid="{D5CDD505-2E9C-101B-9397-08002B2CF9AE}" pid="4" name="_dlc_DocIdItemGuid">
    <vt:lpwstr>f057e643-4898-4aea-9118-7ec19de78fe3</vt:lpwstr>
  </property>
</Properties>
</file>