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C22F" w14:textId="055F8EDC" w:rsidR="0021476B" w:rsidRPr="007F124B" w:rsidRDefault="0021476B" w:rsidP="00D45D10">
      <w:pPr>
        <w:pStyle w:val="Title"/>
        <w:rPr>
          <w:rFonts w:hint="eastAsia"/>
        </w:rPr>
      </w:pPr>
      <w:r w:rsidRPr="002C79D8">
        <w:rPr>
          <w:rFonts w:ascii="VIC" w:hAnsi="VIC"/>
          <w:b w:val="0"/>
          <w:bCs w:val="0"/>
        </w:rPr>
        <w:t>Rent</w:t>
      </w:r>
      <w:r w:rsidR="00E02A5E">
        <w:rPr>
          <w:rFonts w:ascii="VIC" w:hAnsi="VIC"/>
          <w:b w:val="0"/>
          <w:bCs w:val="0"/>
        </w:rPr>
        <w:t>ing</w:t>
      </w:r>
      <w:r w:rsidRPr="002C79D8">
        <w:rPr>
          <w:rFonts w:ascii="VIC" w:hAnsi="VIC"/>
          <w:b w:val="0"/>
          <w:bCs w:val="0"/>
        </w:rPr>
        <w:t xml:space="preserve"> </w:t>
      </w:r>
      <w:r w:rsidR="00E02A5E">
        <w:rPr>
          <w:rFonts w:ascii="VIC" w:hAnsi="VIC"/>
          <w:b w:val="0"/>
          <w:bCs w:val="0"/>
        </w:rPr>
        <w:t>Central Service</w:t>
      </w:r>
      <w:r w:rsidRPr="007F124B">
        <w:br/>
        <w:t xml:space="preserve">Program Guidelines </w:t>
      </w:r>
    </w:p>
    <w:p w14:paraId="696DFD6D" w14:textId="065A8742" w:rsidR="00BB26F2" w:rsidRDefault="00BB26F2" w:rsidP="00D45D10">
      <w:pPr>
        <w:pStyle w:val="Title"/>
        <w:rPr>
          <w:rFonts w:hint="eastAsia"/>
        </w:rPr>
      </w:pPr>
    </w:p>
    <w:p w14:paraId="64EC7607" w14:textId="5A0396C3" w:rsidR="00A90F95" w:rsidRDefault="0034678E" w:rsidP="00D45D10">
      <w:r>
        <w:rPr>
          <w:noProof/>
        </w:rPr>
        <w:drawing>
          <wp:anchor distT="0" distB="0" distL="114300" distR="114300" simplePos="0" relativeHeight="251658240" behindDoc="0" locked="0" layoutInCell="1" allowOverlap="1" wp14:anchorId="3616BD18" wp14:editId="42C4741A">
            <wp:simplePos x="0" y="0"/>
            <wp:positionH relativeFrom="column">
              <wp:posOffset>-1</wp:posOffset>
            </wp:positionH>
            <wp:positionV relativeFrom="paragraph">
              <wp:posOffset>4299222</wp:posOffset>
            </wp:positionV>
            <wp:extent cx="2645229" cy="2253344"/>
            <wp:effectExtent l="0" t="0" r="0" b="0"/>
            <wp:wrapNone/>
            <wp:docPr id="1066568572"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68572" name="Graphic 1066568572"/>
                    <pic:cNvPicPr/>
                  </pic:nvPicPr>
                  <pic:blipFill>
                    <a:blip r:embed="rId12">
                      <a:extLst>
                        <a:ext uri="{96DAC541-7B7A-43D3-8B79-37D633B846F1}">
                          <asvg:svgBlip xmlns:asvg="http://schemas.microsoft.com/office/drawing/2016/SVG/main" r:embed="rId13"/>
                        </a:ext>
                      </a:extLst>
                    </a:blip>
                    <a:stretch>
                      <a:fillRect/>
                    </a:stretch>
                  </pic:blipFill>
                  <pic:spPr>
                    <a:xfrm>
                      <a:off x="0" y="0"/>
                      <a:ext cx="2678457" cy="2281649"/>
                    </a:xfrm>
                    <a:prstGeom prst="rect">
                      <a:avLst/>
                    </a:prstGeom>
                  </pic:spPr>
                </pic:pic>
              </a:graphicData>
            </a:graphic>
            <wp14:sizeRelH relativeFrom="page">
              <wp14:pctWidth>0</wp14:pctWidth>
            </wp14:sizeRelH>
            <wp14:sizeRelV relativeFrom="page">
              <wp14:pctHeight>0</wp14:pctHeight>
            </wp14:sizeRelV>
          </wp:anchor>
        </w:drawing>
      </w:r>
      <w:r w:rsidR="00A90F95">
        <w:br w:type="page"/>
      </w:r>
    </w:p>
    <w:p w14:paraId="1368C179" w14:textId="77777777" w:rsidR="0030700B" w:rsidRDefault="0030700B" w:rsidP="00D45D10">
      <w:pPr>
        <w:pStyle w:val="Heading1"/>
        <w:sectPr w:rsidR="0030700B" w:rsidSect="00863347">
          <w:headerReference w:type="default" r:id="rId14"/>
          <w:footerReference w:type="even" r:id="rId15"/>
          <w:footerReference w:type="default" r:id="rId16"/>
          <w:headerReference w:type="first" r:id="rId17"/>
          <w:footerReference w:type="first" r:id="rId18"/>
          <w:pgSz w:w="11906" w:h="16838"/>
          <w:pgMar w:top="1366" w:right="1440" w:bottom="1440" w:left="1440" w:header="283" w:footer="708" w:gutter="0"/>
          <w:cols w:space="708"/>
          <w:titlePg/>
          <w:docGrid w:linePitch="360"/>
        </w:sectPr>
      </w:pPr>
    </w:p>
    <w:p w14:paraId="5D73EA8D" w14:textId="79061CE0" w:rsidR="001C0073" w:rsidRDefault="00DB00BB" w:rsidP="00D45D10">
      <w:pPr>
        <w:pStyle w:val="Heading1"/>
      </w:pPr>
      <w:bookmarkStart w:id="0" w:name="_Toc219735101"/>
      <w:r w:rsidRPr="003D25C9">
        <w:lastRenderedPageBreak/>
        <w:t>Contents</w:t>
      </w:r>
      <w:bookmarkEnd w:id="0"/>
    </w:p>
    <w:p w14:paraId="0CE6818A" w14:textId="77777777" w:rsidR="001C0073" w:rsidRDefault="001C0073" w:rsidP="001C0073"/>
    <w:p w14:paraId="5D3CBCFA" w14:textId="77777777" w:rsidR="001C0073" w:rsidRPr="001C0073" w:rsidRDefault="001C0073" w:rsidP="001C0073">
      <w:pPr>
        <w:sectPr w:rsidR="001C0073" w:rsidRPr="001C0073" w:rsidSect="000D0670">
          <w:type w:val="continuous"/>
          <w:pgSz w:w="11906" w:h="16838"/>
          <w:pgMar w:top="1366" w:right="1440" w:bottom="1440" w:left="1440" w:header="794" w:footer="709" w:gutter="0"/>
          <w:cols w:space="708"/>
          <w:docGrid w:linePitch="360"/>
        </w:sectPr>
      </w:pPr>
    </w:p>
    <w:p w14:paraId="7CBC1950" w14:textId="5B636CD2" w:rsidR="009D31D9" w:rsidRDefault="00942B52">
      <w:pPr>
        <w:pStyle w:val="TOC1"/>
        <w:tabs>
          <w:tab w:val="right" w:leader="dot" w:pos="4149"/>
        </w:tabs>
        <w:rPr>
          <w:rFonts w:asciiTheme="minorHAnsi" w:eastAsiaTheme="minorEastAsia" w:hAnsiTheme="minorHAnsi"/>
          <w:b w:val="0"/>
          <w:noProof/>
          <w:color w:val="auto"/>
          <w:sz w:val="24"/>
          <w:szCs w:val="24"/>
          <w:lang w:eastAsia="en-AU"/>
        </w:rPr>
      </w:pPr>
      <w:r>
        <w:fldChar w:fldCharType="begin"/>
      </w:r>
      <w:r>
        <w:instrText xml:space="preserve"> TOC \o "1-2" \h \z \u </w:instrText>
      </w:r>
      <w:r>
        <w:fldChar w:fldCharType="separate"/>
      </w:r>
      <w:hyperlink w:anchor="_Toc219735101" w:history="1">
        <w:r w:rsidR="009D31D9" w:rsidRPr="003E6812">
          <w:rPr>
            <w:rStyle w:val="Hyperlink"/>
            <w:noProof/>
          </w:rPr>
          <w:t>Contents</w:t>
        </w:r>
        <w:r w:rsidR="009D31D9">
          <w:rPr>
            <w:noProof/>
            <w:webHidden/>
          </w:rPr>
          <w:tab/>
        </w:r>
        <w:r w:rsidR="009D31D9">
          <w:rPr>
            <w:noProof/>
            <w:webHidden/>
          </w:rPr>
          <w:fldChar w:fldCharType="begin"/>
        </w:r>
        <w:r w:rsidR="009D31D9">
          <w:rPr>
            <w:noProof/>
            <w:webHidden/>
          </w:rPr>
          <w:instrText xml:space="preserve"> PAGEREF _Toc219735101 \h </w:instrText>
        </w:r>
        <w:r w:rsidR="009D31D9">
          <w:rPr>
            <w:noProof/>
            <w:webHidden/>
          </w:rPr>
        </w:r>
        <w:r w:rsidR="009D31D9">
          <w:rPr>
            <w:noProof/>
            <w:webHidden/>
          </w:rPr>
          <w:fldChar w:fldCharType="separate"/>
        </w:r>
        <w:r w:rsidR="009D31D9">
          <w:rPr>
            <w:noProof/>
            <w:webHidden/>
          </w:rPr>
          <w:t>2</w:t>
        </w:r>
        <w:r w:rsidR="009D31D9">
          <w:rPr>
            <w:noProof/>
            <w:webHidden/>
          </w:rPr>
          <w:fldChar w:fldCharType="end"/>
        </w:r>
      </w:hyperlink>
    </w:p>
    <w:p w14:paraId="57241BC8" w14:textId="4B038F93"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02" w:history="1">
        <w:r w:rsidRPr="003E6812">
          <w:rPr>
            <w:rStyle w:val="Hyperlink"/>
            <w:noProof/>
          </w:rPr>
          <w:t>1. About the RCS Guidelines</w:t>
        </w:r>
        <w:r>
          <w:rPr>
            <w:noProof/>
            <w:webHidden/>
          </w:rPr>
          <w:tab/>
        </w:r>
        <w:r>
          <w:rPr>
            <w:noProof/>
            <w:webHidden/>
          </w:rPr>
          <w:fldChar w:fldCharType="begin"/>
        </w:r>
        <w:r>
          <w:rPr>
            <w:noProof/>
            <w:webHidden/>
          </w:rPr>
          <w:instrText xml:space="preserve"> PAGEREF _Toc219735102 \h </w:instrText>
        </w:r>
        <w:r>
          <w:rPr>
            <w:noProof/>
            <w:webHidden/>
          </w:rPr>
        </w:r>
        <w:r>
          <w:rPr>
            <w:noProof/>
            <w:webHidden/>
          </w:rPr>
          <w:fldChar w:fldCharType="separate"/>
        </w:r>
        <w:r>
          <w:rPr>
            <w:noProof/>
            <w:webHidden/>
          </w:rPr>
          <w:t>3</w:t>
        </w:r>
        <w:r>
          <w:rPr>
            <w:noProof/>
            <w:webHidden/>
          </w:rPr>
          <w:fldChar w:fldCharType="end"/>
        </w:r>
      </w:hyperlink>
    </w:p>
    <w:p w14:paraId="1F4A9C1A" w14:textId="59473A0F"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03" w:history="1">
        <w:r w:rsidRPr="003E6812">
          <w:rPr>
            <w:rStyle w:val="Hyperlink"/>
            <w:noProof/>
          </w:rPr>
          <w:t>Table 1: RCS – Service delivery requirements</w:t>
        </w:r>
        <w:r>
          <w:rPr>
            <w:noProof/>
            <w:webHidden/>
          </w:rPr>
          <w:tab/>
        </w:r>
        <w:r>
          <w:rPr>
            <w:noProof/>
            <w:webHidden/>
          </w:rPr>
          <w:fldChar w:fldCharType="begin"/>
        </w:r>
        <w:r>
          <w:rPr>
            <w:noProof/>
            <w:webHidden/>
          </w:rPr>
          <w:instrText xml:space="preserve"> PAGEREF _Toc219735103 \h </w:instrText>
        </w:r>
        <w:r>
          <w:rPr>
            <w:noProof/>
            <w:webHidden/>
          </w:rPr>
        </w:r>
        <w:r>
          <w:rPr>
            <w:noProof/>
            <w:webHidden/>
          </w:rPr>
          <w:fldChar w:fldCharType="separate"/>
        </w:r>
        <w:r>
          <w:rPr>
            <w:noProof/>
            <w:webHidden/>
          </w:rPr>
          <w:t>4</w:t>
        </w:r>
        <w:r>
          <w:rPr>
            <w:noProof/>
            <w:webHidden/>
          </w:rPr>
          <w:fldChar w:fldCharType="end"/>
        </w:r>
      </w:hyperlink>
    </w:p>
    <w:p w14:paraId="0C536020" w14:textId="24C02843"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04" w:history="1">
        <w:r w:rsidRPr="003E6812">
          <w:rPr>
            <w:rStyle w:val="Hyperlink"/>
            <w:noProof/>
          </w:rPr>
          <w:t>2. Introduction to the RCS</w:t>
        </w:r>
        <w:r>
          <w:rPr>
            <w:noProof/>
            <w:webHidden/>
          </w:rPr>
          <w:tab/>
        </w:r>
        <w:r>
          <w:rPr>
            <w:noProof/>
            <w:webHidden/>
          </w:rPr>
          <w:fldChar w:fldCharType="begin"/>
        </w:r>
        <w:r>
          <w:rPr>
            <w:noProof/>
            <w:webHidden/>
          </w:rPr>
          <w:instrText xml:space="preserve"> PAGEREF _Toc219735104 \h </w:instrText>
        </w:r>
        <w:r>
          <w:rPr>
            <w:noProof/>
            <w:webHidden/>
          </w:rPr>
        </w:r>
        <w:r>
          <w:rPr>
            <w:noProof/>
            <w:webHidden/>
          </w:rPr>
          <w:fldChar w:fldCharType="separate"/>
        </w:r>
        <w:r>
          <w:rPr>
            <w:noProof/>
            <w:webHidden/>
          </w:rPr>
          <w:t>5</w:t>
        </w:r>
        <w:r>
          <w:rPr>
            <w:noProof/>
            <w:webHidden/>
          </w:rPr>
          <w:fldChar w:fldCharType="end"/>
        </w:r>
      </w:hyperlink>
    </w:p>
    <w:p w14:paraId="759B5475" w14:textId="62D8B51D"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05" w:history="1">
        <w:r w:rsidRPr="003E6812">
          <w:rPr>
            <w:rStyle w:val="Hyperlink"/>
            <w:noProof/>
          </w:rPr>
          <w:t>Overview</w:t>
        </w:r>
        <w:r>
          <w:rPr>
            <w:noProof/>
            <w:webHidden/>
          </w:rPr>
          <w:tab/>
        </w:r>
        <w:r>
          <w:rPr>
            <w:noProof/>
            <w:webHidden/>
          </w:rPr>
          <w:fldChar w:fldCharType="begin"/>
        </w:r>
        <w:r>
          <w:rPr>
            <w:noProof/>
            <w:webHidden/>
          </w:rPr>
          <w:instrText xml:space="preserve"> PAGEREF _Toc219735105 \h </w:instrText>
        </w:r>
        <w:r>
          <w:rPr>
            <w:noProof/>
            <w:webHidden/>
          </w:rPr>
        </w:r>
        <w:r>
          <w:rPr>
            <w:noProof/>
            <w:webHidden/>
          </w:rPr>
          <w:fldChar w:fldCharType="separate"/>
        </w:r>
        <w:r>
          <w:rPr>
            <w:noProof/>
            <w:webHidden/>
          </w:rPr>
          <w:t>5</w:t>
        </w:r>
        <w:r>
          <w:rPr>
            <w:noProof/>
            <w:webHidden/>
          </w:rPr>
          <w:fldChar w:fldCharType="end"/>
        </w:r>
      </w:hyperlink>
    </w:p>
    <w:p w14:paraId="63040C7B" w14:textId="24FA5F9D"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06" w:history="1">
        <w:r w:rsidRPr="003E6812">
          <w:rPr>
            <w:rStyle w:val="Hyperlink"/>
            <w:noProof/>
          </w:rPr>
          <w:t>RCS service model</w:t>
        </w:r>
        <w:r>
          <w:rPr>
            <w:noProof/>
            <w:webHidden/>
          </w:rPr>
          <w:tab/>
        </w:r>
        <w:r>
          <w:rPr>
            <w:noProof/>
            <w:webHidden/>
          </w:rPr>
          <w:fldChar w:fldCharType="begin"/>
        </w:r>
        <w:r>
          <w:rPr>
            <w:noProof/>
            <w:webHidden/>
          </w:rPr>
          <w:instrText xml:space="preserve"> PAGEREF _Toc219735106 \h </w:instrText>
        </w:r>
        <w:r>
          <w:rPr>
            <w:noProof/>
            <w:webHidden/>
          </w:rPr>
        </w:r>
        <w:r>
          <w:rPr>
            <w:noProof/>
            <w:webHidden/>
          </w:rPr>
          <w:fldChar w:fldCharType="separate"/>
        </w:r>
        <w:r>
          <w:rPr>
            <w:noProof/>
            <w:webHidden/>
          </w:rPr>
          <w:t>5</w:t>
        </w:r>
        <w:r>
          <w:rPr>
            <w:noProof/>
            <w:webHidden/>
          </w:rPr>
          <w:fldChar w:fldCharType="end"/>
        </w:r>
      </w:hyperlink>
    </w:p>
    <w:p w14:paraId="2D5FADD1" w14:textId="1E20A846"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07" w:history="1">
        <w:r w:rsidRPr="003E6812">
          <w:rPr>
            <w:rStyle w:val="Hyperlink"/>
            <w:noProof/>
          </w:rPr>
          <w:t>3. Renter Support Service</w:t>
        </w:r>
        <w:r>
          <w:rPr>
            <w:noProof/>
            <w:webHidden/>
          </w:rPr>
          <w:tab/>
        </w:r>
        <w:r>
          <w:rPr>
            <w:noProof/>
            <w:webHidden/>
          </w:rPr>
          <w:fldChar w:fldCharType="begin"/>
        </w:r>
        <w:r>
          <w:rPr>
            <w:noProof/>
            <w:webHidden/>
          </w:rPr>
          <w:instrText xml:space="preserve"> PAGEREF _Toc219735107 \h </w:instrText>
        </w:r>
        <w:r>
          <w:rPr>
            <w:noProof/>
            <w:webHidden/>
          </w:rPr>
        </w:r>
        <w:r>
          <w:rPr>
            <w:noProof/>
            <w:webHidden/>
          </w:rPr>
          <w:fldChar w:fldCharType="separate"/>
        </w:r>
        <w:r>
          <w:rPr>
            <w:noProof/>
            <w:webHidden/>
          </w:rPr>
          <w:t>6</w:t>
        </w:r>
        <w:r>
          <w:rPr>
            <w:noProof/>
            <w:webHidden/>
          </w:rPr>
          <w:fldChar w:fldCharType="end"/>
        </w:r>
      </w:hyperlink>
    </w:p>
    <w:p w14:paraId="4A9BEA51" w14:textId="040838AD"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08" w:history="1">
        <w:r w:rsidRPr="003E6812">
          <w:rPr>
            <w:rStyle w:val="Hyperlink"/>
            <w:noProof/>
          </w:rPr>
          <w:t>Workers’ advice line</w:t>
        </w:r>
        <w:r>
          <w:rPr>
            <w:noProof/>
            <w:webHidden/>
          </w:rPr>
          <w:tab/>
        </w:r>
        <w:r>
          <w:rPr>
            <w:noProof/>
            <w:webHidden/>
          </w:rPr>
          <w:fldChar w:fldCharType="begin"/>
        </w:r>
        <w:r>
          <w:rPr>
            <w:noProof/>
            <w:webHidden/>
          </w:rPr>
          <w:instrText xml:space="preserve"> PAGEREF _Toc219735108 \h </w:instrText>
        </w:r>
        <w:r>
          <w:rPr>
            <w:noProof/>
            <w:webHidden/>
          </w:rPr>
        </w:r>
        <w:r>
          <w:rPr>
            <w:noProof/>
            <w:webHidden/>
          </w:rPr>
          <w:fldChar w:fldCharType="separate"/>
        </w:r>
        <w:r>
          <w:rPr>
            <w:noProof/>
            <w:webHidden/>
          </w:rPr>
          <w:t>6</w:t>
        </w:r>
        <w:r>
          <w:rPr>
            <w:noProof/>
            <w:webHidden/>
          </w:rPr>
          <w:fldChar w:fldCharType="end"/>
        </w:r>
      </w:hyperlink>
    </w:p>
    <w:p w14:paraId="5A78F287" w14:textId="3620ABAC"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09" w:history="1">
        <w:r w:rsidRPr="003E6812">
          <w:rPr>
            <w:rStyle w:val="Hyperlink"/>
            <w:noProof/>
          </w:rPr>
          <w:t>Referrals</w:t>
        </w:r>
        <w:r>
          <w:rPr>
            <w:noProof/>
            <w:webHidden/>
          </w:rPr>
          <w:tab/>
        </w:r>
        <w:r>
          <w:rPr>
            <w:noProof/>
            <w:webHidden/>
          </w:rPr>
          <w:fldChar w:fldCharType="begin"/>
        </w:r>
        <w:r>
          <w:rPr>
            <w:noProof/>
            <w:webHidden/>
          </w:rPr>
          <w:instrText xml:space="preserve"> PAGEREF _Toc219735109 \h </w:instrText>
        </w:r>
        <w:r>
          <w:rPr>
            <w:noProof/>
            <w:webHidden/>
          </w:rPr>
        </w:r>
        <w:r>
          <w:rPr>
            <w:noProof/>
            <w:webHidden/>
          </w:rPr>
          <w:fldChar w:fldCharType="separate"/>
        </w:r>
        <w:r>
          <w:rPr>
            <w:noProof/>
            <w:webHidden/>
          </w:rPr>
          <w:t>6</w:t>
        </w:r>
        <w:r>
          <w:rPr>
            <w:noProof/>
            <w:webHidden/>
          </w:rPr>
          <w:fldChar w:fldCharType="end"/>
        </w:r>
      </w:hyperlink>
    </w:p>
    <w:p w14:paraId="6CFCFB5C" w14:textId="65B2B13D"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10" w:history="1">
        <w:r w:rsidRPr="003E6812">
          <w:rPr>
            <w:rStyle w:val="Hyperlink"/>
            <w:noProof/>
          </w:rPr>
          <w:t>Culturally and linguistically diverse engagement support</w:t>
        </w:r>
        <w:r>
          <w:rPr>
            <w:noProof/>
            <w:webHidden/>
          </w:rPr>
          <w:tab/>
        </w:r>
        <w:r>
          <w:rPr>
            <w:noProof/>
            <w:webHidden/>
          </w:rPr>
          <w:fldChar w:fldCharType="begin"/>
        </w:r>
        <w:r>
          <w:rPr>
            <w:noProof/>
            <w:webHidden/>
          </w:rPr>
          <w:instrText xml:space="preserve"> PAGEREF _Toc219735110 \h </w:instrText>
        </w:r>
        <w:r>
          <w:rPr>
            <w:noProof/>
            <w:webHidden/>
          </w:rPr>
        </w:r>
        <w:r>
          <w:rPr>
            <w:noProof/>
            <w:webHidden/>
          </w:rPr>
          <w:fldChar w:fldCharType="separate"/>
        </w:r>
        <w:r>
          <w:rPr>
            <w:noProof/>
            <w:webHidden/>
          </w:rPr>
          <w:t>6</w:t>
        </w:r>
        <w:r>
          <w:rPr>
            <w:noProof/>
            <w:webHidden/>
          </w:rPr>
          <w:fldChar w:fldCharType="end"/>
        </w:r>
      </w:hyperlink>
    </w:p>
    <w:p w14:paraId="4043DBDA" w14:textId="0C72BCC2"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11" w:history="1">
        <w:r w:rsidRPr="003E6812">
          <w:rPr>
            <w:rStyle w:val="Hyperlink"/>
            <w:noProof/>
          </w:rPr>
          <w:t>Specialist legal support for renters</w:t>
        </w:r>
        <w:r>
          <w:rPr>
            <w:noProof/>
            <w:webHidden/>
          </w:rPr>
          <w:tab/>
        </w:r>
        <w:r>
          <w:rPr>
            <w:noProof/>
            <w:webHidden/>
          </w:rPr>
          <w:fldChar w:fldCharType="begin"/>
        </w:r>
        <w:r>
          <w:rPr>
            <w:noProof/>
            <w:webHidden/>
          </w:rPr>
          <w:instrText xml:space="preserve"> PAGEREF _Toc219735111 \h </w:instrText>
        </w:r>
        <w:r>
          <w:rPr>
            <w:noProof/>
            <w:webHidden/>
          </w:rPr>
        </w:r>
        <w:r>
          <w:rPr>
            <w:noProof/>
            <w:webHidden/>
          </w:rPr>
          <w:fldChar w:fldCharType="separate"/>
        </w:r>
        <w:r>
          <w:rPr>
            <w:noProof/>
            <w:webHidden/>
          </w:rPr>
          <w:t>6</w:t>
        </w:r>
        <w:r>
          <w:rPr>
            <w:noProof/>
            <w:webHidden/>
          </w:rPr>
          <w:fldChar w:fldCharType="end"/>
        </w:r>
      </w:hyperlink>
    </w:p>
    <w:p w14:paraId="06561589" w14:textId="6E0CF1D3"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12" w:history="1">
        <w:r w:rsidRPr="003E6812">
          <w:rPr>
            <w:rStyle w:val="Hyperlink"/>
            <w:noProof/>
          </w:rPr>
          <w:t>Community worker outreach and capacity training</w:t>
        </w:r>
        <w:r>
          <w:rPr>
            <w:noProof/>
            <w:webHidden/>
          </w:rPr>
          <w:tab/>
        </w:r>
        <w:r>
          <w:rPr>
            <w:noProof/>
            <w:webHidden/>
          </w:rPr>
          <w:fldChar w:fldCharType="begin"/>
        </w:r>
        <w:r>
          <w:rPr>
            <w:noProof/>
            <w:webHidden/>
          </w:rPr>
          <w:instrText xml:space="preserve"> PAGEREF _Toc219735112 \h </w:instrText>
        </w:r>
        <w:r>
          <w:rPr>
            <w:noProof/>
            <w:webHidden/>
          </w:rPr>
        </w:r>
        <w:r>
          <w:rPr>
            <w:noProof/>
            <w:webHidden/>
          </w:rPr>
          <w:fldChar w:fldCharType="separate"/>
        </w:r>
        <w:r>
          <w:rPr>
            <w:noProof/>
            <w:webHidden/>
          </w:rPr>
          <w:t>6</w:t>
        </w:r>
        <w:r>
          <w:rPr>
            <w:noProof/>
            <w:webHidden/>
          </w:rPr>
          <w:fldChar w:fldCharType="end"/>
        </w:r>
      </w:hyperlink>
    </w:p>
    <w:p w14:paraId="2F84EC5B" w14:textId="5C07A3AC"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13" w:history="1">
        <w:r w:rsidRPr="003E6812">
          <w:rPr>
            <w:rStyle w:val="Hyperlink"/>
            <w:noProof/>
          </w:rPr>
          <w:t>RRS community of practice</w:t>
        </w:r>
        <w:r>
          <w:rPr>
            <w:noProof/>
            <w:webHidden/>
          </w:rPr>
          <w:tab/>
        </w:r>
        <w:r>
          <w:rPr>
            <w:noProof/>
            <w:webHidden/>
          </w:rPr>
          <w:fldChar w:fldCharType="begin"/>
        </w:r>
        <w:r>
          <w:rPr>
            <w:noProof/>
            <w:webHidden/>
          </w:rPr>
          <w:instrText xml:space="preserve"> PAGEREF _Toc219735113 \h </w:instrText>
        </w:r>
        <w:r>
          <w:rPr>
            <w:noProof/>
            <w:webHidden/>
          </w:rPr>
        </w:r>
        <w:r>
          <w:rPr>
            <w:noProof/>
            <w:webHidden/>
          </w:rPr>
          <w:fldChar w:fldCharType="separate"/>
        </w:r>
        <w:r>
          <w:rPr>
            <w:noProof/>
            <w:webHidden/>
          </w:rPr>
          <w:t>7</w:t>
        </w:r>
        <w:r>
          <w:rPr>
            <w:noProof/>
            <w:webHidden/>
          </w:rPr>
          <w:fldChar w:fldCharType="end"/>
        </w:r>
      </w:hyperlink>
    </w:p>
    <w:p w14:paraId="196C32C2" w14:textId="6CB64390"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14" w:history="1">
        <w:r w:rsidRPr="003E6812">
          <w:rPr>
            <w:rStyle w:val="Hyperlink"/>
            <w:noProof/>
          </w:rPr>
          <w:t>4. Professional development for VRRP and community workers</w:t>
        </w:r>
        <w:r>
          <w:rPr>
            <w:noProof/>
            <w:webHidden/>
          </w:rPr>
          <w:tab/>
        </w:r>
        <w:r>
          <w:rPr>
            <w:noProof/>
            <w:webHidden/>
          </w:rPr>
          <w:fldChar w:fldCharType="begin"/>
        </w:r>
        <w:r>
          <w:rPr>
            <w:noProof/>
            <w:webHidden/>
          </w:rPr>
          <w:instrText xml:space="preserve"> PAGEREF _Toc219735114 \h </w:instrText>
        </w:r>
        <w:r>
          <w:rPr>
            <w:noProof/>
            <w:webHidden/>
          </w:rPr>
        </w:r>
        <w:r>
          <w:rPr>
            <w:noProof/>
            <w:webHidden/>
          </w:rPr>
          <w:fldChar w:fldCharType="separate"/>
        </w:r>
        <w:r>
          <w:rPr>
            <w:noProof/>
            <w:webHidden/>
          </w:rPr>
          <w:t>7</w:t>
        </w:r>
        <w:r>
          <w:rPr>
            <w:noProof/>
            <w:webHidden/>
          </w:rPr>
          <w:fldChar w:fldCharType="end"/>
        </w:r>
      </w:hyperlink>
    </w:p>
    <w:p w14:paraId="66E3EBD4" w14:textId="4DE81587"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15" w:history="1">
        <w:r w:rsidRPr="003E6812">
          <w:rPr>
            <w:rStyle w:val="Hyperlink"/>
            <w:noProof/>
          </w:rPr>
          <w:t>VRRP worker induction training</w:t>
        </w:r>
        <w:r>
          <w:rPr>
            <w:noProof/>
            <w:webHidden/>
          </w:rPr>
          <w:tab/>
        </w:r>
        <w:r>
          <w:rPr>
            <w:noProof/>
            <w:webHidden/>
          </w:rPr>
          <w:fldChar w:fldCharType="begin"/>
        </w:r>
        <w:r>
          <w:rPr>
            <w:noProof/>
            <w:webHidden/>
          </w:rPr>
          <w:instrText xml:space="preserve"> PAGEREF _Toc219735115 \h </w:instrText>
        </w:r>
        <w:r>
          <w:rPr>
            <w:noProof/>
            <w:webHidden/>
          </w:rPr>
        </w:r>
        <w:r>
          <w:rPr>
            <w:noProof/>
            <w:webHidden/>
          </w:rPr>
          <w:fldChar w:fldCharType="separate"/>
        </w:r>
        <w:r>
          <w:rPr>
            <w:noProof/>
            <w:webHidden/>
          </w:rPr>
          <w:t>7</w:t>
        </w:r>
        <w:r>
          <w:rPr>
            <w:noProof/>
            <w:webHidden/>
          </w:rPr>
          <w:fldChar w:fldCharType="end"/>
        </w:r>
      </w:hyperlink>
    </w:p>
    <w:p w14:paraId="50DB1C6D" w14:textId="10038CD3"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16" w:history="1">
        <w:r w:rsidRPr="003E6812">
          <w:rPr>
            <w:rStyle w:val="Hyperlink"/>
            <w:noProof/>
          </w:rPr>
          <w:t>VRRP legislation training and skills development</w:t>
        </w:r>
        <w:r>
          <w:rPr>
            <w:noProof/>
            <w:webHidden/>
          </w:rPr>
          <w:tab/>
        </w:r>
        <w:r>
          <w:rPr>
            <w:noProof/>
            <w:webHidden/>
          </w:rPr>
          <w:fldChar w:fldCharType="begin"/>
        </w:r>
        <w:r>
          <w:rPr>
            <w:noProof/>
            <w:webHidden/>
          </w:rPr>
          <w:instrText xml:space="preserve"> PAGEREF _Toc219735116 \h </w:instrText>
        </w:r>
        <w:r>
          <w:rPr>
            <w:noProof/>
            <w:webHidden/>
          </w:rPr>
        </w:r>
        <w:r>
          <w:rPr>
            <w:noProof/>
            <w:webHidden/>
          </w:rPr>
          <w:fldChar w:fldCharType="separate"/>
        </w:r>
        <w:r>
          <w:rPr>
            <w:noProof/>
            <w:webHidden/>
          </w:rPr>
          <w:t>8</w:t>
        </w:r>
        <w:r>
          <w:rPr>
            <w:noProof/>
            <w:webHidden/>
          </w:rPr>
          <w:fldChar w:fldCharType="end"/>
        </w:r>
      </w:hyperlink>
    </w:p>
    <w:p w14:paraId="00DE5778" w14:textId="34347162"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17" w:history="1">
        <w:r w:rsidRPr="003E6812">
          <w:rPr>
            <w:rStyle w:val="Hyperlink"/>
            <w:noProof/>
          </w:rPr>
          <w:t>VRRP tools and resources</w:t>
        </w:r>
        <w:r>
          <w:rPr>
            <w:noProof/>
            <w:webHidden/>
          </w:rPr>
          <w:tab/>
        </w:r>
        <w:r>
          <w:rPr>
            <w:noProof/>
            <w:webHidden/>
          </w:rPr>
          <w:fldChar w:fldCharType="begin"/>
        </w:r>
        <w:r>
          <w:rPr>
            <w:noProof/>
            <w:webHidden/>
          </w:rPr>
          <w:instrText xml:space="preserve"> PAGEREF _Toc219735117 \h </w:instrText>
        </w:r>
        <w:r>
          <w:rPr>
            <w:noProof/>
            <w:webHidden/>
          </w:rPr>
        </w:r>
        <w:r>
          <w:rPr>
            <w:noProof/>
            <w:webHidden/>
          </w:rPr>
          <w:fldChar w:fldCharType="separate"/>
        </w:r>
        <w:r>
          <w:rPr>
            <w:noProof/>
            <w:webHidden/>
          </w:rPr>
          <w:t>8</w:t>
        </w:r>
        <w:r>
          <w:rPr>
            <w:noProof/>
            <w:webHidden/>
          </w:rPr>
          <w:fldChar w:fldCharType="end"/>
        </w:r>
      </w:hyperlink>
    </w:p>
    <w:p w14:paraId="6CCE5036" w14:textId="0EBAB6F7"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18" w:history="1">
        <w:r w:rsidRPr="003E6812">
          <w:rPr>
            <w:rStyle w:val="Hyperlink"/>
            <w:noProof/>
          </w:rPr>
          <w:t>5. Program governance of the VRRP</w:t>
        </w:r>
        <w:r>
          <w:rPr>
            <w:noProof/>
            <w:webHidden/>
          </w:rPr>
          <w:tab/>
        </w:r>
        <w:r>
          <w:rPr>
            <w:noProof/>
            <w:webHidden/>
          </w:rPr>
          <w:fldChar w:fldCharType="begin"/>
        </w:r>
        <w:r>
          <w:rPr>
            <w:noProof/>
            <w:webHidden/>
          </w:rPr>
          <w:instrText xml:space="preserve"> PAGEREF _Toc219735118 \h </w:instrText>
        </w:r>
        <w:r>
          <w:rPr>
            <w:noProof/>
            <w:webHidden/>
          </w:rPr>
        </w:r>
        <w:r>
          <w:rPr>
            <w:noProof/>
            <w:webHidden/>
          </w:rPr>
          <w:fldChar w:fldCharType="separate"/>
        </w:r>
        <w:r>
          <w:rPr>
            <w:noProof/>
            <w:webHidden/>
          </w:rPr>
          <w:t>9</w:t>
        </w:r>
        <w:r>
          <w:rPr>
            <w:noProof/>
            <w:webHidden/>
          </w:rPr>
          <w:fldChar w:fldCharType="end"/>
        </w:r>
      </w:hyperlink>
    </w:p>
    <w:p w14:paraId="41E81B9C" w14:textId="13643FFA"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19" w:history="1">
        <w:r w:rsidRPr="003E6812">
          <w:rPr>
            <w:rStyle w:val="Hyperlink"/>
            <w:noProof/>
          </w:rPr>
          <w:t>6. Renter media, campaigns, policy advocacy</w:t>
        </w:r>
        <w:r>
          <w:rPr>
            <w:noProof/>
            <w:webHidden/>
          </w:rPr>
          <w:tab/>
        </w:r>
        <w:r>
          <w:rPr>
            <w:noProof/>
            <w:webHidden/>
          </w:rPr>
          <w:fldChar w:fldCharType="begin"/>
        </w:r>
        <w:r>
          <w:rPr>
            <w:noProof/>
            <w:webHidden/>
          </w:rPr>
          <w:instrText xml:space="preserve"> PAGEREF _Toc219735119 \h </w:instrText>
        </w:r>
        <w:r>
          <w:rPr>
            <w:noProof/>
            <w:webHidden/>
          </w:rPr>
        </w:r>
        <w:r>
          <w:rPr>
            <w:noProof/>
            <w:webHidden/>
          </w:rPr>
          <w:fldChar w:fldCharType="separate"/>
        </w:r>
        <w:r>
          <w:rPr>
            <w:noProof/>
            <w:webHidden/>
          </w:rPr>
          <w:t>9</w:t>
        </w:r>
        <w:r>
          <w:rPr>
            <w:noProof/>
            <w:webHidden/>
          </w:rPr>
          <w:fldChar w:fldCharType="end"/>
        </w:r>
      </w:hyperlink>
    </w:p>
    <w:p w14:paraId="0077F596" w14:textId="2C7DE602"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20" w:history="1">
        <w:r w:rsidRPr="003E6812">
          <w:rPr>
            <w:rStyle w:val="Hyperlink"/>
            <w:noProof/>
          </w:rPr>
          <w:t>Renter campaigns and media</w:t>
        </w:r>
        <w:r>
          <w:rPr>
            <w:noProof/>
            <w:webHidden/>
          </w:rPr>
          <w:tab/>
        </w:r>
        <w:r>
          <w:rPr>
            <w:noProof/>
            <w:webHidden/>
          </w:rPr>
          <w:fldChar w:fldCharType="begin"/>
        </w:r>
        <w:r>
          <w:rPr>
            <w:noProof/>
            <w:webHidden/>
          </w:rPr>
          <w:instrText xml:space="preserve"> PAGEREF _Toc219735120 \h </w:instrText>
        </w:r>
        <w:r>
          <w:rPr>
            <w:noProof/>
            <w:webHidden/>
          </w:rPr>
        </w:r>
        <w:r>
          <w:rPr>
            <w:noProof/>
            <w:webHidden/>
          </w:rPr>
          <w:fldChar w:fldCharType="separate"/>
        </w:r>
        <w:r>
          <w:rPr>
            <w:noProof/>
            <w:webHidden/>
          </w:rPr>
          <w:t>9</w:t>
        </w:r>
        <w:r>
          <w:rPr>
            <w:noProof/>
            <w:webHidden/>
          </w:rPr>
          <w:fldChar w:fldCharType="end"/>
        </w:r>
      </w:hyperlink>
    </w:p>
    <w:p w14:paraId="15151AAA" w14:textId="591BEB0F"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21" w:history="1">
        <w:r w:rsidRPr="003E6812">
          <w:rPr>
            <w:rStyle w:val="Hyperlink"/>
            <w:noProof/>
          </w:rPr>
          <w:t>Renter policy and advocacy</w:t>
        </w:r>
        <w:r>
          <w:rPr>
            <w:noProof/>
            <w:webHidden/>
          </w:rPr>
          <w:tab/>
        </w:r>
        <w:r>
          <w:rPr>
            <w:noProof/>
            <w:webHidden/>
          </w:rPr>
          <w:fldChar w:fldCharType="begin"/>
        </w:r>
        <w:r>
          <w:rPr>
            <w:noProof/>
            <w:webHidden/>
          </w:rPr>
          <w:instrText xml:space="preserve"> PAGEREF _Toc219735121 \h </w:instrText>
        </w:r>
        <w:r>
          <w:rPr>
            <w:noProof/>
            <w:webHidden/>
          </w:rPr>
        </w:r>
        <w:r>
          <w:rPr>
            <w:noProof/>
            <w:webHidden/>
          </w:rPr>
          <w:fldChar w:fldCharType="separate"/>
        </w:r>
        <w:r>
          <w:rPr>
            <w:noProof/>
            <w:webHidden/>
          </w:rPr>
          <w:t>9</w:t>
        </w:r>
        <w:r>
          <w:rPr>
            <w:noProof/>
            <w:webHidden/>
          </w:rPr>
          <w:fldChar w:fldCharType="end"/>
        </w:r>
      </w:hyperlink>
    </w:p>
    <w:p w14:paraId="65ACB4D0" w14:textId="1A0FCE61"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22" w:history="1">
        <w:r w:rsidRPr="003E6812">
          <w:rPr>
            <w:rStyle w:val="Hyperlink"/>
            <w:noProof/>
          </w:rPr>
          <w:t>7. Program management</w:t>
        </w:r>
        <w:r>
          <w:rPr>
            <w:noProof/>
            <w:webHidden/>
          </w:rPr>
          <w:tab/>
        </w:r>
        <w:r>
          <w:rPr>
            <w:noProof/>
            <w:webHidden/>
          </w:rPr>
          <w:fldChar w:fldCharType="begin"/>
        </w:r>
        <w:r>
          <w:rPr>
            <w:noProof/>
            <w:webHidden/>
          </w:rPr>
          <w:instrText xml:space="preserve"> PAGEREF _Toc219735122 \h </w:instrText>
        </w:r>
        <w:r>
          <w:rPr>
            <w:noProof/>
            <w:webHidden/>
          </w:rPr>
        </w:r>
        <w:r>
          <w:rPr>
            <w:noProof/>
            <w:webHidden/>
          </w:rPr>
          <w:fldChar w:fldCharType="separate"/>
        </w:r>
        <w:r>
          <w:rPr>
            <w:noProof/>
            <w:webHidden/>
          </w:rPr>
          <w:t>10</w:t>
        </w:r>
        <w:r>
          <w:rPr>
            <w:noProof/>
            <w:webHidden/>
          </w:rPr>
          <w:fldChar w:fldCharType="end"/>
        </w:r>
      </w:hyperlink>
    </w:p>
    <w:p w14:paraId="2DA178BA" w14:textId="5439F3B8"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23" w:history="1">
        <w:r w:rsidRPr="003E6812">
          <w:rPr>
            <w:rStyle w:val="Hyperlink"/>
            <w:noProof/>
          </w:rPr>
          <w:t>Insurance</w:t>
        </w:r>
        <w:r>
          <w:rPr>
            <w:noProof/>
            <w:webHidden/>
          </w:rPr>
          <w:tab/>
        </w:r>
        <w:r>
          <w:rPr>
            <w:noProof/>
            <w:webHidden/>
          </w:rPr>
          <w:fldChar w:fldCharType="begin"/>
        </w:r>
        <w:r>
          <w:rPr>
            <w:noProof/>
            <w:webHidden/>
          </w:rPr>
          <w:instrText xml:space="preserve"> PAGEREF _Toc219735123 \h </w:instrText>
        </w:r>
        <w:r>
          <w:rPr>
            <w:noProof/>
            <w:webHidden/>
          </w:rPr>
        </w:r>
        <w:r>
          <w:rPr>
            <w:noProof/>
            <w:webHidden/>
          </w:rPr>
          <w:fldChar w:fldCharType="separate"/>
        </w:r>
        <w:r>
          <w:rPr>
            <w:noProof/>
            <w:webHidden/>
          </w:rPr>
          <w:t>10</w:t>
        </w:r>
        <w:r>
          <w:rPr>
            <w:noProof/>
            <w:webHidden/>
          </w:rPr>
          <w:fldChar w:fldCharType="end"/>
        </w:r>
      </w:hyperlink>
    </w:p>
    <w:p w14:paraId="26A13B9B" w14:textId="2FDC1136"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24" w:history="1">
        <w:r w:rsidRPr="003E6812">
          <w:rPr>
            <w:rStyle w:val="Hyperlink"/>
            <w:noProof/>
          </w:rPr>
          <w:t>Client satisfaction survey</w:t>
        </w:r>
        <w:r>
          <w:rPr>
            <w:noProof/>
            <w:webHidden/>
          </w:rPr>
          <w:tab/>
        </w:r>
        <w:r>
          <w:rPr>
            <w:noProof/>
            <w:webHidden/>
          </w:rPr>
          <w:fldChar w:fldCharType="begin"/>
        </w:r>
        <w:r>
          <w:rPr>
            <w:noProof/>
            <w:webHidden/>
          </w:rPr>
          <w:instrText xml:space="preserve"> PAGEREF _Toc219735124 \h </w:instrText>
        </w:r>
        <w:r>
          <w:rPr>
            <w:noProof/>
            <w:webHidden/>
          </w:rPr>
        </w:r>
        <w:r>
          <w:rPr>
            <w:noProof/>
            <w:webHidden/>
          </w:rPr>
          <w:fldChar w:fldCharType="separate"/>
        </w:r>
        <w:r>
          <w:rPr>
            <w:noProof/>
            <w:webHidden/>
          </w:rPr>
          <w:t>10</w:t>
        </w:r>
        <w:r>
          <w:rPr>
            <w:noProof/>
            <w:webHidden/>
          </w:rPr>
          <w:fldChar w:fldCharType="end"/>
        </w:r>
      </w:hyperlink>
    </w:p>
    <w:p w14:paraId="12788074" w14:textId="4993F7A4"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25" w:history="1">
        <w:r w:rsidRPr="003E6812">
          <w:rPr>
            <w:rStyle w:val="Hyperlink"/>
            <w:noProof/>
          </w:rPr>
          <w:t>Complaints handling</w:t>
        </w:r>
        <w:r>
          <w:rPr>
            <w:noProof/>
            <w:webHidden/>
          </w:rPr>
          <w:tab/>
        </w:r>
        <w:r>
          <w:rPr>
            <w:noProof/>
            <w:webHidden/>
          </w:rPr>
          <w:fldChar w:fldCharType="begin"/>
        </w:r>
        <w:r>
          <w:rPr>
            <w:noProof/>
            <w:webHidden/>
          </w:rPr>
          <w:instrText xml:space="preserve"> PAGEREF _Toc219735125 \h </w:instrText>
        </w:r>
        <w:r>
          <w:rPr>
            <w:noProof/>
            <w:webHidden/>
          </w:rPr>
        </w:r>
        <w:r>
          <w:rPr>
            <w:noProof/>
            <w:webHidden/>
          </w:rPr>
          <w:fldChar w:fldCharType="separate"/>
        </w:r>
        <w:r>
          <w:rPr>
            <w:noProof/>
            <w:webHidden/>
          </w:rPr>
          <w:t>10</w:t>
        </w:r>
        <w:r>
          <w:rPr>
            <w:noProof/>
            <w:webHidden/>
          </w:rPr>
          <w:fldChar w:fldCharType="end"/>
        </w:r>
      </w:hyperlink>
    </w:p>
    <w:p w14:paraId="33E49F22" w14:textId="50D5E944" w:rsidR="009D31D9" w:rsidRDefault="009D31D9">
      <w:pPr>
        <w:pStyle w:val="TOC2"/>
        <w:tabs>
          <w:tab w:val="right" w:leader="dot" w:pos="4149"/>
        </w:tabs>
        <w:rPr>
          <w:rFonts w:asciiTheme="minorHAnsi" w:eastAsiaTheme="minorEastAsia" w:hAnsiTheme="minorHAnsi"/>
          <w:noProof/>
          <w:sz w:val="24"/>
          <w:szCs w:val="24"/>
          <w:lang w:eastAsia="en-AU"/>
        </w:rPr>
      </w:pPr>
      <w:hyperlink w:anchor="_Toc219735126" w:history="1">
        <w:r w:rsidRPr="003E6812">
          <w:rPr>
            <w:rStyle w:val="Hyperlink"/>
            <w:noProof/>
          </w:rPr>
          <w:t>Privacy policy</w:t>
        </w:r>
        <w:r>
          <w:rPr>
            <w:noProof/>
            <w:webHidden/>
          </w:rPr>
          <w:tab/>
        </w:r>
        <w:r>
          <w:rPr>
            <w:noProof/>
            <w:webHidden/>
          </w:rPr>
          <w:fldChar w:fldCharType="begin"/>
        </w:r>
        <w:r>
          <w:rPr>
            <w:noProof/>
            <w:webHidden/>
          </w:rPr>
          <w:instrText xml:space="preserve"> PAGEREF _Toc219735126 \h </w:instrText>
        </w:r>
        <w:r>
          <w:rPr>
            <w:noProof/>
            <w:webHidden/>
          </w:rPr>
        </w:r>
        <w:r>
          <w:rPr>
            <w:noProof/>
            <w:webHidden/>
          </w:rPr>
          <w:fldChar w:fldCharType="separate"/>
        </w:r>
        <w:r>
          <w:rPr>
            <w:noProof/>
            <w:webHidden/>
          </w:rPr>
          <w:t>10</w:t>
        </w:r>
        <w:r>
          <w:rPr>
            <w:noProof/>
            <w:webHidden/>
          </w:rPr>
          <w:fldChar w:fldCharType="end"/>
        </w:r>
      </w:hyperlink>
    </w:p>
    <w:p w14:paraId="64B9AFA5" w14:textId="1D425326" w:rsidR="009D31D9" w:rsidRDefault="009D31D9">
      <w:pPr>
        <w:pStyle w:val="TOC1"/>
        <w:tabs>
          <w:tab w:val="right" w:leader="dot" w:pos="4149"/>
        </w:tabs>
        <w:rPr>
          <w:rFonts w:asciiTheme="minorHAnsi" w:eastAsiaTheme="minorEastAsia" w:hAnsiTheme="minorHAnsi"/>
          <w:b w:val="0"/>
          <w:noProof/>
          <w:color w:val="auto"/>
          <w:sz w:val="24"/>
          <w:szCs w:val="24"/>
          <w:lang w:eastAsia="en-AU"/>
        </w:rPr>
      </w:pPr>
      <w:hyperlink w:anchor="_Toc219735127" w:history="1">
        <w:r w:rsidRPr="003E6812">
          <w:rPr>
            <w:rStyle w:val="Hyperlink"/>
            <w:noProof/>
          </w:rPr>
          <w:t>8. Reporting requirements</w:t>
        </w:r>
        <w:r>
          <w:rPr>
            <w:noProof/>
            <w:webHidden/>
          </w:rPr>
          <w:tab/>
        </w:r>
        <w:r>
          <w:rPr>
            <w:noProof/>
            <w:webHidden/>
          </w:rPr>
          <w:fldChar w:fldCharType="begin"/>
        </w:r>
        <w:r>
          <w:rPr>
            <w:noProof/>
            <w:webHidden/>
          </w:rPr>
          <w:instrText xml:space="preserve"> PAGEREF _Toc219735127 \h </w:instrText>
        </w:r>
        <w:r>
          <w:rPr>
            <w:noProof/>
            <w:webHidden/>
          </w:rPr>
        </w:r>
        <w:r>
          <w:rPr>
            <w:noProof/>
            <w:webHidden/>
          </w:rPr>
          <w:fldChar w:fldCharType="separate"/>
        </w:r>
        <w:r>
          <w:rPr>
            <w:noProof/>
            <w:webHidden/>
          </w:rPr>
          <w:t>11</w:t>
        </w:r>
        <w:r>
          <w:rPr>
            <w:noProof/>
            <w:webHidden/>
          </w:rPr>
          <w:fldChar w:fldCharType="end"/>
        </w:r>
      </w:hyperlink>
    </w:p>
    <w:p w14:paraId="2E37D47B" w14:textId="4294340B" w:rsidR="00C50D19" w:rsidRDefault="00942B52" w:rsidP="00D45D10">
      <w:r>
        <w:fldChar w:fldCharType="end"/>
      </w:r>
      <w:r w:rsidR="00C50D19">
        <w:br w:type="page"/>
      </w:r>
    </w:p>
    <w:p w14:paraId="34D2F43B" w14:textId="77777777" w:rsidR="0030700B" w:rsidRDefault="0030700B" w:rsidP="00D45D10">
      <w:pPr>
        <w:pStyle w:val="Heading1"/>
        <w:sectPr w:rsidR="0030700B" w:rsidSect="000D0670">
          <w:type w:val="continuous"/>
          <w:pgSz w:w="11906" w:h="16838"/>
          <w:pgMar w:top="1366" w:right="1440" w:bottom="1440" w:left="1440" w:header="794" w:footer="709" w:gutter="0"/>
          <w:cols w:num="2" w:space="708"/>
          <w:docGrid w:linePitch="360"/>
        </w:sectPr>
      </w:pPr>
      <w:bookmarkStart w:id="1" w:name="_Toc213323982"/>
    </w:p>
    <w:p w14:paraId="608A2701" w14:textId="38230584" w:rsidR="001D38BD" w:rsidRPr="001D38BD" w:rsidRDefault="001D38BD" w:rsidP="00D45D10">
      <w:pPr>
        <w:pStyle w:val="Heading1"/>
      </w:pPr>
      <w:bookmarkStart w:id="2" w:name="_Toc219735102"/>
      <w:r>
        <w:lastRenderedPageBreak/>
        <w:t xml:space="preserve">1. </w:t>
      </w:r>
      <w:r w:rsidRPr="001D38BD">
        <w:t>About the R</w:t>
      </w:r>
      <w:r w:rsidR="00C321D3">
        <w:t>C</w:t>
      </w:r>
      <w:r w:rsidRPr="001D38BD">
        <w:t>S Guidelines</w:t>
      </w:r>
      <w:bookmarkEnd w:id="1"/>
      <w:bookmarkEnd w:id="2"/>
    </w:p>
    <w:p w14:paraId="08656FDA" w14:textId="77777777" w:rsidR="00E52F85" w:rsidRDefault="00E52F85" w:rsidP="00D45D10">
      <w:pPr>
        <w:sectPr w:rsidR="00E52F85" w:rsidSect="000D0670">
          <w:headerReference w:type="default" r:id="rId19"/>
          <w:type w:val="continuous"/>
          <w:pgSz w:w="11906" w:h="16838"/>
          <w:pgMar w:top="1366" w:right="1440" w:bottom="1440" w:left="1440" w:header="794" w:footer="709" w:gutter="0"/>
          <w:cols w:space="708"/>
          <w:docGrid w:linePitch="360"/>
        </w:sectPr>
      </w:pPr>
    </w:p>
    <w:p w14:paraId="51893927" w14:textId="77777777" w:rsidR="00D16FF5" w:rsidRDefault="00D16FF5" w:rsidP="00D16FF5">
      <w:r>
        <w:t>The Renter Central Service Program Guidelines (RCS Guidelines) define and describe the role and responsibilities of the Provider funded by Consumer Affairs Victoria (CAV) to provide rental support to renters and community workers.</w:t>
      </w:r>
    </w:p>
    <w:p w14:paraId="1862613E" w14:textId="0448DE87" w:rsidR="00D16FF5" w:rsidRDefault="00D16FF5" w:rsidP="00D16FF5">
      <w:r>
        <w:t>The RCS Guidelines are the contractual service and reporting requirements of the RCS and form part of the terms and conditions of the funding agreement for delivery of the RCS to be entered by CAV and the agency (Funding Agreement).</w:t>
      </w:r>
    </w:p>
    <w:p w14:paraId="59E975D1" w14:textId="6EF44A34" w:rsidR="00402EB7" w:rsidRDefault="00402EB7" w:rsidP="00D16FF5">
      <w:r w:rsidRPr="005C2C77">
        <w:rPr>
          <w:b/>
          <w:bCs/>
        </w:rPr>
        <w:t>Note:</w:t>
      </w:r>
      <w:r w:rsidRPr="00402EB7">
        <w:t xml:space="preserve"> All </w:t>
      </w:r>
      <w:proofErr w:type="gramStart"/>
      <w:r w:rsidRPr="00402EB7">
        <w:t>guidelines</w:t>
      </w:r>
      <w:proofErr w:type="gramEnd"/>
      <w:r w:rsidRPr="00402EB7">
        <w:t xml:space="preserve"> documents are available to download at </w:t>
      </w:r>
      <w:hyperlink r:id="rId20" w:history="1">
        <w:r w:rsidRPr="00E82A80">
          <w:rPr>
            <w:rStyle w:val="Hyperlink"/>
          </w:rPr>
          <w:t>consumer.vic.gov.au/renter-rights</w:t>
        </w:r>
      </w:hyperlink>
      <w:r w:rsidRPr="00402EB7">
        <w:t>.</w:t>
      </w:r>
    </w:p>
    <w:p w14:paraId="1139335C" w14:textId="77777777" w:rsidR="00D16FF5" w:rsidRDefault="00D16FF5" w:rsidP="00D16FF5">
      <w:r>
        <w:t>The RCS Guidelines describe:</w:t>
      </w:r>
    </w:p>
    <w:p w14:paraId="21AC0C0B" w14:textId="77777777" w:rsidR="00D16FF5" w:rsidRDefault="00D16FF5" w:rsidP="00D16FF5">
      <w:pPr>
        <w:pStyle w:val="ListParagraph"/>
        <w:numPr>
          <w:ilvl w:val="0"/>
          <w:numId w:val="23"/>
        </w:numPr>
      </w:pPr>
      <w:r>
        <w:t>the purpose and operation of the RCS</w:t>
      </w:r>
    </w:p>
    <w:p w14:paraId="4A33D3B9" w14:textId="77777777" w:rsidR="00D16FF5" w:rsidRDefault="00D16FF5" w:rsidP="00D16FF5">
      <w:pPr>
        <w:pStyle w:val="ListParagraph"/>
        <w:numPr>
          <w:ilvl w:val="0"/>
          <w:numId w:val="23"/>
        </w:numPr>
      </w:pPr>
      <w:r>
        <w:t>RCS service components</w:t>
      </w:r>
    </w:p>
    <w:p w14:paraId="52DD5FA2" w14:textId="5E41C1D6" w:rsidR="00D16FF5" w:rsidRDefault="00D16FF5" w:rsidP="00D16FF5">
      <w:pPr>
        <w:pStyle w:val="ListParagraph"/>
        <w:numPr>
          <w:ilvl w:val="0"/>
          <w:numId w:val="23"/>
        </w:numPr>
      </w:pPr>
      <w:r>
        <w:t>Referrals</w:t>
      </w:r>
    </w:p>
    <w:p w14:paraId="4701BB8F" w14:textId="77777777" w:rsidR="00D16FF5" w:rsidRDefault="00D16FF5" w:rsidP="00D16FF5">
      <w:pPr>
        <w:pStyle w:val="ListParagraph"/>
        <w:numPr>
          <w:ilvl w:val="0"/>
          <w:numId w:val="23"/>
        </w:numPr>
      </w:pPr>
      <w:r>
        <w:t>CAV’s program management</w:t>
      </w:r>
    </w:p>
    <w:p w14:paraId="5DC3FEE8" w14:textId="77777777" w:rsidR="00D16FF5" w:rsidRDefault="00D16FF5" w:rsidP="00D16FF5">
      <w:pPr>
        <w:pStyle w:val="ListParagraph"/>
        <w:numPr>
          <w:ilvl w:val="0"/>
          <w:numId w:val="23"/>
        </w:numPr>
      </w:pPr>
      <w:r>
        <w:t>reporting requirements</w:t>
      </w:r>
    </w:p>
    <w:p w14:paraId="77153B7D" w14:textId="580BF507" w:rsidR="00D16FF5" w:rsidRDefault="00D16FF5" w:rsidP="00D16FF5">
      <w:pPr>
        <w:pStyle w:val="ListParagraph"/>
        <w:numPr>
          <w:ilvl w:val="0"/>
          <w:numId w:val="23"/>
        </w:numPr>
      </w:pPr>
      <w:r>
        <w:t>payments and service hours.</w:t>
      </w:r>
    </w:p>
    <w:p w14:paraId="04981E41" w14:textId="06C3B560" w:rsidR="00D16FF5" w:rsidRDefault="003E0D63" w:rsidP="00D16FF5">
      <w:r>
        <w:br w:type="column"/>
      </w:r>
      <w:r w:rsidR="00D16FF5">
        <w:t>The RCS Guidelines may be updated by CAV from time to time to reflect current service requirements and practices. CAV will notify the provider whenever the RCS Guidelines are revised and make the latest version available.</w:t>
      </w:r>
    </w:p>
    <w:p w14:paraId="5ACD5032" w14:textId="77777777" w:rsidR="00D16FF5" w:rsidRDefault="00D16FF5" w:rsidP="00D16FF5">
      <w:r>
        <w:t>The RCS Guidelines should be read in association with:</w:t>
      </w:r>
    </w:p>
    <w:p w14:paraId="249C71D9" w14:textId="70D05D61" w:rsidR="00D16FF5" w:rsidRPr="005323CD" w:rsidRDefault="00D16FF5" w:rsidP="00D16FF5">
      <w:pPr>
        <w:pStyle w:val="ListParagraph"/>
        <w:numPr>
          <w:ilvl w:val="0"/>
          <w:numId w:val="24"/>
        </w:numPr>
      </w:pPr>
      <w:r w:rsidRPr="005323CD">
        <w:t xml:space="preserve">the </w:t>
      </w:r>
      <w:r w:rsidR="00245B34" w:rsidRPr="005323CD">
        <w:t xml:space="preserve">RCS </w:t>
      </w:r>
      <w:r w:rsidR="00F60C0B" w:rsidRPr="005323CD">
        <w:t>Request for Service</w:t>
      </w:r>
      <w:r w:rsidR="00245B34" w:rsidRPr="005323CD">
        <w:t xml:space="preserve"> guidelines</w:t>
      </w:r>
    </w:p>
    <w:p w14:paraId="1004C8E2" w14:textId="7A8D89E0" w:rsidR="00D16FF5" w:rsidRDefault="00B50802" w:rsidP="00D16FF5">
      <w:pPr>
        <w:pStyle w:val="ListParagraph"/>
        <w:numPr>
          <w:ilvl w:val="0"/>
          <w:numId w:val="24"/>
        </w:numPr>
      </w:pPr>
      <w:r>
        <w:t>t</w:t>
      </w:r>
      <w:r w:rsidR="00D16FF5">
        <w:t>he service delivery requirements listed in Table 1 on the following page</w:t>
      </w:r>
    </w:p>
    <w:p w14:paraId="34C21465" w14:textId="47F8A75B" w:rsidR="00D16FF5" w:rsidRDefault="00D16FF5" w:rsidP="00D16860">
      <w:pPr>
        <w:pStyle w:val="ListParagraph"/>
        <w:numPr>
          <w:ilvl w:val="0"/>
          <w:numId w:val="0"/>
        </w:numPr>
        <w:ind w:left="720"/>
      </w:pPr>
    </w:p>
    <w:p w14:paraId="293B1A0E" w14:textId="3025E124" w:rsidR="00D1499F" w:rsidRDefault="00D1499F">
      <w:r>
        <w:br w:type="page"/>
      </w:r>
    </w:p>
    <w:p w14:paraId="7C4B837F" w14:textId="77777777" w:rsidR="002F2AE0" w:rsidRDefault="002F2AE0" w:rsidP="00884737">
      <w:pPr>
        <w:pStyle w:val="Heading2"/>
        <w:sectPr w:rsidR="002F2AE0" w:rsidSect="000D0670">
          <w:type w:val="continuous"/>
          <w:pgSz w:w="11906" w:h="16838"/>
          <w:pgMar w:top="1366" w:right="1440" w:bottom="1440" w:left="1440" w:header="794" w:footer="709" w:gutter="0"/>
          <w:cols w:num="2" w:space="708"/>
          <w:docGrid w:linePitch="360"/>
        </w:sectPr>
      </w:pPr>
    </w:p>
    <w:p w14:paraId="383AE2AB" w14:textId="4DB9C5F0" w:rsidR="00D1499F" w:rsidRDefault="00884737" w:rsidP="00884737">
      <w:pPr>
        <w:pStyle w:val="Heading2"/>
      </w:pPr>
      <w:bookmarkStart w:id="3" w:name="_Toc219735103"/>
      <w:r w:rsidRPr="00884737">
        <w:lastRenderedPageBreak/>
        <w:t>Table 1: R</w:t>
      </w:r>
      <w:r w:rsidR="00424753">
        <w:t>C</w:t>
      </w:r>
      <w:r w:rsidRPr="00884737">
        <w:t>S – Service delivery requirements</w:t>
      </w:r>
      <w:bookmarkEnd w:id="3"/>
    </w:p>
    <w:tbl>
      <w:tblPr>
        <w:tblStyle w:val="GridTable4-Accent1"/>
        <w:tblW w:w="0" w:type="auto"/>
        <w:tblLook w:val="04A0" w:firstRow="1" w:lastRow="0" w:firstColumn="1" w:lastColumn="0" w:noHBand="0" w:noVBand="1"/>
      </w:tblPr>
      <w:tblGrid>
        <w:gridCol w:w="704"/>
        <w:gridCol w:w="8312"/>
      </w:tblGrid>
      <w:tr w:rsidR="0051214D" w14:paraId="47D806DB" w14:textId="77777777" w:rsidTr="0097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BDD1207" w14:textId="2AD8A149" w:rsidR="0051214D" w:rsidRDefault="007C245A" w:rsidP="002F2AE0">
            <w:r>
              <w:t>No.</w:t>
            </w:r>
          </w:p>
        </w:tc>
        <w:tc>
          <w:tcPr>
            <w:tcW w:w="8312" w:type="dxa"/>
          </w:tcPr>
          <w:p w14:paraId="4B0988F5" w14:textId="2D7DFF76" w:rsidR="0051214D" w:rsidRDefault="007C245A" w:rsidP="002F2AE0">
            <w:pPr>
              <w:cnfStyle w:val="100000000000" w:firstRow="1" w:lastRow="0" w:firstColumn="0" w:lastColumn="0" w:oddVBand="0" w:evenVBand="0" w:oddHBand="0" w:evenHBand="0" w:firstRowFirstColumn="0" w:firstRowLastColumn="0" w:lastRowFirstColumn="0" w:lastRowLastColumn="0"/>
            </w:pPr>
            <w:r>
              <w:t>Service delivery requirement</w:t>
            </w:r>
          </w:p>
        </w:tc>
      </w:tr>
      <w:tr w:rsidR="00424753" w14:paraId="1A946DBD"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8BCFF5" w14:textId="33F76428" w:rsidR="00424753" w:rsidRDefault="00424753" w:rsidP="00424753">
            <w:r w:rsidRPr="00D9390F">
              <w:t>1</w:t>
            </w:r>
          </w:p>
        </w:tc>
        <w:tc>
          <w:tcPr>
            <w:tcW w:w="8312" w:type="dxa"/>
          </w:tcPr>
          <w:p w14:paraId="1FB5C006" w14:textId="65E3A978" w:rsidR="00424753" w:rsidRDefault="00424753" w:rsidP="00424753">
            <w:pPr>
              <w:cnfStyle w:val="000000100000" w:firstRow="0" w:lastRow="0" w:firstColumn="0" w:lastColumn="0" w:oddVBand="0" w:evenVBand="0" w:oddHBand="1" w:evenHBand="0" w:firstRowFirstColumn="0" w:firstRowLastColumn="0" w:lastRowFirstColumn="0" w:lastRowLastColumn="0"/>
            </w:pPr>
            <w:r w:rsidRPr="00151978">
              <w:t>The Provider must operate in accordance with the program objectives set out in section 2 of the RCS Guidelines.</w:t>
            </w:r>
          </w:p>
        </w:tc>
      </w:tr>
      <w:tr w:rsidR="00424753" w14:paraId="182B06BB"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4E10412B" w14:textId="71D2BD95" w:rsidR="00424753" w:rsidRDefault="00424753" w:rsidP="00424753">
            <w:r>
              <w:t>2</w:t>
            </w:r>
          </w:p>
        </w:tc>
        <w:tc>
          <w:tcPr>
            <w:tcW w:w="8312" w:type="dxa"/>
          </w:tcPr>
          <w:p w14:paraId="60A0E982" w14:textId="69E945C8" w:rsidR="00424753" w:rsidRDefault="00424753" w:rsidP="00424753">
            <w:pPr>
              <w:cnfStyle w:val="000000000000" w:firstRow="0" w:lastRow="0" w:firstColumn="0" w:lastColumn="0" w:oddVBand="0" w:evenVBand="0" w:oddHBand="0" w:evenHBand="0" w:firstRowFirstColumn="0" w:firstRowLastColumn="0" w:lastRowFirstColumn="0" w:lastRowLastColumn="0"/>
            </w:pPr>
            <w:r w:rsidRPr="00151978">
              <w:t>The Provider must provide and report on the Renter Support Service set out in Section 3 of the RCS Guidelines.</w:t>
            </w:r>
          </w:p>
        </w:tc>
      </w:tr>
      <w:tr w:rsidR="00424753" w14:paraId="60DA1DEE"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7C55832" w14:textId="2AC2CA82" w:rsidR="00424753" w:rsidRDefault="00424753" w:rsidP="00424753">
            <w:r>
              <w:t>3</w:t>
            </w:r>
          </w:p>
        </w:tc>
        <w:tc>
          <w:tcPr>
            <w:tcW w:w="8312" w:type="dxa"/>
          </w:tcPr>
          <w:p w14:paraId="68D57AEF" w14:textId="35270271" w:rsidR="00424753" w:rsidRDefault="00424753" w:rsidP="00424753">
            <w:pPr>
              <w:cnfStyle w:val="000000100000" w:firstRow="0" w:lastRow="0" w:firstColumn="0" w:lastColumn="0" w:oddVBand="0" w:evenVBand="0" w:oddHBand="1" w:evenHBand="0" w:firstRowFirstColumn="0" w:firstRowLastColumn="0" w:lastRowFirstColumn="0" w:lastRowLastColumn="0"/>
            </w:pPr>
            <w:r w:rsidRPr="00151978">
              <w:t>The Provider must provide and report on professional development for VRRP workers set out in Section 4 of the RCS Guidelines.</w:t>
            </w:r>
          </w:p>
        </w:tc>
      </w:tr>
      <w:tr w:rsidR="00424753" w14:paraId="139FC0ED"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784D14F2" w14:textId="59A7428C" w:rsidR="00424753" w:rsidRDefault="00424753" w:rsidP="00424753">
            <w:r>
              <w:t>4</w:t>
            </w:r>
          </w:p>
        </w:tc>
        <w:tc>
          <w:tcPr>
            <w:tcW w:w="8312" w:type="dxa"/>
          </w:tcPr>
          <w:p w14:paraId="40298352" w14:textId="34957B66" w:rsidR="00424753" w:rsidRDefault="00424753" w:rsidP="00424753">
            <w:pPr>
              <w:cnfStyle w:val="000000000000" w:firstRow="0" w:lastRow="0" w:firstColumn="0" w:lastColumn="0" w:oddVBand="0" w:evenVBand="0" w:oddHBand="0" w:evenHBand="0" w:firstRowFirstColumn="0" w:firstRowLastColumn="0" w:lastRowFirstColumn="0" w:lastRowLastColumn="0"/>
            </w:pPr>
            <w:r w:rsidRPr="00151978">
              <w:t>The Provider must provide and report on program governance of renter services programs set out in Section 5 of the RCS Guidelines.</w:t>
            </w:r>
          </w:p>
        </w:tc>
      </w:tr>
      <w:tr w:rsidR="00424753" w14:paraId="3F8C5616"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D6F9D9" w14:textId="1A3897BA" w:rsidR="00424753" w:rsidRDefault="00424753" w:rsidP="00424753">
            <w:r>
              <w:t>5</w:t>
            </w:r>
          </w:p>
        </w:tc>
        <w:tc>
          <w:tcPr>
            <w:tcW w:w="8312" w:type="dxa"/>
          </w:tcPr>
          <w:p w14:paraId="533BFE01" w14:textId="65ABC36E" w:rsidR="00424753" w:rsidRDefault="00424753" w:rsidP="00424753">
            <w:pPr>
              <w:cnfStyle w:val="000000100000" w:firstRow="0" w:lastRow="0" w:firstColumn="0" w:lastColumn="0" w:oddVBand="0" w:evenVBand="0" w:oddHBand="1" w:evenHBand="0" w:firstRowFirstColumn="0" w:firstRowLastColumn="0" w:lastRowFirstColumn="0" w:lastRowLastColumn="0"/>
            </w:pPr>
            <w:r w:rsidRPr="00151978">
              <w:t>The Provider must provide and report on the renting media, campaigns, advocacy and policy requirements set out in Section 6 of the RCS Guidelines.</w:t>
            </w:r>
          </w:p>
        </w:tc>
      </w:tr>
      <w:tr w:rsidR="003E0D63" w14:paraId="12B8B3FC"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3D59DE30" w14:textId="26CA197B" w:rsidR="003E0D63" w:rsidRDefault="003E0D63" w:rsidP="00424753">
            <w:r>
              <w:t>6</w:t>
            </w:r>
          </w:p>
        </w:tc>
        <w:tc>
          <w:tcPr>
            <w:tcW w:w="8312" w:type="dxa"/>
          </w:tcPr>
          <w:p w14:paraId="3BADB9AB" w14:textId="016A0771" w:rsidR="003E0D63" w:rsidRPr="00151978" w:rsidRDefault="003E0D63" w:rsidP="00424753">
            <w:pPr>
              <w:cnfStyle w:val="000000000000" w:firstRow="0" w:lastRow="0" w:firstColumn="0" w:lastColumn="0" w:oddVBand="0" w:evenVBand="0" w:oddHBand="0" w:evenHBand="0" w:firstRowFirstColumn="0" w:firstRowLastColumn="0" w:lastRowFirstColumn="0" w:lastRowLastColumn="0"/>
            </w:pPr>
            <w:r>
              <w:t>The Provider must comply with the program management requirements set out in Section 7 of the RCS Guidelines.</w:t>
            </w:r>
          </w:p>
        </w:tc>
      </w:tr>
      <w:tr w:rsidR="00424753" w14:paraId="1C4FF528"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1D4348" w14:textId="5D587D41" w:rsidR="00424753" w:rsidRDefault="003E0D63" w:rsidP="00424753">
            <w:r>
              <w:t>7</w:t>
            </w:r>
          </w:p>
        </w:tc>
        <w:tc>
          <w:tcPr>
            <w:tcW w:w="8312" w:type="dxa"/>
          </w:tcPr>
          <w:p w14:paraId="13AAD8E8" w14:textId="097548D4" w:rsidR="00424753" w:rsidRDefault="00424753" w:rsidP="00424753">
            <w:pPr>
              <w:cnfStyle w:val="000000100000" w:firstRow="0" w:lastRow="0" w:firstColumn="0" w:lastColumn="0" w:oddVBand="0" w:evenVBand="0" w:oddHBand="1" w:evenHBand="0" w:firstRowFirstColumn="0" w:firstRowLastColumn="0" w:lastRowFirstColumn="0" w:lastRowLastColumn="0"/>
            </w:pPr>
            <w:r w:rsidRPr="00151978">
              <w:t>The Provider must comply with the reporting requirements set out in Section 8 of the RCS Service Requirements.</w:t>
            </w:r>
          </w:p>
        </w:tc>
      </w:tr>
    </w:tbl>
    <w:p w14:paraId="091AF471" w14:textId="77777777" w:rsidR="002F2AE0" w:rsidRDefault="002F2AE0" w:rsidP="002F2AE0"/>
    <w:p w14:paraId="4020946B" w14:textId="77777777" w:rsidR="003655B4" w:rsidRDefault="003655B4" w:rsidP="002F2AE0">
      <w:pPr>
        <w:sectPr w:rsidR="003655B4" w:rsidSect="000D0670">
          <w:type w:val="continuous"/>
          <w:pgSz w:w="11906" w:h="16838"/>
          <w:pgMar w:top="1366" w:right="1440" w:bottom="1440" w:left="1440" w:header="794" w:footer="709" w:gutter="0"/>
          <w:cols w:space="708"/>
          <w:docGrid w:linePitch="360"/>
        </w:sectPr>
      </w:pPr>
    </w:p>
    <w:p w14:paraId="0782EC2D" w14:textId="77777777" w:rsidR="000D0670" w:rsidRDefault="000D0670" w:rsidP="007D6A05">
      <w:pPr>
        <w:pStyle w:val="Heading2"/>
        <w:sectPr w:rsidR="000D0670" w:rsidSect="000D0670">
          <w:type w:val="continuous"/>
          <w:pgSz w:w="11906" w:h="16838"/>
          <w:pgMar w:top="1366" w:right="1440" w:bottom="1440" w:left="1440" w:header="794" w:footer="709" w:gutter="0"/>
          <w:cols w:num="2" w:space="708"/>
          <w:docGrid w:linePitch="360"/>
        </w:sectPr>
      </w:pPr>
    </w:p>
    <w:p w14:paraId="29C6946A" w14:textId="3C7D28E7" w:rsidR="006B178A" w:rsidRPr="001D38BD" w:rsidRDefault="0018138B" w:rsidP="006B178A">
      <w:pPr>
        <w:pStyle w:val="Heading1"/>
      </w:pPr>
      <w:bookmarkStart w:id="4" w:name="_Toc219735104"/>
      <w:r>
        <w:lastRenderedPageBreak/>
        <w:t xml:space="preserve">2. </w:t>
      </w:r>
      <w:r w:rsidR="006B178A">
        <w:t xml:space="preserve">Introduction to the </w:t>
      </w:r>
      <w:r w:rsidR="00424753">
        <w:t>RCS</w:t>
      </w:r>
      <w:bookmarkEnd w:id="4"/>
    </w:p>
    <w:p w14:paraId="4238770F" w14:textId="77777777" w:rsidR="006B178A" w:rsidRDefault="006B178A" w:rsidP="006B178A">
      <w:pPr>
        <w:pStyle w:val="Heading2"/>
      </w:pPr>
      <w:bookmarkStart w:id="5" w:name="_Toc218781386"/>
      <w:bookmarkStart w:id="6" w:name="_Toc219735105"/>
      <w:r>
        <w:t>Overview</w:t>
      </w:r>
      <w:bookmarkEnd w:id="5"/>
      <w:bookmarkEnd w:id="6"/>
    </w:p>
    <w:p w14:paraId="0B3C4F0C" w14:textId="22EF565B" w:rsidR="006B178A" w:rsidRDefault="006B178A" w:rsidP="006B178A">
      <w:r>
        <w:t xml:space="preserve">The Victorian Renter Rights Program supports disadvantaged and vulnerable renters and older people most at risk of </w:t>
      </w:r>
      <w:r w:rsidR="00F4464E">
        <w:t>renting</w:t>
      </w:r>
      <w:r>
        <w:t xml:space="preserve"> issues. There are four components:</w:t>
      </w:r>
    </w:p>
    <w:p w14:paraId="23B1359C" w14:textId="77777777" w:rsidR="006B178A" w:rsidRDefault="006B178A" w:rsidP="006B178A">
      <w:pPr>
        <w:pStyle w:val="ListParagraph"/>
        <w:numPr>
          <w:ilvl w:val="0"/>
          <w:numId w:val="7"/>
        </w:numPr>
      </w:pPr>
      <w:r>
        <w:t>Renter Rights Service (RRS)</w:t>
      </w:r>
    </w:p>
    <w:p w14:paraId="606268A1" w14:textId="77777777" w:rsidR="006B178A" w:rsidRDefault="006B178A" w:rsidP="006B178A">
      <w:pPr>
        <w:pStyle w:val="ListParagraph"/>
        <w:numPr>
          <w:ilvl w:val="0"/>
          <w:numId w:val="7"/>
        </w:numPr>
      </w:pPr>
      <w:r>
        <w:t>Renter Central Service (RCS)</w:t>
      </w:r>
    </w:p>
    <w:p w14:paraId="3A54C2DA" w14:textId="77777777" w:rsidR="006B178A" w:rsidRDefault="006B178A" w:rsidP="006B178A">
      <w:pPr>
        <w:pStyle w:val="ListParagraph"/>
        <w:numPr>
          <w:ilvl w:val="0"/>
          <w:numId w:val="7"/>
        </w:numPr>
      </w:pPr>
      <w:r>
        <w:t xml:space="preserve">Older Persons Housing Rights Service (OPHRS) </w:t>
      </w:r>
    </w:p>
    <w:p w14:paraId="60C40148" w14:textId="77777777" w:rsidR="006B178A" w:rsidRDefault="006B178A" w:rsidP="006B178A">
      <w:pPr>
        <w:pStyle w:val="ListParagraph"/>
        <w:numPr>
          <w:ilvl w:val="0"/>
          <w:numId w:val="7"/>
        </w:numPr>
      </w:pPr>
      <w:r>
        <w:t>Victorian Renters Helpline (VRH)</w:t>
      </w:r>
    </w:p>
    <w:p w14:paraId="63F8D8A9" w14:textId="1FAD100B" w:rsidR="006B178A" w:rsidRDefault="007C33C2" w:rsidP="001779E9">
      <w:r w:rsidRPr="007C33C2">
        <w:t xml:space="preserve">The RCS is a state-wide service that supports vulnerable and disadvantaged Victorian renters by providing specialist rental advice, advocacy and training to community workers. </w:t>
      </w:r>
      <w:r w:rsidR="006B178A">
        <w:br w:type="column"/>
      </w:r>
      <w:bookmarkStart w:id="7" w:name="_Toc218781387"/>
      <w:r w:rsidR="006B178A" w:rsidRPr="00CA4375">
        <w:rPr>
          <w:rStyle w:val="Heading2Char"/>
        </w:rPr>
        <w:t>The VRRP’s objective</w:t>
      </w:r>
      <w:bookmarkEnd w:id="7"/>
    </w:p>
    <w:p w14:paraId="5C9CA4DC" w14:textId="77777777" w:rsidR="006B178A" w:rsidRDefault="006B178A" w:rsidP="006B178A">
      <w:r>
        <w:t xml:space="preserve">The objective of the VRRP is to keep Victorians in safe and secure housing. </w:t>
      </w:r>
    </w:p>
    <w:p w14:paraId="006D611F" w14:textId="77777777" w:rsidR="006B178A" w:rsidRDefault="006B178A" w:rsidP="006B178A"/>
    <w:p w14:paraId="7F338387" w14:textId="78D9C4F9" w:rsidR="006B178A" w:rsidRDefault="00B67094" w:rsidP="006B178A">
      <w:pPr>
        <w:pStyle w:val="Heading2"/>
      </w:pPr>
      <w:bookmarkStart w:id="8" w:name="_Toc218781388"/>
      <w:bookmarkStart w:id="9" w:name="_Toc219735106"/>
      <w:r>
        <w:t>RCS</w:t>
      </w:r>
      <w:r w:rsidR="006B178A">
        <w:t xml:space="preserve"> service model</w:t>
      </w:r>
      <w:bookmarkEnd w:id="8"/>
      <w:bookmarkEnd w:id="9"/>
    </w:p>
    <w:p w14:paraId="5000743B" w14:textId="52D09DD3" w:rsidR="00443A8D" w:rsidRDefault="00443A8D" w:rsidP="00443A8D">
      <w:r>
        <w:t>The RCS service model is designed to complement and strengthen the existing rental support sector. The RCS service model details the service components provided by the RCS. The components of the RCS are:</w:t>
      </w:r>
    </w:p>
    <w:p w14:paraId="66DE19D8" w14:textId="28438D68" w:rsidR="004D7665" w:rsidRDefault="00443A8D" w:rsidP="004D7665">
      <w:pPr>
        <w:pStyle w:val="ListParagraph"/>
        <w:numPr>
          <w:ilvl w:val="0"/>
          <w:numId w:val="7"/>
        </w:numPr>
      </w:pPr>
      <w:r>
        <w:t>The Renter Support Service</w:t>
      </w:r>
      <w:r w:rsidR="006D6ED8">
        <w:t xml:space="preserve"> </w:t>
      </w:r>
      <w:r w:rsidR="0083153B">
        <w:t>(</w:t>
      </w:r>
      <w:r w:rsidR="00012AD7">
        <w:t>worker advice, specialist legal advice</w:t>
      </w:r>
      <w:r w:rsidR="00B62CED">
        <w:t xml:space="preserve"> for renters</w:t>
      </w:r>
      <w:r w:rsidR="00012AD7">
        <w:t>,</w:t>
      </w:r>
      <w:r w:rsidR="00E66AE3">
        <w:t xml:space="preserve"> referral coordination,</w:t>
      </w:r>
      <w:r w:rsidR="001C7B47">
        <w:t xml:space="preserve"> support for multicultural renters and </w:t>
      </w:r>
      <w:r w:rsidR="000275B8">
        <w:t>communities of practice)</w:t>
      </w:r>
    </w:p>
    <w:p w14:paraId="5D51A3AF" w14:textId="01F86BE8" w:rsidR="00443A8D" w:rsidRDefault="00443A8D" w:rsidP="004D7665">
      <w:pPr>
        <w:pStyle w:val="ListParagraph"/>
        <w:numPr>
          <w:ilvl w:val="0"/>
          <w:numId w:val="7"/>
        </w:numPr>
      </w:pPr>
      <w:r>
        <w:t xml:space="preserve">Professional development </w:t>
      </w:r>
      <w:r w:rsidR="00296691">
        <w:t>provision</w:t>
      </w:r>
    </w:p>
    <w:p w14:paraId="57C62793" w14:textId="08E1A411" w:rsidR="00803243" w:rsidRDefault="00803243" w:rsidP="004D7665">
      <w:pPr>
        <w:pStyle w:val="ListParagraph"/>
        <w:numPr>
          <w:ilvl w:val="0"/>
          <w:numId w:val="7"/>
        </w:numPr>
      </w:pPr>
      <w:r>
        <w:t>Community sector workforce education and advice</w:t>
      </w:r>
    </w:p>
    <w:p w14:paraId="20016457" w14:textId="49665945" w:rsidR="00443A8D" w:rsidRDefault="00443A8D" w:rsidP="004D7665">
      <w:pPr>
        <w:pStyle w:val="ListParagraph"/>
        <w:numPr>
          <w:ilvl w:val="0"/>
          <w:numId w:val="7"/>
        </w:numPr>
      </w:pPr>
      <w:r>
        <w:t>Renter campaigns, media, policy and advocacy</w:t>
      </w:r>
    </w:p>
    <w:p w14:paraId="070E2F74" w14:textId="2CD0E954" w:rsidR="006B178A" w:rsidRDefault="004D311B" w:rsidP="004D7665">
      <w:pPr>
        <w:pStyle w:val="ListParagraph"/>
        <w:numPr>
          <w:ilvl w:val="0"/>
          <w:numId w:val="7"/>
        </w:numPr>
      </w:pPr>
      <w:r>
        <w:t>Support</w:t>
      </w:r>
      <w:r w:rsidR="007C29CD">
        <w:t xml:space="preserve"> for the</w:t>
      </w:r>
      <w:r>
        <w:t xml:space="preserve"> implementation and</w:t>
      </w:r>
      <w:r w:rsidR="00443A8D">
        <w:t xml:space="preserve"> governance of the </w:t>
      </w:r>
      <w:r>
        <w:t>VRRP</w:t>
      </w:r>
      <w:r w:rsidR="00FC20E4">
        <w:t>.</w:t>
      </w:r>
    </w:p>
    <w:p w14:paraId="463F3B0C" w14:textId="748531EA" w:rsidR="006B178A" w:rsidRDefault="006B178A" w:rsidP="006B178A">
      <w:pPr>
        <w:pStyle w:val="Heading1"/>
      </w:pPr>
      <w:r>
        <w:br w:type="column"/>
      </w:r>
      <w:bookmarkStart w:id="10" w:name="_Toc218781389"/>
      <w:bookmarkStart w:id="11" w:name="_Toc219735107"/>
      <w:r>
        <w:lastRenderedPageBreak/>
        <w:t xml:space="preserve">3. </w:t>
      </w:r>
      <w:bookmarkEnd w:id="10"/>
      <w:r w:rsidR="00443A8D">
        <w:t>Renter Support Service</w:t>
      </w:r>
      <w:bookmarkEnd w:id="11"/>
    </w:p>
    <w:p w14:paraId="7C3B1217" w14:textId="77777777" w:rsidR="001D6577" w:rsidRDefault="001D6577" w:rsidP="001D6577">
      <w:r>
        <w:t>The Renter Support Service is comprised of the following main components:</w:t>
      </w:r>
    </w:p>
    <w:p w14:paraId="25BFDDDD" w14:textId="77777777" w:rsidR="00FC20E4" w:rsidRDefault="001D6577" w:rsidP="001D6577">
      <w:pPr>
        <w:pStyle w:val="ListParagraph"/>
        <w:numPr>
          <w:ilvl w:val="0"/>
          <w:numId w:val="28"/>
        </w:numPr>
      </w:pPr>
      <w:r>
        <w:t>the workers’ advice line</w:t>
      </w:r>
      <w:r w:rsidR="009F605C">
        <w:t xml:space="preserve">, including disaster worker advice </w:t>
      </w:r>
    </w:p>
    <w:p w14:paraId="7A99EAE2" w14:textId="3515A400" w:rsidR="001D6577" w:rsidRDefault="001D6577" w:rsidP="00FC20E4">
      <w:pPr>
        <w:pStyle w:val="ListParagraph"/>
        <w:numPr>
          <w:ilvl w:val="0"/>
          <w:numId w:val="28"/>
        </w:numPr>
      </w:pPr>
      <w:r>
        <w:t>referrals</w:t>
      </w:r>
      <w:r w:rsidR="00822455">
        <w:t xml:space="preserve"> between RRS agencies</w:t>
      </w:r>
    </w:p>
    <w:p w14:paraId="7B413964" w14:textId="4DF00AA4" w:rsidR="009F605C" w:rsidRDefault="007C29CD" w:rsidP="001D6577">
      <w:pPr>
        <w:pStyle w:val="ListParagraph"/>
        <w:numPr>
          <w:ilvl w:val="0"/>
          <w:numId w:val="28"/>
        </w:numPr>
      </w:pPr>
      <w:r>
        <w:t>c</w:t>
      </w:r>
      <w:r w:rsidR="002C076D">
        <w:t xml:space="preserve">ulturally and linguistically diverse </w:t>
      </w:r>
      <w:r w:rsidR="00FB5205">
        <w:t xml:space="preserve">renter </w:t>
      </w:r>
      <w:r w:rsidR="002C076D">
        <w:t>engagement support</w:t>
      </w:r>
    </w:p>
    <w:p w14:paraId="16E539C0" w14:textId="77777777" w:rsidR="00FC20E4" w:rsidRDefault="001D6577" w:rsidP="00FC20E4">
      <w:pPr>
        <w:pStyle w:val="ListParagraph"/>
        <w:numPr>
          <w:ilvl w:val="0"/>
          <w:numId w:val="28"/>
        </w:numPr>
      </w:pPr>
      <w:r>
        <w:t xml:space="preserve">specialist legal support for renters </w:t>
      </w:r>
    </w:p>
    <w:p w14:paraId="2D4060E1" w14:textId="77777777" w:rsidR="00FC20E4" w:rsidRDefault="001D6577" w:rsidP="001D6577">
      <w:pPr>
        <w:pStyle w:val="ListParagraph"/>
        <w:numPr>
          <w:ilvl w:val="0"/>
          <w:numId w:val="28"/>
        </w:numPr>
      </w:pPr>
      <w:r>
        <w:t>community worker outreach</w:t>
      </w:r>
      <w:r w:rsidR="002C076D">
        <w:t>, education</w:t>
      </w:r>
      <w:r>
        <w:t xml:space="preserve"> and capacity training, and</w:t>
      </w:r>
    </w:p>
    <w:p w14:paraId="4A6C7E0E" w14:textId="2C4BFD5F" w:rsidR="00880EBB" w:rsidRDefault="001D6577" w:rsidP="00FC20E4">
      <w:pPr>
        <w:pStyle w:val="ListParagraph"/>
        <w:numPr>
          <w:ilvl w:val="0"/>
          <w:numId w:val="28"/>
        </w:numPr>
      </w:pPr>
      <w:r>
        <w:t>RRS community of practice</w:t>
      </w:r>
      <w:r w:rsidR="00022EB3">
        <w:t>.</w:t>
      </w:r>
      <w:r w:rsidR="002520E8">
        <w:t xml:space="preserve"> </w:t>
      </w:r>
    </w:p>
    <w:p w14:paraId="02C92743" w14:textId="7B7CA2E8" w:rsidR="006B178A" w:rsidRDefault="00E97EDC" w:rsidP="006B178A">
      <w:pPr>
        <w:pStyle w:val="Heading2"/>
      </w:pPr>
      <w:bookmarkStart w:id="12" w:name="_Toc219735108"/>
      <w:r>
        <w:t>Workers’ advice line</w:t>
      </w:r>
      <w:bookmarkEnd w:id="12"/>
    </w:p>
    <w:p w14:paraId="62A68958" w14:textId="77777777" w:rsidR="009E70A2" w:rsidRPr="009E70A2" w:rsidRDefault="009E70A2" w:rsidP="001779E9">
      <w:bookmarkStart w:id="13" w:name="_Toc218781391"/>
      <w:r w:rsidRPr="009E70A2">
        <w:t>The RCS provider will operate a workers’ advice line to provide renter legal information, advice and legal support for community workers. The workers’ advice line must be staffed by lawyers with extensive knowledge and expertise in renting law and practice.</w:t>
      </w:r>
    </w:p>
    <w:p w14:paraId="607D2235" w14:textId="1C438168" w:rsidR="007C78EB" w:rsidRDefault="009E70A2" w:rsidP="001779E9">
      <w:pPr>
        <w:rPr>
          <w:b/>
        </w:rPr>
      </w:pPr>
      <w:r w:rsidRPr="009E70A2">
        <w:t>The Provider is required to operate the workers’ help line for a minimum of 5</w:t>
      </w:r>
      <w:r w:rsidR="00022EB3">
        <w:rPr>
          <w:rFonts w:ascii="Cambria" w:hAnsi="Cambria"/>
        </w:rPr>
        <w:t> </w:t>
      </w:r>
      <w:r w:rsidRPr="009E70A2">
        <w:t>hours each business day (excluding public holidays and days between Christmas and New Year).</w:t>
      </w:r>
    </w:p>
    <w:p w14:paraId="1AB38892" w14:textId="7C5431A3" w:rsidR="006B178A" w:rsidRDefault="00A669FD" w:rsidP="009E70A2">
      <w:pPr>
        <w:pStyle w:val="Heading2"/>
      </w:pPr>
      <w:bookmarkStart w:id="14" w:name="_Toc219735109"/>
      <w:bookmarkEnd w:id="13"/>
      <w:r>
        <w:t>Referrals</w:t>
      </w:r>
      <w:bookmarkEnd w:id="14"/>
    </w:p>
    <w:p w14:paraId="5087EDE7" w14:textId="67D274E1" w:rsidR="006B178A" w:rsidRDefault="00A669FD" w:rsidP="006B178A">
      <w:r w:rsidRPr="00A669FD">
        <w:t>The Provider will be responsible for facilitating the conflict of interest and inter-agency referral process for the 17 RRS agencies. To manage this process, the Provider must maintain an up-to-date list of the RRS agency referral contact details, including a referral email and contact person.</w:t>
      </w:r>
    </w:p>
    <w:p w14:paraId="7B4E446F" w14:textId="4715338A" w:rsidR="0026619D" w:rsidRDefault="0026619D" w:rsidP="006B178A">
      <w:pPr>
        <w:pStyle w:val="Heading2"/>
      </w:pPr>
      <w:bookmarkStart w:id="15" w:name="_Toc219735110"/>
      <w:r>
        <w:t>Culturally and linguistically diverse engagement support</w:t>
      </w:r>
      <w:bookmarkEnd w:id="15"/>
    </w:p>
    <w:p w14:paraId="55514ACA" w14:textId="15C72459" w:rsidR="0026619D" w:rsidRPr="0026619D" w:rsidRDefault="00612FEA" w:rsidP="0026619D">
      <w:r>
        <w:t xml:space="preserve">The provider will </w:t>
      </w:r>
      <w:r w:rsidR="00235168">
        <w:t xml:space="preserve">deliver targeted education </w:t>
      </w:r>
      <w:r w:rsidR="00DD01B5">
        <w:t xml:space="preserve">to multicultural renters </w:t>
      </w:r>
      <w:r w:rsidR="00302787">
        <w:t xml:space="preserve">through </w:t>
      </w:r>
      <w:r w:rsidR="006B51CE">
        <w:t xml:space="preserve">a combination of online and in-person </w:t>
      </w:r>
      <w:r w:rsidR="00A83760">
        <w:t xml:space="preserve">community forums and </w:t>
      </w:r>
      <w:r w:rsidR="00163DE1">
        <w:t xml:space="preserve">small group discussions guided by </w:t>
      </w:r>
      <w:r w:rsidR="005A101A">
        <w:t xml:space="preserve">bicultural workers. To support </w:t>
      </w:r>
      <w:r w:rsidR="00CF70A1">
        <w:t>multicultural renters</w:t>
      </w:r>
      <w:r w:rsidR="005A101A">
        <w:t xml:space="preserve">, the provider </w:t>
      </w:r>
      <w:r w:rsidR="00C370A4">
        <w:t xml:space="preserve">will create and maintain a library of </w:t>
      </w:r>
      <w:r w:rsidR="002726CB">
        <w:t xml:space="preserve">appropriate </w:t>
      </w:r>
      <w:r w:rsidR="00C370A4">
        <w:t>resources</w:t>
      </w:r>
      <w:r w:rsidR="007839C3">
        <w:t xml:space="preserve">. </w:t>
      </w:r>
      <w:r w:rsidR="005A101A">
        <w:t xml:space="preserve"> </w:t>
      </w:r>
    </w:p>
    <w:p w14:paraId="09BE8FB6" w14:textId="172B8306" w:rsidR="006B178A" w:rsidRDefault="00414F6E" w:rsidP="006B178A">
      <w:pPr>
        <w:pStyle w:val="Heading2"/>
      </w:pPr>
      <w:bookmarkStart w:id="16" w:name="_Toc219735111"/>
      <w:r>
        <w:t>Specialist legal support for renters</w:t>
      </w:r>
      <w:bookmarkEnd w:id="16"/>
    </w:p>
    <w:p w14:paraId="21B73CA1" w14:textId="6475E498" w:rsidR="006B178A" w:rsidRDefault="00414F6E" w:rsidP="006B178A">
      <w:r w:rsidRPr="00414F6E">
        <w:t xml:space="preserve">The Provider will provide select specialist legal support (discrete legal tasks and representation services) to renters who are eligible for </w:t>
      </w:r>
      <w:r w:rsidR="00345E13">
        <w:t xml:space="preserve">the </w:t>
      </w:r>
      <w:r w:rsidRPr="00414F6E">
        <w:t>RRS in circumstances when the client’s matter is assessed by the RCS as complex and requiring the input of legal expertise. The RCS may also elect to provide legal support services to demonstrate priority campaign and policy issues.</w:t>
      </w:r>
    </w:p>
    <w:p w14:paraId="0D9DA3DD" w14:textId="6A3D47EC" w:rsidR="006B178A" w:rsidRDefault="00665B61" w:rsidP="006B178A">
      <w:pPr>
        <w:pStyle w:val="Heading2"/>
      </w:pPr>
      <w:bookmarkStart w:id="17" w:name="_Toc219735112"/>
      <w:r>
        <w:t>Community worker outreach and capacity training</w:t>
      </w:r>
      <w:bookmarkEnd w:id="17"/>
    </w:p>
    <w:p w14:paraId="34A22B71" w14:textId="77777777" w:rsidR="00665B61" w:rsidRDefault="00665B61" w:rsidP="00665B61">
      <w:r>
        <w:t>The Provider will deliver a community worker outreach and capacity training program aimed at educating a broad range of non-lawyer renting workers about rental law and services. The program will be flexible in content and structure and have state-wide reach.</w:t>
      </w:r>
    </w:p>
    <w:p w14:paraId="4C696D5C" w14:textId="5A2D036B" w:rsidR="00665B61" w:rsidRDefault="00665B61" w:rsidP="00665B61">
      <w:r>
        <w:t xml:space="preserve">The program will promote the workers’ advice line and the local RRS agency. The RRS agency and </w:t>
      </w:r>
      <w:r w:rsidR="00117250">
        <w:t xml:space="preserve">local </w:t>
      </w:r>
      <w:r>
        <w:t>CAV office</w:t>
      </w:r>
      <w:r w:rsidR="00117250">
        <w:t>rs</w:t>
      </w:r>
      <w:r>
        <w:t xml:space="preserve"> should be invited to participate in local workshops.</w:t>
      </w:r>
    </w:p>
    <w:p w14:paraId="6FD7CD3D" w14:textId="01652E8C" w:rsidR="006B178A" w:rsidRDefault="00B22EC0" w:rsidP="006B178A">
      <w:pPr>
        <w:pStyle w:val="Heading2"/>
      </w:pPr>
      <w:r>
        <w:br w:type="column"/>
      </w:r>
      <w:bookmarkStart w:id="18" w:name="_Toc219735113"/>
      <w:r w:rsidR="00665B61">
        <w:lastRenderedPageBreak/>
        <w:t>RRS community of practice</w:t>
      </w:r>
      <w:bookmarkEnd w:id="18"/>
    </w:p>
    <w:p w14:paraId="713E85C2" w14:textId="338E7201" w:rsidR="000333A1" w:rsidRDefault="000333A1" w:rsidP="006B178A">
      <w:r w:rsidRPr="000333A1">
        <w:t>The Provider will deliver a RRS community of practice in consultation with DGS and RRS agencies. The community of practice will provide RRS workers with a regular opportunity to gather in a supportive learning environment to discuss current issues, share knowledge and foster a culture of learning, collaboration, and best practice. The forum will also provide an opportunity for workers to get to know each other better, discuss and reflect on the common challenges of the role, and build supportive working relationships across RRS agencies.</w:t>
      </w:r>
    </w:p>
    <w:p w14:paraId="221920B9" w14:textId="24D488A8" w:rsidR="006B178A" w:rsidRPr="001D38BD" w:rsidRDefault="006B178A" w:rsidP="006B178A">
      <w:pPr>
        <w:pStyle w:val="Heading1"/>
      </w:pPr>
      <w:r>
        <w:br w:type="column"/>
      </w:r>
      <w:bookmarkStart w:id="19" w:name="_Toc218781396"/>
      <w:bookmarkStart w:id="20" w:name="_Toc219735114"/>
      <w:r>
        <w:t>4. Pr</w:t>
      </w:r>
      <w:bookmarkEnd w:id="19"/>
      <w:r w:rsidR="00F94EE5">
        <w:t xml:space="preserve">ofessional development for VRRP </w:t>
      </w:r>
      <w:r w:rsidR="00EB5A8C">
        <w:t>and community</w:t>
      </w:r>
      <w:r w:rsidR="00F94EE5">
        <w:t xml:space="preserve"> workers</w:t>
      </w:r>
      <w:bookmarkEnd w:id="20"/>
    </w:p>
    <w:p w14:paraId="5BE41243" w14:textId="73E283D7" w:rsidR="00677F74" w:rsidRPr="00677F74" w:rsidRDefault="00677F74" w:rsidP="001779E9">
      <w:bookmarkStart w:id="21" w:name="_Toc218781397"/>
      <w:r w:rsidRPr="00677F74">
        <w:t xml:space="preserve">The Provider will support and uplift </w:t>
      </w:r>
      <w:r w:rsidR="00EB5A8C">
        <w:t xml:space="preserve">VRRP program </w:t>
      </w:r>
      <w:r w:rsidRPr="00677F74">
        <w:t>workers to deliver quality casework. This includes through the development and provision of:</w:t>
      </w:r>
    </w:p>
    <w:p w14:paraId="7D2CDC59" w14:textId="77777777" w:rsidR="00B22EC0" w:rsidRDefault="00677F74" w:rsidP="001779E9">
      <w:pPr>
        <w:pStyle w:val="ListParagraph"/>
        <w:numPr>
          <w:ilvl w:val="0"/>
          <w:numId w:val="29"/>
        </w:numPr>
      </w:pPr>
      <w:r w:rsidRPr="00677F74">
        <w:t>VRRP worker induction training</w:t>
      </w:r>
    </w:p>
    <w:p w14:paraId="251DC040" w14:textId="77777777" w:rsidR="00B22EC0" w:rsidRDefault="00677F74" w:rsidP="001779E9">
      <w:pPr>
        <w:pStyle w:val="ListParagraph"/>
        <w:numPr>
          <w:ilvl w:val="0"/>
          <w:numId w:val="29"/>
        </w:numPr>
      </w:pPr>
      <w:r w:rsidRPr="00677F74">
        <w:t>VRRP worker legislation training and skills development</w:t>
      </w:r>
      <w:r w:rsidR="00CF44FA">
        <w:t xml:space="preserve">, including family violence provisions and supports </w:t>
      </w:r>
    </w:p>
    <w:p w14:paraId="78F45AE7" w14:textId="0E617B62" w:rsidR="00CE6890" w:rsidRDefault="00CE6890" w:rsidP="001779E9">
      <w:pPr>
        <w:pStyle w:val="ListParagraph"/>
        <w:numPr>
          <w:ilvl w:val="0"/>
          <w:numId w:val="29"/>
        </w:numPr>
      </w:pPr>
      <w:r>
        <w:t>Other training to increase worker capacity, including disaster recovery</w:t>
      </w:r>
      <w:r w:rsidR="00E262D1">
        <w:t xml:space="preserve"> training.</w:t>
      </w:r>
    </w:p>
    <w:p w14:paraId="7647DC0D" w14:textId="13A7BD81" w:rsidR="00677F74" w:rsidRDefault="00677F74" w:rsidP="001779E9">
      <w:pPr>
        <w:pStyle w:val="ListParagraph"/>
        <w:numPr>
          <w:ilvl w:val="0"/>
          <w:numId w:val="29"/>
        </w:numPr>
      </w:pPr>
      <w:r w:rsidRPr="00677F74">
        <w:t>VRRP tools and resources</w:t>
      </w:r>
    </w:p>
    <w:bookmarkEnd w:id="21"/>
    <w:p w14:paraId="1D62D3F4" w14:textId="0BE9034E" w:rsidR="00DE3B55" w:rsidRPr="00EC317F" w:rsidRDefault="00EB5A8C" w:rsidP="00DE3B55">
      <w:pPr>
        <w:pStyle w:val="ListParagraph"/>
        <w:numPr>
          <w:ilvl w:val="0"/>
          <w:numId w:val="26"/>
        </w:numPr>
        <w:rPr>
          <w:b/>
        </w:rPr>
      </w:pPr>
      <w:r>
        <w:t>Community worker outreach and capacity training</w:t>
      </w:r>
      <w:r w:rsidR="00D8479C">
        <w:t>.</w:t>
      </w:r>
    </w:p>
    <w:p w14:paraId="592AABF7" w14:textId="7A5B5899" w:rsidR="006B178A" w:rsidRDefault="00DE3B55" w:rsidP="00677F74">
      <w:pPr>
        <w:pStyle w:val="Heading2"/>
      </w:pPr>
      <w:bookmarkStart w:id="22" w:name="_Toc219735115"/>
      <w:r>
        <w:t>VRRP worker induction training</w:t>
      </w:r>
      <w:bookmarkEnd w:id="22"/>
    </w:p>
    <w:p w14:paraId="447A16D0" w14:textId="7143755D" w:rsidR="00DE3B55" w:rsidRPr="00DE3B55" w:rsidRDefault="00DE3B55" w:rsidP="001779E9">
      <w:r w:rsidRPr="00DE3B55">
        <w:t>The Provider will design and deliver induction training for new VRRP workers including RRS</w:t>
      </w:r>
      <w:r w:rsidR="00B22EC0">
        <w:t>, VRH</w:t>
      </w:r>
      <w:r w:rsidRPr="00DE3B55">
        <w:t xml:space="preserve"> and OPHRS workers. The training will be equivalent to a two-day intensive workshop, with a follow-up third day to address practical learnings.</w:t>
      </w:r>
    </w:p>
    <w:p w14:paraId="79BC2AFE" w14:textId="7AD27C91" w:rsidR="006B178A" w:rsidRDefault="00DE3B55" w:rsidP="001779E9">
      <w:pPr>
        <w:rPr>
          <w:b/>
        </w:rPr>
      </w:pPr>
      <w:r w:rsidRPr="00DE3B55">
        <w:t>The induction training will comprise a structured combination of face-to-face training supplemented by e-learning modules that allow self-paced learning, with progress monitored and supported by the Provider. The content will focus on residential tenancies law</w:t>
      </w:r>
      <w:r w:rsidR="006B5317">
        <w:t xml:space="preserve">, </w:t>
      </w:r>
      <w:r w:rsidR="005F2ECA">
        <w:t>Rental Dispute Resolution Victoria (</w:t>
      </w:r>
      <w:r w:rsidR="006B5317">
        <w:t>RDRV</w:t>
      </w:r>
      <w:r w:rsidR="005F2ECA">
        <w:t>)</w:t>
      </w:r>
      <w:r w:rsidRPr="00DE3B55">
        <w:t xml:space="preserve"> and </w:t>
      </w:r>
      <w:r w:rsidR="00744507">
        <w:t>Victorian Civil and Administrative Tribunal (</w:t>
      </w:r>
      <w:r w:rsidRPr="00DE3B55">
        <w:t>VCAT</w:t>
      </w:r>
      <w:r w:rsidR="00744507">
        <w:t>)</w:t>
      </w:r>
      <w:r w:rsidRPr="00DE3B55">
        <w:t xml:space="preserve"> </w:t>
      </w:r>
      <w:r w:rsidRPr="00DE3B55">
        <w:lastRenderedPageBreak/>
        <w:t>processes, with a focus on common renting problems.</w:t>
      </w:r>
    </w:p>
    <w:p w14:paraId="42CA59E5" w14:textId="35AA5A52" w:rsidR="006B178A" w:rsidRDefault="00DA3766" w:rsidP="006B178A">
      <w:pPr>
        <w:pStyle w:val="Heading2"/>
      </w:pPr>
      <w:bookmarkStart w:id="23" w:name="_Toc219735116"/>
      <w:r>
        <w:t>VRRP legislation training and skills development</w:t>
      </w:r>
      <w:bookmarkEnd w:id="23"/>
    </w:p>
    <w:p w14:paraId="143C7352" w14:textId="77777777" w:rsidR="00DA3766" w:rsidRDefault="00DA3766" w:rsidP="00DA3766">
      <w:r>
        <w:t>The Provider will deliver legislation training and skills development workshops for VRRP workers. The Provider will produce a calendar every six months, offering training across different levels and mediums. Training will be conducted in Melbourne and the regions, and in some circumstances via e-learning modules.</w:t>
      </w:r>
    </w:p>
    <w:p w14:paraId="6E20D0ED" w14:textId="77777777" w:rsidR="00DA3766" w:rsidRDefault="00DA3766" w:rsidP="00DA3766">
      <w:r>
        <w:t xml:space="preserve">Each RRS worker is expected to attend a minimum of two professional development sessions per year. As a component of the broader renter suite of services, OPHRS workers will also access the legislation and skills development program as appropriate to their needs. </w:t>
      </w:r>
    </w:p>
    <w:p w14:paraId="7BFC0084" w14:textId="1D4E0199" w:rsidR="00DA3766" w:rsidRDefault="00DA3766" w:rsidP="00DA3766">
      <w:r>
        <w:t xml:space="preserve">Legislation training will focus on key aspects of the </w:t>
      </w:r>
      <w:r w:rsidR="002E3A9E">
        <w:rPr>
          <w:i/>
          <w:iCs/>
        </w:rPr>
        <w:t xml:space="preserve">Residential Tenancies Act 1997 </w:t>
      </w:r>
      <w:r w:rsidR="002E3A9E">
        <w:t>(Vic) (</w:t>
      </w:r>
      <w:r>
        <w:t>RTA</w:t>
      </w:r>
      <w:r w:rsidR="002E3A9E">
        <w:t>)</w:t>
      </w:r>
      <w:r>
        <w:t xml:space="preserve"> to help VRRP workers understand the complexities of the RTA and highlight any changes and updates</w:t>
      </w:r>
      <w:r w:rsidR="00CF44FA">
        <w:t xml:space="preserve">, including </w:t>
      </w:r>
      <w:r w:rsidR="00A56708">
        <w:t>family violence provisions</w:t>
      </w:r>
      <w:r w:rsidR="00EC317F">
        <w:t xml:space="preserve"> and available supports</w:t>
      </w:r>
      <w:r>
        <w:t>. The training will include practical sessions on representing clients at VCAT.</w:t>
      </w:r>
    </w:p>
    <w:p w14:paraId="764356FE" w14:textId="49FCACBB" w:rsidR="00BA62ED" w:rsidRDefault="00DA3766" w:rsidP="00DA3766">
      <w:r>
        <w:t xml:space="preserve">The skills development sessions will focus on ensuring that VRRP </w:t>
      </w:r>
      <w:r w:rsidR="007961E6">
        <w:t>and community</w:t>
      </w:r>
      <w:r>
        <w:t xml:space="preserve"> workers understand the rental needs of marginalised groups, and how to best support these groups</w:t>
      </w:r>
      <w:r w:rsidR="00BA62ED">
        <w:t>,</w:t>
      </w:r>
      <w:r>
        <w:t xml:space="preserve"> including</w:t>
      </w:r>
      <w:r w:rsidR="00BA62ED">
        <w:t>:</w:t>
      </w:r>
      <w:r>
        <w:t xml:space="preserve"> </w:t>
      </w:r>
    </w:p>
    <w:p w14:paraId="069A981A" w14:textId="082C1585" w:rsidR="009E1B6B" w:rsidRDefault="00580038" w:rsidP="00BA62ED">
      <w:pPr>
        <w:pStyle w:val="ListParagraph"/>
        <w:numPr>
          <w:ilvl w:val="0"/>
          <w:numId w:val="26"/>
        </w:numPr>
      </w:pPr>
      <w:r>
        <w:t>First Nations people</w:t>
      </w:r>
    </w:p>
    <w:p w14:paraId="566DF127" w14:textId="77777777" w:rsidR="009E1B6B" w:rsidRDefault="009E1B6B" w:rsidP="00BA62ED">
      <w:pPr>
        <w:pStyle w:val="ListParagraph"/>
        <w:numPr>
          <w:ilvl w:val="0"/>
          <w:numId w:val="26"/>
        </w:numPr>
      </w:pPr>
      <w:r>
        <w:t>People from culturally and linguistically diverse backgrounds</w:t>
      </w:r>
    </w:p>
    <w:p w14:paraId="0029EB64" w14:textId="77777777" w:rsidR="009E1B6B" w:rsidRDefault="009E1B6B" w:rsidP="00BA62ED">
      <w:pPr>
        <w:pStyle w:val="ListParagraph"/>
        <w:numPr>
          <w:ilvl w:val="0"/>
          <w:numId w:val="26"/>
        </w:numPr>
      </w:pPr>
      <w:r>
        <w:t>Older people</w:t>
      </w:r>
    </w:p>
    <w:p w14:paraId="08ED13B8" w14:textId="77777777" w:rsidR="009E1B6B" w:rsidRDefault="009E1B6B" w:rsidP="00BA62ED">
      <w:pPr>
        <w:pStyle w:val="ListParagraph"/>
        <w:numPr>
          <w:ilvl w:val="0"/>
          <w:numId w:val="26"/>
        </w:numPr>
      </w:pPr>
      <w:r>
        <w:t>Residents of rooming houses</w:t>
      </w:r>
    </w:p>
    <w:p w14:paraId="2B11C59B" w14:textId="77777777" w:rsidR="009E1B6B" w:rsidRDefault="009E1B6B" w:rsidP="00BA62ED">
      <w:pPr>
        <w:pStyle w:val="ListParagraph"/>
        <w:numPr>
          <w:ilvl w:val="0"/>
          <w:numId w:val="26"/>
        </w:numPr>
      </w:pPr>
      <w:r>
        <w:t>People affected by family violence</w:t>
      </w:r>
    </w:p>
    <w:p w14:paraId="40840F4F" w14:textId="77777777" w:rsidR="009E1B6B" w:rsidRDefault="009E1B6B" w:rsidP="00BA62ED">
      <w:pPr>
        <w:pStyle w:val="ListParagraph"/>
        <w:numPr>
          <w:ilvl w:val="0"/>
          <w:numId w:val="26"/>
        </w:numPr>
      </w:pPr>
      <w:r>
        <w:t>People living with a disability</w:t>
      </w:r>
    </w:p>
    <w:p w14:paraId="0A2DFFD7" w14:textId="7D5C838C" w:rsidR="006B178A" w:rsidRDefault="009E1B6B" w:rsidP="00BA62ED">
      <w:pPr>
        <w:pStyle w:val="ListParagraph"/>
        <w:numPr>
          <w:ilvl w:val="0"/>
          <w:numId w:val="26"/>
        </w:numPr>
      </w:pPr>
      <w:r>
        <w:t xml:space="preserve">Neurodivergent people. </w:t>
      </w:r>
    </w:p>
    <w:p w14:paraId="3AFA4A43" w14:textId="77777777" w:rsidR="00534FF7" w:rsidRDefault="00534FF7" w:rsidP="00DA3766"/>
    <w:p w14:paraId="21BCA43D" w14:textId="16D527E9" w:rsidR="006B178A" w:rsidRDefault="00534FF7" w:rsidP="006B178A">
      <w:pPr>
        <w:pStyle w:val="Heading2"/>
      </w:pPr>
      <w:bookmarkStart w:id="24" w:name="_Toc219735117"/>
      <w:r>
        <w:t>VRRP tools and resources</w:t>
      </w:r>
      <w:bookmarkEnd w:id="24"/>
    </w:p>
    <w:p w14:paraId="0F8B20DB" w14:textId="464505A5" w:rsidR="00534FF7" w:rsidRDefault="00534FF7" w:rsidP="00534FF7">
      <w:r>
        <w:t>The Provider will develop and maintain an online repository of rental law and practice resources (including templates and sample documents) for use by VRRP workers, including RRS</w:t>
      </w:r>
      <w:r w:rsidR="008A3395">
        <w:t>, VRH</w:t>
      </w:r>
      <w:r>
        <w:t xml:space="preserve"> &amp; OPHRS workers. </w:t>
      </w:r>
    </w:p>
    <w:p w14:paraId="67781D3D" w14:textId="77777777" w:rsidR="00534FF7" w:rsidRDefault="00534FF7" w:rsidP="00534FF7">
      <w:r>
        <w:t>The information resource should detail common renting problems. It should also cover how to respond to clients experiencing family violence. The resources should cater for a diversity of experience, knowledge, and skill levels within the renter workforce. The online repository may also house e-learning modules as a component of the RRS worker's professional development program.</w:t>
      </w:r>
    </w:p>
    <w:p w14:paraId="73CFBB36" w14:textId="0606A965" w:rsidR="00534FF7" w:rsidRDefault="00534FF7" w:rsidP="00534FF7">
      <w:r>
        <w:t>The Provider will ensure that the on-line repository remains available, and that content is updated as new legislation is introduced.</w:t>
      </w:r>
    </w:p>
    <w:p w14:paraId="6CEBF16F" w14:textId="3B2167CB" w:rsidR="006B178A" w:rsidRPr="001D38BD" w:rsidRDefault="006B178A" w:rsidP="006B178A">
      <w:pPr>
        <w:pStyle w:val="Heading1"/>
      </w:pPr>
      <w:r>
        <w:br w:type="column"/>
      </w:r>
      <w:bookmarkStart w:id="25" w:name="_Toc218781400"/>
      <w:bookmarkStart w:id="26" w:name="_Toc219735118"/>
      <w:r>
        <w:lastRenderedPageBreak/>
        <w:t xml:space="preserve">5. </w:t>
      </w:r>
      <w:bookmarkEnd w:id="25"/>
      <w:r w:rsidR="00534FF7">
        <w:t>Program</w:t>
      </w:r>
      <w:r>
        <w:br/>
      </w:r>
      <w:r w:rsidR="00534FF7">
        <w:t xml:space="preserve">governance of the </w:t>
      </w:r>
      <w:r w:rsidR="004E5AFE">
        <w:t>VRRP</w:t>
      </w:r>
      <w:bookmarkEnd w:id="26"/>
    </w:p>
    <w:p w14:paraId="38477DE7" w14:textId="77777777" w:rsidR="000D593A" w:rsidRDefault="000D593A" w:rsidP="000D593A">
      <w:r>
        <w:t xml:space="preserve">The Provider will assist CAV with overall program governance of renter service programs. CAV will work with the Provider to develop a program governance framework to outline the key roles and responsibilities between the Provider and CAV. </w:t>
      </w:r>
    </w:p>
    <w:p w14:paraId="2A72E152" w14:textId="3428CCC2" w:rsidR="000D593A" w:rsidRDefault="000D593A" w:rsidP="000D593A">
      <w:r>
        <w:t xml:space="preserve">The Provider will also manage and promote the consistent delivery of rental support services across Victoria through the management of referrals, development and provision of professional development, and the community of practice (see above).   </w:t>
      </w:r>
    </w:p>
    <w:p w14:paraId="08DE0D17" w14:textId="5FC760CA" w:rsidR="000D593A" w:rsidRPr="001D38BD" w:rsidRDefault="000D593A" w:rsidP="000D593A">
      <w:pPr>
        <w:pStyle w:val="Heading1"/>
      </w:pPr>
      <w:r>
        <w:br w:type="column"/>
      </w:r>
      <w:bookmarkStart w:id="27" w:name="_Toc219735119"/>
      <w:r w:rsidR="007E45B8">
        <w:t>6</w:t>
      </w:r>
      <w:r>
        <w:t>. Renter media, campaigns, policy advocacy</w:t>
      </w:r>
      <w:bookmarkEnd w:id="27"/>
    </w:p>
    <w:p w14:paraId="5DEB6B4E" w14:textId="5F85949E" w:rsidR="000D593A" w:rsidRDefault="000D593A" w:rsidP="000D593A">
      <w:pPr>
        <w:pStyle w:val="Heading2"/>
      </w:pPr>
      <w:bookmarkStart w:id="28" w:name="_Toc219735120"/>
      <w:r>
        <w:t>Renter campaigns and media</w:t>
      </w:r>
      <w:bookmarkEnd w:id="28"/>
    </w:p>
    <w:p w14:paraId="4B687123" w14:textId="77777777" w:rsidR="00416130" w:rsidRDefault="00416130" w:rsidP="00416130">
      <w:r>
        <w:t>The Provider is required to deliver rental campaigns and media activities that address emerging and systemic renting issues identified through the renter support service and other sources.</w:t>
      </w:r>
    </w:p>
    <w:p w14:paraId="65575722" w14:textId="2348989E" w:rsidR="00416130" w:rsidRDefault="00416130" w:rsidP="00416130">
      <w:r>
        <w:t xml:space="preserve">The Provider must give prior notice to CAV of any campaigns or media activities expected to result in significant public exposure of issues to which the Government will likely be required to respond by sending an email to </w:t>
      </w:r>
      <w:r w:rsidR="00994F3D">
        <w:t xml:space="preserve">CommunityPrograms@dgs.vic.gov.au. </w:t>
      </w:r>
    </w:p>
    <w:p w14:paraId="59A3FBBE" w14:textId="5DB2681E" w:rsidR="00D83264" w:rsidRDefault="00D83264" w:rsidP="00D83264">
      <w:pPr>
        <w:pStyle w:val="Heading2"/>
      </w:pPr>
      <w:bookmarkStart w:id="29" w:name="_Toc219735121"/>
      <w:r>
        <w:t>Renter policy and advocacy</w:t>
      </w:r>
      <w:bookmarkEnd w:id="29"/>
    </w:p>
    <w:p w14:paraId="555E21E9" w14:textId="62411675" w:rsidR="007E45B8" w:rsidRDefault="007E45B8" w:rsidP="00D83264">
      <w:r w:rsidRPr="007E45B8">
        <w:t>The Provider is required to participate in renting and broader housing policy and advocacy work that is likely to impact Victorian renters, especially those who are vulnerable and disadvantaged. The Provider must participate in policy-making processes, networks, forums, and reviews to improve government and industry policies that affect renters.</w:t>
      </w:r>
    </w:p>
    <w:p w14:paraId="36C8CBA4" w14:textId="5CB9EF6E" w:rsidR="007E45B8" w:rsidRPr="001D38BD" w:rsidRDefault="007E45B8" w:rsidP="007E45B8">
      <w:pPr>
        <w:pStyle w:val="Heading1"/>
      </w:pPr>
      <w:r>
        <w:br w:type="column"/>
      </w:r>
      <w:bookmarkStart w:id="30" w:name="_Toc219735122"/>
      <w:r>
        <w:lastRenderedPageBreak/>
        <w:t>7. Program management</w:t>
      </w:r>
      <w:bookmarkEnd w:id="30"/>
    </w:p>
    <w:p w14:paraId="2DA33B98" w14:textId="25512E63" w:rsidR="00AA35C2" w:rsidRDefault="00AA35C2" w:rsidP="00AA35C2">
      <w:pPr>
        <w:pStyle w:val="Heading2"/>
      </w:pPr>
      <w:bookmarkStart w:id="31" w:name="_Toc219735123"/>
      <w:r>
        <w:t>Insurance</w:t>
      </w:r>
      <w:bookmarkEnd w:id="31"/>
    </w:p>
    <w:p w14:paraId="36EE225D" w14:textId="77777777" w:rsidR="0070108E" w:rsidRDefault="0070108E" w:rsidP="0070108E">
      <w:r>
        <w:t xml:space="preserve">The Provider must have professional indemnity and public risk insurance, as detailed in the Schedule to the Funding Agreement. </w:t>
      </w:r>
    </w:p>
    <w:p w14:paraId="69FFFD52" w14:textId="68A91EE7" w:rsidR="00AA35C2" w:rsidRDefault="0070108E" w:rsidP="0070108E">
      <w:r>
        <w:t>The Victorian Managed Insurance Authority (VMIA) provides insurance to most community service organisations funded by DGS.</w:t>
      </w:r>
    </w:p>
    <w:p w14:paraId="304D8608" w14:textId="77777777" w:rsidR="00F5493B" w:rsidRPr="00271F35" w:rsidRDefault="00F5493B" w:rsidP="00F5493B">
      <w:pPr>
        <w:pStyle w:val="Heading2"/>
      </w:pPr>
      <w:bookmarkStart w:id="32" w:name="_Toc218246548"/>
      <w:bookmarkStart w:id="33" w:name="_Toc218869475"/>
      <w:bookmarkStart w:id="34" w:name="_Toc219735124"/>
      <w:r w:rsidRPr="00271F35">
        <w:t>Client satisfaction survey</w:t>
      </w:r>
      <w:bookmarkEnd w:id="32"/>
      <w:bookmarkEnd w:id="33"/>
      <w:bookmarkEnd w:id="34"/>
    </w:p>
    <w:p w14:paraId="291BBD4B" w14:textId="77777777" w:rsidR="00F5493B" w:rsidRPr="00271F35" w:rsidRDefault="00F5493B" w:rsidP="00F5493B">
      <w:r w:rsidRPr="00271F35">
        <w:t>CAV may from time to time evaluate the quality of services. The design and development of the evaluation process and techniques will be done in consultation with agencies.</w:t>
      </w:r>
    </w:p>
    <w:p w14:paraId="2839BEAA" w14:textId="77777777" w:rsidR="00F5493B" w:rsidRPr="00271F35" w:rsidRDefault="00F5493B" w:rsidP="00F5493B">
      <w:pPr>
        <w:pStyle w:val="Heading2"/>
      </w:pPr>
      <w:bookmarkStart w:id="35" w:name="_Toc218246549"/>
      <w:bookmarkStart w:id="36" w:name="_Toc218869476"/>
      <w:bookmarkStart w:id="37" w:name="_Toc219735125"/>
      <w:r w:rsidRPr="00271F35">
        <w:t>Complaints handling</w:t>
      </w:r>
      <w:bookmarkEnd w:id="35"/>
      <w:bookmarkEnd w:id="36"/>
      <w:bookmarkEnd w:id="37"/>
    </w:p>
    <w:p w14:paraId="36CF7049" w14:textId="73477A06" w:rsidR="0070108E" w:rsidRDefault="00C21330" w:rsidP="000D593A">
      <w:r>
        <w:t>The Provider</w:t>
      </w:r>
      <w:r w:rsidR="00F5493B" w:rsidRPr="00271F35">
        <w:t xml:space="preserve"> must have in place a client complaints policy. Renters who use the service (and others acting on their behalf) can make a complaint to either the agency or to CAV.</w:t>
      </w:r>
    </w:p>
    <w:p w14:paraId="0B5C2C97" w14:textId="77777777" w:rsidR="00C526F7" w:rsidRPr="00271F35" w:rsidRDefault="00C526F7" w:rsidP="00C526F7">
      <w:pPr>
        <w:pStyle w:val="Heading2"/>
      </w:pPr>
      <w:bookmarkStart w:id="38" w:name="_Toc218246550"/>
      <w:bookmarkStart w:id="39" w:name="_Toc218869477"/>
      <w:bookmarkStart w:id="40" w:name="_Toc219735126"/>
      <w:bookmarkStart w:id="41" w:name="_Hlk23428944"/>
      <w:r w:rsidRPr="00271F35">
        <w:t>Privacy policy</w:t>
      </w:r>
      <w:bookmarkEnd w:id="38"/>
      <w:bookmarkEnd w:id="39"/>
      <w:bookmarkEnd w:id="40"/>
    </w:p>
    <w:p w14:paraId="6A274FCE" w14:textId="4592658E" w:rsidR="00C526F7" w:rsidRPr="00271F35" w:rsidRDefault="00C21330" w:rsidP="00C526F7">
      <w:r>
        <w:t>The Provider</w:t>
      </w:r>
      <w:r w:rsidR="00C526F7" w:rsidRPr="00271F35">
        <w:t xml:space="preserve"> must have a privacy policy that explains how client information will be managed, and that the policy:</w:t>
      </w:r>
    </w:p>
    <w:p w14:paraId="012D7F76" w14:textId="77777777" w:rsidR="00C526F7" w:rsidRPr="00271F35" w:rsidRDefault="00C526F7" w:rsidP="00C526F7">
      <w:pPr>
        <w:numPr>
          <w:ilvl w:val="0"/>
          <w:numId w:val="25"/>
        </w:numPr>
      </w:pPr>
      <w:r w:rsidRPr="00271F35">
        <w:t xml:space="preserve">aligns with current privacy legislation, including the </w:t>
      </w:r>
      <w:r w:rsidRPr="00271F35">
        <w:rPr>
          <w:i/>
        </w:rPr>
        <w:t>Privacy and Data Protection Act 2014 (Vic)</w:t>
      </w:r>
    </w:p>
    <w:p w14:paraId="497F7B61" w14:textId="77777777" w:rsidR="00C526F7" w:rsidRPr="00271F35" w:rsidRDefault="00C526F7" w:rsidP="00C526F7">
      <w:pPr>
        <w:numPr>
          <w:ilvl w:val="0"/>
          <w:numId w:val="25"/>
        </w:numPr>
      </w:pPr>
      <w:r w:rsidRPr="00271F35">
        <w:t xml:space="preserve">includes information on how conflicts of interests can occur and what the agency will do if a conflict is identified </w:t>
      </w:r>
    </w:p>
    <w:p w14:paraId="3AAD03D8" w14:textId="77777777" w:rsidR="00C526F7" w:rsidRPr="00271F35" w:rsidRDefault="00C526F7" w:rsidP="00C526F7">
      <w:pPr>
        <w:numPr>
          <w:ilvl w:val="0"/>
          <w:numId w:val="25"/>
        </w:numPr>
      </w:pPr>
      <w:r w:rsidRPr="00271F35">
        <w:t xml:space="preserve">acknowledges the requirements of a prescribed Information Sharing Entity under the </w:t>
      </w:r>
      <w:r w:rsidRPr="00271F35">
        <w:rPr>
          <w:i/>
        </w:rPr>
        <w:t>Family Violence Protection Act 2008</w:t>
      </w:r>
      <w:r w:rsidRPr="00271F35">
        <w:t xml:space="preserve">. </w:t>
      </w:r>
    </w:p>
    <w:bookmarkEnd w:id="41"/>
    <w:p w14:paraId="6F42566A" w14:textId="3E43B156" w:rsidR="0070108E" w:rsidRDefault="0070108E" w:rsidP="001B619B"/>
    <w:p w14:paraId="05327204" w14:textId="2B125AE6" w:rsidR="0070108E" w:rsidRPr="001D38BD" w:rsidRDefault="0070108E" w:rsidP="0070108E">
      <w:pPr>
        <w:pStyle w:val="Heading1"/>
      </w:pPr>
      <w:r>
        <w:br w:type="column"/>
      </w:r>
      <w:bookmarkStart w:id="42" w:name="_Toc219735127"/>
      <w:r>
        <w:lastRenderedPageBreak/>
        <w:t>8. Reporting requirements</w:t>
      </w:r>
      <w:bookmarkEnd w:id="42"/>
    </w:p>
    <w:p w14:paraId="7CE9AC1E" w14:textId="6E655EC9" w:rsidR="000A55D3" w:rsidRDefault="000A55D3" w:rsidP="000A55D3">
      <w:r>
        <w:t xml:space="preserve">Under the funding agreement, your agency must provide </w:t>
      </w:r>
      <w:proofErr w:type="gramStart"/>
      <w:r>
        <w:t>a number of</w:t>
      </w:r>
      <w:proofErr w:type="gramEnd"/>
      <w:r>
        <w:t xml:space="preserve"> reports to assist C</w:t>
      </w:r>
      <w:r w:rsidR="00484AF1">
        <w:t>AV</w:t>
      </w:r>
      <w:r>
        <w:t xml:space="preserve"> to assess service delivery performance and</w:t>
      </w:r>
      <w:r w:rsidR="00D225BC">
        <w:t xml:space="preserve"> to contribute to overall VRRP management</w:t>
      </w:r>
      <w:r>
        <w:t>. Agencies are required to provide the following reports:</w:t>
      </w:r>
    </w:p>
    <w:p w14:paraId="2B7CFBB4" w14:textId="5D52C8D3" w:rsidR="000A55D3" w:rsidRDefault="000A55D3" w:rsidP="006D6F54">
      <w:pPr>
        <w:pStyle w:val="ListParagraph"/>
        <w:numPr>
          <w:ilvl w:val="0"/>
          <w:numId w:val="7"/>
        </w:numPr>
      </w:pPr>
      <w:r>
        <w:t>quarterly data reports</w:t>
      </w:r>
    </w:p>
    <w:p w14:paraId="74D0E528" w14:textId="732C966C" w:rsidR="000A55D3" w:rsidRDefault="000A55D3" w:rsidP="006D6F54">
      <w:pPr>
        <w:pStyle w:val="ListParagraph"/>
        <w:numPr>
          <w:ilvl w:val="0"/>
          <w:numId w:val="7"/>
        </w:numPr>
      </w:pPr>
      <w:r>
        <w:t>six-monthly narrative reports</w:t>
      </w:r>
      <w:r w:rsidR="00FC4A59">
        <w:t xml:space="preserve"> including a case study</w:t>
      </w:r>
    </w:p>
    <w:p w14:paraId="0CF4154A" w14:textId="0BBF3B75" w:rsidR="000A55D3" w:rsidRDefault="000A55D3" w:rsidP="006D6F54">
      <w:pPr>
        <w:pStyle w:val="ListParagraph"/>
        <w:numPr>
          <w:ilvl w:val="0"/>
          <w:numId w:val="7"/>
        </w:numPr>
      </w:pPr>
      <w:r>
        <w:t xml:space="preserve">annual </w:t>
      </w:r>
      <w:r w:rsidR="00A3439A">
        <w:t xml:space="preserve">funding </w:t>
      </w:r>
      <w:r>
        <w:t>acquittal certificate</w:t>
      </w:r>
    </w:p>
    <w:p w14:paraId="0AE15EC6" w14:textId="5DAA1C1B" w:rsidR="000A55D3" w:rsidRDefault="000A55D3" w:rsidP="006D6F54">
      <w:pPr>
        <w:pStyle w:val="ListParagraph"/>
        <w:numPr>
          <w:ilvl w:val="0"/>
          <w:numId w:val="7"/>
        </w:numPr>
      </w:pPr>
      <w:r>
        <w:t>annual audited financial statement regarding the agency’s finances (a program audit is not required).</w:t>
      </w:r>
    </w:p>
    <w:p w14:paraId="7E9BA57E" w14:textId="05ADB82C" w:rsidR="007E45B8" w:rsidRDefault="000A55D3" w:rsidP="000D593A">
      <w:pPr>
        <w:sectPr w:rsidR="007E45B8" w:rsidSect="006B178A">
          <w:pgSz w:w="11906" w:h="16838"/>
          <w:pgMar w:top="1366" w:right="1440" w:bottom="1440" w:left="1440" w:header="794" w:footer="709" w:gutter="0"/>
          <w:cols w:num="2" w:space="708"/>
          <w:docGrid w:linePitch="360"/>
        </w:sectPr>
      </w:pPr>
      <w:r>
        <w:t xml:space="preserve">The timeframes and reporting requirements you will need to adhere to are outlined in the funding agreement and </w:t>
      </w:r>
      <w:r w:rsidR="003D38F4" w:rsidRPr="009C721C">
        <w:t xml:space="preserve">RCS </w:t>
      </w:r>
      <w:r w:rsidR="00F60C0B" w:rsidRPr="009C721C">
        <w:t>Request for Service</w:t>
      </w:r>
      <w:r w:rsidRPr="009C721C">
        <w:t xml:space="preserve"> Guidelines</w:t>
      </w:r>
      <w:r w:rsidR="00F60C0B" w:rsidRPr="009C721C">
        <w:t>.</w:t>
      </w:r>
    </w:p>
    <w:p w14:paraId="0278B6B4" w14:textId="77777777" w:rsidR="000D0670" w:rsidRPr="002F2AE0" w:rsidRDefault="000D0670" w:rsidP="00BF2DB0">
      <w:pPr>
        <w:pStyle w:val="Heading2"/>
      </w:pPr>
    </w:p>
    <w:sectPr w:rsidR="000D0670" w:rsidRPr="002F2AE0" w:rsidSect="006B178A">
      <w:pgSz w:w="11906" w:h="16838"/>
      <w:pgMar w:top="1366"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5F1E" w14:textId="77777777" w:rsidR="000F4034" w:rsidRDefault="000F4034" w:rsidP="00D45D10">
      <w:r>
        <w:separator/>
      </w:r>
    </w:p>
  </w:endnote>
  <w:endnote w:type="continuationSeparator" w:id="0">
    <w:p w14:paraId="158AB373" w14:textId="77777777" w:rsidR="000F4034" w:rsidRDefault="000F4034" w:rsidP="00D4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Regular">
    <w:altName w:val="Cambria"/>
    <w:panose1 w:val="00000000000000000000"/>
    <w:charset w:val="00"/>
    <w:family w:val="roman"/>
    <w:notTrueType/>
    <w:pitch w:val="default"/>
  </w:font>
  <w:font w:name="VIC">
    <w:panose1 w:val="00000500000000000000"/>
    <w:charset w:val="00"/>
    <w:family w:val="auto"/>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VIC Bold">
    <w:altName w:val="VIC"/>
    <w:panose1 w:val="000008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194157"/>
      <w:docPartObj>
        <w:docPartGallery w:val="Page Numbers (Bottom of Page)"/>
        <w:docPartUnique/>
      </w:docPartObj>
    </w:sdtPr>
    <w:sdtEndPr>
      <w:rPr>
        <w:rStyle w:val="PageNumber"/>
      </w:rPr>
    </w:sdtEndPr>
    <w:sdtContent>
      <w:p w14:paraId="22B20B21" w14:textId="7756421A" w:rsidR="006657DD" w:rsidRDefault="006657DD" w:rsidP="004F05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E0BE53" w14:textId="735224D3" w:rsidR="00CF1ABF" w:rsidRDefault="00CF1ABF" w:rsidP="006657DD">
    <w:pPr>
      <w:pStyle w:val="Footer"/>
      <w:ind w:right="360"/>
    </w:pPr>
    <w:r>
      <w:rPr>
        <w:noProof/>
      </w:rPr>
      <mc:AlternateContent>
        <mc:Choice Requires="wps">
          <w:drawing>
            <wp:anchor distT="0" distB="0" distL="0" distR="0" simplePos="0" relativeHeight="251658242" behindDoc="0" locked="0" layoutInCell="1" allowOverlap="1" wp14:anchorId="1106557F" wp14:editId="08BEA807">
              <wp:simplePos x="635" y="635"/>
              <wp:positionH relativeFrom="page">
                <wp:align>left</wp:align>
              </wp:positionH>
              <wp:positionV relativeFrom="page">
                <wp:align>bottom</wp:align>
              </wp:positionV>
              <wp:extent cx="824865" cy="387985"/>
              <wp:effectExtent l="0" t="0" r="635" b="0"/>
              <wp:wrapNone/>
              <wp:docPr id="72865867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6138D834" w14:textId="5CCB2CFD" w:rsidR="00CF1ABF" w:rsidRPr="00CF1ABF" w:rsidRDefault="00CF1ABF" w:rsidP="00D45D10">
                          <w:pP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06557F" id="_x0000_t202" coordsize="21600,21600" o:spt="202" path="m,l,21600r21600,l21600,xe">
              <v:stroke joinstyle="miter"/>
              <v:path gradientshapeok="t" o:connecttype="rect"/>
            </v:shapetype>
            <v:shape id="Text Box 2" o:spid="_x0000_s1026" type="#_x0000_t202" alt="OFFICIAL" style="position:absolute;margin-left:0;margin-top:0;width:64.95pt;height:30.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EDwIAABo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" filled="f" stroked="f">
              <v:textbox style="mso-fit-shape-to-text:t" inset="20pt,0,0,15pt">
                <w:txbxContent>
                  <w:p w14:paraId="6138D834" w14:textId="5CCB2CFD" w:rsidR="00CF1ABF" w:rsidRPr="00CF1ABF" w:rsidRDefault="00CF1ABF" w:rsidP="00D45D10">
                    <w:pPr>
                      <w:rPr>
                        <w:noProof/>
                      </w:rPr>
                    </w:pPr>
                    <w:r w:rsidRPr="00CF1ABF">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806185"/>
      <w:docPartObj>
        <w:docPartGallery w:val="Page Numbers (Bottom of Page)"/>
        <w:docPartUnique/>
      </w:docPartObj>
    </w:sdtPr>
    <w:sdtEndPr>
      <w:rPr>
        <w:rStyle w:val="PageNumber"/>
      </w:rPr>
    </w:sdtEndPr>
    <w:sdtContent>
      <w:p w14:paraId="10328497" w14:textId="0EA2A804" w:rsidR="006657DD" w:rsidRDefault="006657DD" w:rsidP="006657DD">
        <w:pPr>
          <w:pStyle w:val="Footer"/>
          <w:framePr w:w="709"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F00708" w14:textId="32CA0DC9" w:rsidR="00CF1ABF" w:rsidRDefault="00CF1ABF" w:rsidP="006657DD">
    <w:pPr>
      <w:pStyle w:val="Footer"/>
      <w:ind w:right="360"/>
    </w:pPr>
    <w:r>
      <w:rPr>
        <w:noProof/>
      </w:rPr>
      <mc:AlternateContent>
        <mc:Choice Requires="wps">
          <w:drawing>
            <wp:anchor distT="0" distB="0" distL="0" distR="0" simplePos="0" relativeHeight="251658243" behindDoc="0" locked="0" layoutInCell="1" allowOverlap="1" wp14:anchorId="66F3B725" wp14:editId="0670C75E">
              <wp:simplePos x="0" y="0"/>
              <wp:positionH relativeFrom="page">
                <wp:align>left</wp:align>
              </wp:positionH>
              <wp:positionV relativeFrom="page">
                <wp:align>bottom</wp:align>
              </wp:positionV>
              <wp:extent cx="824865" cy="387985"/>
              <wp:effectExtent l="0" t="0" r="635" b="0"/>
              <wp:wrapNone/>
              <wp:docPr id="178366631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296C3CFD" w14:textId="386C85B6" w:rsidR="00CF1ABF" w:rsidRPr="00CF1ABF" w:rsidRDefault="00CF1ABF" w:rsidP="00D45D10">
                          <w:pPr>
                            <w:pStyle w:val="Foote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F3B725" id="_x0000_t202" coordsize="21600,21600" o:spt="202" path="m,l,21600r21600,l21600,xe">
              <v:stroke joinstyle="miter"/>
              <v:path gradientshapeok="t" o:connecttype="rect"/>
            </v:shapetype>
            <v:shape id="Text Box 3" o:spid="_x0000_s1027" type="#_x0000_t202" alt="OFFICIAL" style="position:absolute;margin-left:0;margin-top:0;width:64.95pt;height:30.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" filled="f" stroked="f">
              <v:textbox style="mso-fit-shape-to-text:t" inset="20pt,0,0,15pt">
                <w:txbxContent>
                  <w:p w14:paraId="296C3CFD" w14:textId="386C85B6" w:rsidR="00CF1ABF" w:rsidRPr="00CF1ABF" w:rsidRDefault="00CF1ABF" w:rsidP="00D45D10">
                    <w:pPr>
                      <w:pStyle w:val="Footer"/>
                      <w:rPr>
                        <w:noProof/>
                      </w:rPr>
                    </w:pPr>
                    <w:r w:rsidRPr="00CF1ABF">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34E8" w14:textId="1B3B1192" w:rsidR="00CF1ABF" w:rsidRDefault="00A90F95" w:rsidP="00D45D10">
    <w:pPr>
      <w:pStyle w:val="Footer"/>
    </w:pPr>
    <w:r>
      <w:rPr>
        <w:noProof/>
      </w:rPr>
      <w:drawing>
        <wp:anchor distT="0" distB="0" distL="114300" distR="114300" simplePos="0" relativeHeight="251658244" behindDoc="0" locked="0" layoutInCell="1" allowOverlap="1" wp14:anchorId="576EDE17" wp14:editId="286A94D6">
          <wp:simplePos x="0" y="0"/>
          <wp:positionH relativeFrom="column">
            <wp:posOffset>4799421</wp:posOffset>
          </wp:positionH>
          <wp:positionV relativeFrom="paragraph">
            <wp:posOffset>-76200</wp:posOffset>
          </wp:positionV>
          <wp:extent cx="1558038" cy="489857"/>
          <wp:effectExtent l="0" t="0" r="4445" b="0"/>
          <wp:wrapNone/>
          <wp:docPr id="77361893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62640" name="Graphic 1197362640"/>
                  <pic:cNvPicPr/>
                </pic:nvPicPr>
                <pic:blipFill>
                  <a:blip r:embed="rId1">
                    <a:extLst>
                      <a:ext uri="{96DAC541-7B7A-43D3-8B79-37D633B846F1}">
                        <asvg:svgBlip xmlns:asvg="http://schemas.microsoft.com/office/drawing/2016/SVG/main" r:embed="rId2"/>
                      </a:ext>
                    </a:extLst>
                  </a:blip>
                  <a:stretch>
                    <a:fillRect/>
                  </a:stretch>
                </pic:blipFill>
                <pic:spPr>
                  <a:xfrm>
                    <a:off x="0" y="0"/>
                    <a:ext cx="1558038" cy="489857"/>
                  </a:xfrm>
                  <a:prstGeom prst="rect">
                    <a:avLst/>
                  </a:prstGeom>
                </pic:spPr>
              </pic:pic>
            </a:graphicData>
          </a:graphic>
          <wp14:sizeRelH relativeFrom="page">
            <wp14:pctWidth>0</wp14:pctWidth>
          </wp14:sizeRelH>
          <wp14:sizeRelV relativeFrom="page">
            <wp14:pctHeight>0</wp14:pctHeight>
          </wp14:sizeRelV>
        </wp:anchor>
      </w:drawing>
    </w:r>
    <w:r w:rsidR="00CF1ABF">
      <w:rPr>
        <w:noProof/>
      </w:rPr>
      <mc:AlternateContent>
        <mc:Choice Requires="wps">
          <w:drawing>
            <wp:anchor distT="0" distB="0" distL="0" distR="0" simplePos="0" relativeHeight="251658241" behindDoc="0" locked="0" layoutInCell="1" allowOverlap="1" wp14:anchorId="4BE152F0" wp14:editId="0F64D915">
              <wp:simplePos x="635" y="635"/>
              <wp:positionH relativeFrom="page">
                <wp:align>left</wp:align>
              </wp:positionH>
              <wp:positionV relativeFrom="page">
                <wp:align>bottom</wp:align>
              </wp:positionV>
              <wp:extent cx="824865" cy="387985"/>
              <wp:effectExtent l="0" t="0" r="635" b="0"/>
              <wp:wrapNone/>
              <wp:docPr id="20911666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110E0D66" w14:textId="6324C078" w:rsidR="00CF1ABF" w:rsidRPr="00A90F95" w:rsidRDefault="00CF1ABF" w:rsidP="00D45D10">
                          <w:pPr>
                            <w:pStyle w:val="Footer"/>
                          </w:pPr>
                          <w:r w:rsidRPr="00A90F95">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E152F0" id="_x0000_t202" coordsize="21600,21600" o:spt="202" path="m,l,21600r21600,l21600,xe">
              <v:stroke joinstyle="miter"/>
              <v:path gradientshapeok="t" o:connecttype="rect"/>
            </v:shapetype>
            <v:shape id="Text Box 1" o:spid="_x0000_s1028" type="#_x0000_t202" alt="OFFICIAL" style="position:absolute;margin-left:0;margin-top:0;width:64.9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pFA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" filled="f" stroked="f">
              <v:textbox style="mso-fit-shape-to-text:t" inset="20pt,0,0,15pt">
                <w:txbxContent>
                  <w:p w14:paraId="110E0D66" w14:textId="6324C078" w:rsidR="00CF1ABF" w:rsidRPr="00A90F95" w:rsidRDefault="00CF1ABF" w:rsidP="00D45D10">
                    <w:pPr>
                      <w:pStyle w:val="Footer"/>
                    </w:pPr>
                    <w:r w:rsidRPr="00A90F95">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E5A7" w14:textId="77777777" w:rsidR="000F4034" w:rsidRDefault="000F4034" w:rsidP="00D45D10">
      <w:r>
        <w:separator/>
      </w:r>
    </w:p>
  </w:footnote>
  <w:footnote w:type="continuationSeparator" w:id="0">
    <w:p w14:paraId="0750280E" w14:textId="77777777" w:rsidR="000F4034" w:rsidRDefault="000F4034" w:rsidP="00D4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9D0" w14:textId="6E96C450" w:rsidR="000059DA" w:rsidRPr="001B3F54" w:rsidRDefault="001779E9" w:rsidP="005818DE">
    <w:pPr>
      <w:pStyle w:val="Header"/>
    </w:pPr>
    <w:r>
      <w:rPr>
        <w:b/>
        <w:bCs/>
      </w:rPr>
      <w:t>Renting Central Service</w:t>
    </w:r>
    <w:r w:rsidR="005818DE" w:rsidRPr="00702D55">
      <w:rPr>
        <w:b/>
        <w:bCs/>
      </w:rPr>
      <w:t>:</w:t>
    </w:r>
    <w:r w:rsidR="005818DE" w:rsidRPr="00863347">
      <w:t xml:space="preserve"> Program </w:t>
    </w:r>
    <w:r w:rsidR="005818DE" w:rsidRPr="00863347">
      <w:rPr>
        <w:rStyle w:val="HeaderChar"/>
      </w:rPr>
      <w:t>Guidelines</w:t>
    </w:r>
    <w:r w:rsidR="005818DE" w:rsidRPr="0086334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4EE6" w14:textId="77507F74" w:rsidR="000059DA" w:rsidRDefault="00A90F95" w:rsidP="00863347">
    <w:pPr>
      <w:pStyle w:val="Header"/>
    </w:pPr>
    <w:r>
      <w:rPr>
        <w:noProof/>
      </w:rPr>
      <mc:AlternateContent>
        <mc:Choice Requires="wps">
          <w:drawing>
            <wp:anchor distT="0" distB="0" distL="114300" distR="114300" simplePos="0" relativeHeight="251658240" behindDoc="0" locked="0" layoutInCell="1" allowOverlap="1" wp14:anchorId="2A0AC8AA" wp14:editId="5840BC3A">
              <wp:simplePos x="0" y="0"/>
              <wp:positionH relativeFrom="margin">
                <wp:posOffset>-914400</wp:posOffset>
              </wp:positionH>
              <wp:positionV relativeFrom="paragraph">
                <wp:posOffset>-177800</wp:posOffset>
              </wp:positionV>
              <wp:extent cx="7560310" cy="9775371"/>
              <wp:effectExtent l="0" t="0" r="0" b="3810"/>
              <wp:wrapNone/>
              <wp:docPr id="2063288543" name="Rectangle 5"/>
              <wp:cNvGraphicFramePr/>
              <a:graphic xmlns:a="http://schemas.openxmlformats.org/drawingml/2006/main">
                <a:graphicData uri="http://schemas.microsoft.com/office/word/2010/wordprocessingShape">
                  <wps:wsp>
                    <wps:cNvSpPr/>
                    <wps:spPr>
                      <a:xfrm>
                        <a:off x="0" y="0"/>
                        <a:ext cx="7560310" cy="9775371"/>
                      </a:xfrm>
                      <a:prstGeom prst="rect">
                        <a:avLst/>
                      </a:prstGeom>
                      <a:solidFill>
                        <a:srgbClr val="0072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8BB6D" id="Rectangle 5" o:spid="_x0000_s1026" style="position:absolute;margin-left:-1in;margin-top:-14pt;width:595.3pt;height:76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" fillcolor="#0072ce"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E324" w14:textId="5BA59846" w:rsidR="00FE4C46" w:rsidRPr="001B3F54" w:rsidRDefault="001779E9" w:rsidP="005818DE">
    <w:pPr>
      <w:pStyle w:val="Header"/>
    </w:pPr>
    <w:r>
      <w:rPr>
        <w:b/>
        <w:bCs/>
      </w:rPr>
      <w:t>Renting Central Service</w:t>
    </w:r>
    <w:r w:rsidR="00FE4C46" w:rsidRPr="00702D55">
      <w:rPr>
        <w:b/>
        <w:bCs/>
      </w:rPr>
      <w:t>:</w:t>
    </w:r>
    <w:r w:rsidR="00FE4C46" w:rsidRPr="00863347">
      <w:t xml:space="preserve"> Program </w:t>
    </w:r>
    <w:r w:rsidR="00FE4C46" w:rsidRPr="00863347">
      <w:rPr>
        <w:rStyle w:val="HeaderChar"/>
      </w:rPr>
      <w:t>Guidelines</w:t>
    </w:r>
    <w:r w:rsidR="00FE4C46" w:rsidRPr="008633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23D"/>
    <w:multiLevelType w:val="hybridMultilevel"/>
    <w:tmpl w:val="85E0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90949"/>
    <w:multiLevelType w:val="hybridMultilevel"/>
    <w:tmpl w:val="E3CCBCA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952EB"/>
    <w:multiLevelType w:val="hybridMultilevel"/>
    <w:tmpl w:val="C7A20E7E"/>
    <w:lvl w:ilvl="0" w:tplc="1BAE58C2">
      <w:numFmt w:val="bullet"/>
      <w:lvlText w:val="•"/>
      <w:lvlJc w:val="left"/>
      <w:pPr>
        <w:ind w:left="340" w:hanging="227"/>
      </w:pPr>
      <w:rPr>
        <w:rFonts w:ascii="Vic Regular" w:eastAsiaTheme="minorHAnsi" w:hAnsi="Vic Regular" w:cstheme="minorBidi" w:hint="default"/>
      </w:rPr>
    </w:lvl>
    <w:lvl w:ilvl="1" w:tplc="72A81464">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A23958"/>
    <w:multiLevelType w:val="multilevel"/>
    <w:tmpl w:val="C7A20E7E"/>
    <w:styleLink w:val="CurrentList1"/>
    <w:lvl w:ilvl="0">
      <w:numFmt w:val="bullet"/>
      <w:lvlText w:val="•"/>
      <w:lvlJc w:val="left"/>
      <w:pPr>
        <w:ind w:left="340" w:hanging="227"/>
      </w:pPr>
      <w:rPr>
        <w:rFonts w:ascii="Vic Regular" w:eastAsiaTheme="minorHAnsi" w:hAnsi="Vic Regular"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95408"/>
    <w:multiLevelType w:val="hybridMultilevel"/>
    <w:tmpl w:val="76309D3E"/>
    <w:lvl w:ilvl="0" w:tplc="FFFFFFFF">
      <w:numFmt w:val="bullet"/>
      <w:lvlText w:val="•"/>
      <w:lvlJc w:val="left"/>
      <w:pPr>
        <w:ind w:left="567" w:hanging="227"/>
      </w:pPr>
      <w:rPr>
        <w:rFonts w:ascii="Vic Regular" w:eastAsiaTheme="minorHAnsi" w:hAnsi="Vic Regular" w:cstheme="minorBidi" w:hint="default"/>
      </w:rPr>
    </w:lvl>
    <w:lvl w:ilvl="1" w:tplc="4D540920">
      <w:numFmt w:val="bullet"/>
      <w:lvlText w:val="–"/>
      <w:lvlJc w:val="left"/>
      <w:pPr>
        <w:ind w:left="1667" w:hanging="360"/>
      </w:pPr>
      <w:rPr>
        <w:rFonts w:ascii="VIC" w:eastAsia="VIC" w:hAnsi="VIC" w:cs="VIC" w:hint="default"/>
        <w:color w:val="231F20"/>
        <w:spacing w:val="-10"/>
        <w:w w:val="100"/>
        <w:sz w:val="21"/>
        <w:szCs w:val="21"/>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1192331D"/>
    <w:multiLevelType w:val="hybridMultilevel"/>
    <w:tmpl w:val="554E21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446F1"/>
    <w:multiLevelType w:val="hybridMultilevel"/>
    <w:tmpl w:val="B89AA0A0"/>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C471F"/>
    <w:multiLevelType w:val="hybridMultilevel"/>
    <w:tmpl w:val="491C0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271557"/>
    <w:multiLevelType w:val="hybridMultilevel"/>
    <w:tmpl w:val="E3247F9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E67B4"/>
    <w:multiLevelType w:val="hybridMultilevel"/>
    <w:tmpl w:val="75141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0282B"/>
    <w:multiLevelType w:val="hybridMultilevel"/>
    <w:tmpl w:val="7744F4F2"/>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14674"/>
    <w:multiLevelType w:val="hybridMultilevel"/>
    <w:tmpl w:val="C1B84AAA"/>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2" w15:restartNumberingAfterBreak="0">
    <w:nsid w:val="3BF97513"/>
    <w:multiLevelType w:val="hybridMultilevel"/>
    <w:tmpl w:val="6146382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37C56"/>
    <w:multiLevelType w:val="hybridMultilevel"/>
    <w:tmpl w:val="97225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490D41"/>
    <w:multiLevelType w:val="hybridMultilevel"/>
    <w:tmpl w:val="7304C610"/>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45693"/>
    <w:multiLevelType w:val="hybridMultilevel"/>
    <w:tmpl w:val="01CAE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1E04FC"/>
    <w:multiLevelType w:val="hybridMultilevel"/>
    <w:tmpl w:val="25BE6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2D5242"/>
    <w:multiLevelType w:val="hybridMultilevel"/>
    <w:tmpl w:val="E1262360"/>
    <w:lvl w:ilvl="0" w:tplc="7624B87E">
      <w:numFmt w:val="bullet"/>
      <w:lvlText w:val="•"/>
      <w:lvlJc w:val="left"/>
      <w:pPr>
        <w:ind w:left="340" w:hanging="227"/>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F4E32"/>
    <w:multiLevelType w:val="hybridMultilevel"/>
    <w:tmpl w:val="2FC01D2E"/>
    <w:lvl w:ilvl="0" w:tplc="0809000F">
      <w:start w:val="1"/>
      <w:numFmt w:val="decimal"/>
      <w:lvlText w:val="%1."/>
      <w:lvlJc w:val="left"/>
      <w:pPr>
        <w:ind w:left="473" w:hanging="360"/>
      </w:pPr>
      <w:rPr>
        <w:rFont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30F31"/>
    <w:multiLevelType w:val="hybridMultilevel"/>
    <w:tmpl w:val="E370F66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58D35D0A"/>
    <w:multiLevelType w:val="hybridMultilevel"/>
    <w:tmpl w:val="A24CC2E2"/>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B45131"/>
    <w:multiLevelType w:val="hybridMultilevel"/>
    <w:tmpl w:val="1CDA48F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C7C04"/>
    <w:multiLevelType w:val="hybridMultilevel"/>
    <w:tmpl w:val="00C4B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341C6E"/>
    <w:multiLevelType w:val="hybridMultilevel"/>
    <w:tmpl w:val="C70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00416"/>
    <w:multiLevelType w:val="hybridMultilevel"/>
    <w:tmpl w:val="D4740FBA"/>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147DA3"/>
    <w:multiLevelType w:val="hybridMultilevel"/>
    <w:tmpl w:val="578E5A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70C04942"/>
    <w:multiLevelType w:val="hybridMultilevel"/>
    <w:tmpl w:val="540A7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A4640D"/>
    <w:multiLevelType w:val="hybridMultilevel"/>
    <w:tmpl w:val="FFC6DDEC"/>
    <w:lvl w:ilvl="0" w:tplc="566E1EA8">
      <w:numFmt w:val="bullet"/>
      <w:pStyle w:val="ListParagraph"/>
      <w:lvlText w:val="•"/>
      <w:lvlJc w:val="left"/>
      <w:pPr>
        <w:ind w:left="340" w:hanging="227"/>
      </w:pPr>
      <w:rPr>
        <w:rFonts w:ascii="Vic Regular" w:hAnsi="Vic Regular" w:cs="Times New Roman (Body C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D1DF3"/>
    <w:multiLevelType w:val="hybridMultilevel"/>
    <w:tmpl w:val="571A0A86"/>
    <w:lvl w:ilvl="0" w:tplc="F0D271EE">
      <w:start w:val="1"/>
      <w:numFmt w:val="decimal"/>
      <w:lvlText w:val="%1."/>
      <w:lvlJc w:val="left"/>
      <w:pPr>
        <w:ind w:left="113" w:hanging="407"/>
      </w:pPr>
      <w:rPr>
        <w:rFonts w:ascii="VIC Medium" w:eastAsia="VIC Medium" w:hAnsi="VIC Medium" w:cs="VIC Medium" w:hint="default"/>
        <w:color w:val="B8222F"/>
        <w:spacing w:val="-43"/>
        <w:w w:val="100"/>
        <w:sz w:val="48"/>
        <w:szCs w:val="48"/>
      </w:rPr>
    </w:lvl>
    <w:lvl w:ilvl="1" w:tplc="49F24AD0">
      <w:numFmt w:val="bullet"/>
      <w:lvlText w:val="•"/>
      <w:lvlJc w:val="left"/>
      <w:pPr>
        <w:ind w:left="5344" w:hanging="227"/>
      </w:pPr>
      <w:rPr>
        <w:rFonts w:ascii="VIC" w:eastAsia="VIC" w:hAnsi="VIC" w:cs="VIC" w:hint="default"/>
        <w:color w:val="231F20"/>
        <w:spacing w:val="-16"/>
        <w:w w:val="100"/>
        <w:sz w:val="21"/>
        <w:szCs w:val="21"/>
      </w:rPr>
    </w:lvl>
    <w:lvl w:ilvl="2" w:tplc="9162D66E">
      <w:numFmt w:val="bullet"/>
      <w:lvlText w:val="•"/>
      <w:lvlJc w:val="left"/>
      <w:pPr>
        <w:ind w:left="5818" w:hanging="227"/>
      </w:pPr>
      <w:rPr>
        <w:rFonts w:hint="default"/>
      </w:rPr>
    </w:lvl>
    <w:lvl w:ilvl="3" w:tplc="EDB4BC2E">
      <w:numFmt w:val="bullet"/>
      <w:lvlText w:val="•"/>
      <w:lvlJc w:val="left"/>
      <w:pPr>
        <w:ind w:left="6296" w:hanging="227"/>
      </w:pPr>
      <w:rPr>
        <w:rFonts w:hint="default"/>
      </w:rPr>
    </w:lvl>
    <w:lvl w:ilvl="4" w:tplc="B7AA8B30">
      <w:numFmt w:val="bullet"/>
      <w:lvlText w:val="•"/>
      <w:lvlJc w:val="left"/>
      <w:pPr>
        <w:ind w:left="6775" w:hanging="227"/>
      </w:pPr>
      <w:rPr>
        <w:rFonts w:hint="default"/>
      </w:rPr>
    </w:lvl>
    <w:lvl w:ilvl="5" w:tplc="16225792">
      <w:numFmt w:val="bullet"/>
      <w:lvlText w:val="•"/>
      <w:lvlJc w:val="left"/>
      <w:pPr>
        <w:ind w:left="7253" w:hanging="227"/>
      </w:pPr>
      <w:rPr>
        <w:rFonts w:hint="default"/>
      </w:rPr>
    </w:lvl>
    <w:lvl w:ilvl="6" w:tplc="F348DB66">
      <w:numFmt w:val="bullet"/>
      <w:lvlText w:val="•"/>
      <w:lvlJc w:val="left"/>
      <w:pPr>
        <w:ind w:left="7731" w:hanging="227"/>
      </w:pPr>
      <w:rPr>
        <w:rFonts w:hint="default"/>
      </w:rPr>
    </w:lvl>
    <w:lvl w:ilvl="7" w:tplc="559A8F64">
      <w:numFmt w:val="bullet"/>
      <w:lvlText w:val="•"/>
      <w:lvlJc w:val="left"/>
      <w:pPr>
        <w:ind w:left="8210" w:hanging="227"/>
      </w:pPr>
      <w:rPr>
        <w:rFonts w:hint="default"/>
      </w:rPr>
    </w:lvl>
    <w:lvl w:ilvl="8" w:tplc="55A884E2">
      <w:numFmt w:val="bullet"/>
      <w:lvlText w:val="•"/>
      <w:lvlJc w:val="left"/>
      <w:pPr>
        <w:ind w:left="8688" w:hanging="227"/>
      </w:pPr>
      <w:rPr>
        <w:rFonts w:hint="default"/>
      </w:rPr>
    </w:lvl>
  </w:abstractNum>
  <w:abstractNum w:abstractNumId="29" w15:restartNumberingAfterBreak="0">
    <w:nsid w:val="7C5927C3"/>
    <w:multiLevelType w:val="hybridMultilevel"/>
    <w:tmpl w:val="5E88F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2639292">
    <w:abstractNumId w:val="28"/>
  </w:num>
  <w:num w:numId="2" w16cid:durableId="871890979">
    <w:abstractNumId w:val="23"/>
  </w:num>
  <w:num w:numId="3" w16cid:durableId="1016494154">
    <w:abstractNumId w:val="0"/>
  </w:num>
  <w:num w:numId="4" w16cid:durableId="1008603368">
    <w:abstractNumId w:val="19"/>
  </w:num>
  <w:num w:numId="5" w16cid:durableId="722801220">
    <w:abstractNumId w:val="11"/>
  </w:num>
  <w:num w:numId="6" w16cid:durableId="1412048199">
    <w:abstractNumId w:val="14"/>
  </w:num>
  <w:num w:numId="7" w16cid:durableId="1259561269">
    <w:abstractNumId w:val="2"/>
  </w:num>
  <w:num w:numId="8" w16cid:durableId="1471440227">
    <w:abstractNumId w:val="17"/>
  </w:num>
  <w:num w:numId="9" w16cid:durableId="1938560006">
    <w:abstractNumId w:val="24"/>
  </w:num>
  <w:num w:numId="10" w16cid:durableId="125780950">
    <w:abstractNumId w:val="10"/>
  </w:num>
  <w:num w:numId="11" w16cid:durableId="48850371">
    <w:abstractNumId w:val="8"/>
  </w:num>
  <w:num w:numId="12" w16cid:durableId="216866551">
    <w:abstractNumId w:val="5"/>
  </w:num>
  <w:num w:numId="13" w16cid:durableId="1437482125">
    <w:abstractNumId w:val="9"/>
  </w:num>
  <w:num w:numId="14" w16cid:durableId="632100784">
    <w:abstractNumId w:val="21"/>
  </w:num>
  <w:num w:numId="15" w16cid:durableId="418260182">
    <w:abstractNumId w:val="20"/>
  </w:num>
  <w:num w:numId="16" w16cid:durableId="1583831676">
    <w:abstractNumId w:val="6"/>
  </w:num>
  <w:num w:numId="17" w16cid:durableId="1540624988">
    <w:abstractNumId w:val="1"/>
  </w:num>
  <w:num w:numId="18" w16cid:durableId="1016887131">
    <w:abstractNumId w:val="12"/>
  </w:num>
  <w:num w:numId="19" w16cid:durableId="1850749372">
    <w:abstractNumId w:val="4"/>
  </w:num>
  <w:num w:numId="20" w16cid:durableId="621421635">
    <w:abstractNumId w:val="3"/>
  </w:num>
  <w:num w:numId="21" w16cid:durableId="949774054">
    <w:abstractNumId w:val="18"/>
  </w:num>
  <w:num w:numId="22" w16cid:durableId="1051881949">
    <w:abstractNumId w:val="27"/>
  </w:num>
  <w:num w:numId="23" w16cid:durableId="803080328">
    <w:abstractNumId w:val="26"/>
  </w:num>
  <w:num w:numId="24" w16cid:durableId="370691100">
    <w:abstractNumId w:val="7"/>
  </w:num>
  <w:num w:numId="25" w16cid:durableId="512963814">
    <w:abstractNumId w:val="25"/>
  </w:num>
  <w:num w:numId="26" w16cid:durableId="1507938490">
    <w:abstractNumId w:val="16"/>
  </w:num>
  <w:num w:numId="27" w16cid:durableId="980159624">
    <w:abstractNumId w:val="29"/>
  </w:num>
  <w:num w:numId="28" w16cid:durableId="412505796">
    <w:abstractNumId w:val="22"/>
  </w:num>
  <w:num w:numId="29" w16cid:durableId="1814836225">
    <w:abstractNumId w:val="15"/>
  </w:num>
  <w:num w:numId="30" w16cid:durableId="281960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GridTable4-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BF"/>
    <w:rsid w:val="000019E6"/>
    <w:rsid w:val="00004695"/>
    <w:rsid w:val="000059DA"/>
    <w:rsid w:val="000072BC"/>
    <w:rsid w:val="00007E01"/>
    <w:rsid w:val="00012065"/>
    <w:rsid w:val="00012AD7"/>
    <w:rsid w:val="00015E4D"/>
    <w:rsid w:val="00022EB3"/>
    <w:rsid w:val="000234F7"/>
    <w:rsid w:val="000275B8"/>
    <w:rsid w:val="000313A8"/>
    <w:rsid w:val="00032247"/>
    <w:rsid w:val="000325E7"/>
    <w:rsid w:val="000333A1"/>
    <w:rsid w:val="00033643"/>
    <w:rsid w:val="000364C2"/>
    <w:rsid w:val="00037BC5"/>
    <w:rsid w:val="00043274"/>
    <w:rsid w:val="000454BC"/>
    <w:rsid w:val="00050929"/>
    <w:rsid w:val="0005242C"/>
    <w:rsid w:val="00053BA6"/>
    <w:rsid w:val="000547EF"/>
    <w:rsid w:val="00057A81"/>
    <w:rsid w:val="000630E8"/>
    <w:rsid w:val="0006409D"/>
    <w:rsid w:val="00066816"/>
    <w:rsid w:val="0007151F"/>
    <w:rsid w:val="00081346"/>
    <w:rsid w:val="000819D0"/>
    <w:rsid w:val="00097402"/>
    <w:rsid w:val="00097B4D"/>
    <w:rsid w:val="000A249B"/>
    <w:rsid w:val="000A55D3"/>
    <w:rsid w:val="000B081A"/>
    <w:rsid w:val="000B4B90"/>
    <w:rsid w:val="000C1386"/>
    <w:rsid w:val="000C2243"/>
    <w:rsid w:val="000C3D71"/>
    <w:rsid w:val="000C5479"/>
    <w:rsid w:val="000C5C4D"/>
    <w:rsid w:val="000D0670"/>
    <w:rsid w:val="000D32B5"/>
    <w:rsid w:val="000D593A"/>
    <w:rsid w:val="000E22D0"/>
    <w:rsid w:val="000E57B8"/>
    <w:rsid w:val="000F14BB"/>
    <w:rsid w:val="000F2E15"/>
    <w:rsid w:val="000F4034"/>
    <w:rsid w:val="000F4509"/>
    <w:rsid w:val="001024CC"/>
    <w:rsid w:val="0010583F"/>
    <w:rsid w:val="00110260"/>
    <w:rsid w:val="00110485"/>
    <w:rsid w:val="00112B05"/>
    <w:rsid w:val="00114781"/>
    <w:rsid w:val="00117250"/>
    <w:rsid w:val="00121E23"/>
    <w:rsid w:val="00143DAD"/>
    <w:rsid w:val="001462A4"/>
    <w:rsid w:val="001463F4"/>
    <w:rsid w:val="00147602"/>
    <w:rsid w:val="00152075"/>
    <w:rsid w:val="00152758"/>
    <w:rsid w:val="001546F2"/>
    <w:rsid w:val="00155B84"/>
    <w:rsid w:val="00155FC4"/>
    <w:rsid w:val="001611BB"/>
    <w:rsid w:val="001632D8"/>
    <w:rsid w:val="00163DE1"/>
    <w:rsid w:val="00171170"/>
    <w:rsid w:val="00172C8B"/>
    <w:rsid w:val="00172CAC"/>
    <w:rsid w:val="00177397"/>
    <w:rsid w:val="001779E9"/>
    <w:rsid w:val="0018138B"/>
    <w:rsid w:val="0018335B"/>
    <w:rsid w:val="001858E4"/>
    <w:rsid w:val="00186311"/>
    <w:rsid w:val="00190F9B"/>
    <w:rsid w:val="001933D9"/>
    <w:rsid w:val="001A01FD"/>
    <w:rsid w:val="001A0E11"/>
    <w:rsid w:val="001A1789"/>
    <w:rsid w:val="001A2C61"/>
    <w:rsid w:val="001A4E7F"/>
    <w:rsid w:val="001B1E3E"/>
    <w:rsid w:val="001B3F38"/>
    <w:rsid w:val="001B3F54"/>
    <w:rsid w:val="001B619B"/>
    <w:rsid w:val="001B6E9C"/>
    <w:rsid w:val="001B78E5"/>
    <w:rsid w:val="001C0073"/>
    <w:rsid w:val="001C2E78"/>
    <w:rsid w:val="001C2EB5"/>
    <w:rsid w:val="001C55EE"/>
    <w:rsid w:val="001C7B47"/>
    <w:rsid w:val="001D0927"/>
    <w:rsid w:val="001D1A56"/>
    <w:rsid w:val="001D1DC7"/>
    <w:rsid w:val="001D22AC"/>
    <w:rsid w:val="001D38BD"/>
    <w:rsid w:val="001D41B3"/>
    <w:rsid w:val="001D6577"/>
    <w:rsid w:val="001E567E"/>
    <w:rsid w:val="001F2464"/>
    <w:rsid w:val="0020008C"/>
    <w:rsid w:val="0020077A"/>
    <w:rsid w:val="002029B1"/>
    <w:rsid w:val="00205C63"/>
    <w:rsid w:val="00211A21"/>
    <w:rsid w:val="00212794"/>
    <w:rsid w:val="002135BE"/>
    <w:rsid w:val="00213AE2"/>
    <w:rsid w:val="0021476B"/>
    <w:rsid w:val="00216179"/>
    <w:rsid w:val="00220893"/>
    <w:rsid w:val="00221EE2"/>
    <w:rsid w:val="00225387"/>
    <w:rsid w:val="0022563D"/>
    <w:rsid w:val="0022608C"/>
    <w:rsid w:val="00226C1D"/>
    <w:rsid w:val="00234ED0"/>
    <w:rsid w:val="00235168"/>
    <w:rsid w:val="00236879"/>
    <w:rsid w:val="0024066F"/>
    <w:rsid w:val="00241A7E"/>
    <w:rsid w:val="00241B25"/>
    <w:rsid w:val="0024414A"/>
    <w:rsid w:val="00245B34"/>
    <w:rsid w:val="00247EE6"/>
    <w:rsid w:val="002514BB"/>
    <w:rsid w:val="002520E8"/>
    <w:rsid w:val="00253C65"/>
    <w:rsid w:val="002615B2"/>
    <w:rsid w:val="00261796"/>
    <w:rsid w:val="00261E56"/>
    <w:rsid w:val="002626A2"/>
    <w:rsid w:val="0026284C"/>
    <w:rsid w:val="0026619D"/>
    <w:rsid w:val="002726CB"/>
    <w:rsid w:val="00282424"/>
    <w:rsid w:val="0029505F"/>
    <w:rsid w:val="0029608B"/>
    <w:rsid w:val="00296691"/>
    <w:rsid w:val="002A01AA"/>
    <w:rsid w:val="002A0A18"/>
    <w:rsid w:val="002A269A"/>
    <w:rsid w:val="002A348C"/>
    <w:rsid w:val="002A393C"/>
    <w:rsid w:val="002B1798"/>
    <w:rsid w:val="002B312C"/>
    <w:rsid w:val="002B6D42"/>
    <w:rsid w:val="002C076D"/>
    <w:rsid w:val="002C2102"/>
    <w:rsid w:val="002C60D9"/>
    <w:rsid w:val="002C79D8"/>
    <w:rsid w:val="002D1EBF"/>
    <w:rsid w:val="002D2A9F"/>
    <w:rsid w:val="002D5AB3"/>
    <w:rsid w:val="002D7A49"/>
    <w:rsid w:val="002E0D9F"/>
    <w:rsid w:val="002E1E81"/>
    <w:rsid w:val="002E28AC"/>
    <w:rsid w:val="002E3A9E"/>
    <w:rsid w:val="002E52D5"/>
    <w:rsid w:val="002F2AE0"/>
    <w:rsid w:val="002F3D76"/>
    <w:rsid w:val="002F5115"/>
    <w:rsid w:val="002F7409"/>
    <w:rsid w:val="003018D4"/>
    <w:rsid w:val="00302787"/>
    <w:rsid w:val="0030700B"/>
    <w:rsid w:val="0030748D"/>
    <w:rsid w:val="0031041B"/>
    <w:rsid w:val="003231B6"/>
    <w:rsid w:val="003244DD"/>
    <w:rsid w:val="00324C8A"/>
    <w:rsid w:val="00324C9B"/>
    <w:rsid w:val="00331143"/>
    <w:rsid w:val="00335359"/>
    <w:rsid w:val="0033781B"/>
    <w:rsid w:val="00345E13"/>
    <w:rsid w:val="00345EF0"/>
    <w:rsid w:val="0034678E"/>
    <w:rsid w:val="0035198A"/>
    <w:rsid w:val="00353A4E"/>
    <w:rsid w:val="003551AB"/>
    <w:rsid w:val="00357813"/>
    <w:rsid w:val="00360F62"/>
    <w:rsid w:val="00361C6C"/>
    <w:rsid w:val="00362B98"/>
    <w:rsid w:val="00362F03"/>
    <w:rsid w:val="003655B4"/>
    <w:rsid w:val="00365D23"/>
    <w:rsid w:val="0037310D"/>
    <w:rsid w:val="00373BB0"/>
    <w:rsid w:val="00375470"/>
    <w:rsid w:val="003809CB"/>
    <w:rsid w:val="00394520"/>
    <w:rsid w:val="003A3E67"/>
    <w:rsid w:val="003A71D3"/>
    <w:rsid w:val="003B083F"/>
    <w:rsid w:val="003B656C"/>
    <w:rsid w:val="003C4C13"/>
    <w:rsid w:val="003D2504"/>
    <w:rsid w:val="003D25C9"/>
    <w:rsid w:val="003D2F63"/>
    <w:rsid w:val="003D3565"/>
    <w:rsid w:val="003D38F4"/>
    <w:rsid w:val="003D4BCD"/>
    <w:rsid w:val="003E0621"/>
    <w:rsid w:val="003E0D63"/>
    <w:rsid w:val="003E3F0D"/>
    <w:rsid w:val="003E4E44"/>
    <w:rsid w:val="003F10C9"/>
    <w:rsid w:val="003F1E3A"/>
    <w:rsid w:val="003F7C32"/>
    <w:rsid w:val="0040211F"/>
    <w:rsid w:val="00402EB7"/>
    <w:rsid w:val="0040476B"/>
    <w:rsid w:val="004059F4"/>
    <w:rsid w:val="0040698A"/>
    <w:rsid w:val="00410250"/>
    <w:rsid w:val="00412908"/>
    <w:rsid w:val="00413C98"/>
    <w:rsid w:val="0041446C"/>
    <w:rsid w:val="00414F6E"/>
    <w:rsid w:val="004160DD"/>
    <w:rsid w:val="00416130"/>
    <w:rsid w:val="00416733"/>
    <w:rsid w:val="0042240D"/>
    <w:rsid w:val="00424753"/>
    <w:rsid w:val="0043186A"/>
    <w:rsid w:val="00434042"/>
    <w:rsid w:val="00434393"/>
    <w:rsid w:val="00437704"/>
    <w:rsid w:val="00442ACF"/>
    <w:rsid w:val="00442DF1"/>
    <w:rsid w:val="00443923"/>
    <w:rsid w:val="00443A8D"/>
    <w:rsid w:val="00444B1A"/>
    <w:rsid w:val="00445AE7"/>
    <w:rsid w:val="00452329"/>
    <w:rsid w:val="00454E2A"/>
    <w:rsid w:val="004556E3"/>
    <w:rsid w:val="0045686E"/>
    <w:rsid w:val="00457515"/>
    <w:rsid w:val="0046378C"/>
    <w:rsid w:val="004675D4"/>
    <w:rsid w:val="00470AAB"/>
    <w:rsid w:val="00472CCC"/>
    <w:rsid w:val="004773F5"/>
    <w:rsid w:val="004814A8"/>
    <w:rsid w:val="00484AF1"/>
    <w:rsid w:val="00487E70"/>
    <w:rsid w:val="00494762"/>
    <w:rsid w:val="004955DD"/>
    <w:rsid w:val="004962FD"/>
    <w:rsid w:val="00497A0F"/>
    <w:rsid w:val="004A1297"/>
    <w:rsid w:val="004A3119"/>
    <w:rsid w:val="004A4754"/>
    <w:rsid w:val="004B2949"/>
    <w:rsid w:val="004B29BF"/>
    <w:rsid w:val="004B7F52"/>
    <w:rsid w:val="004C001D"/>
    <w:rsid w:val="004C3804"/>
    <w:rsid w:val="004D08DD"/>
    <w:rsid w:val="004D311B"/>
    <w:rsid w:val="004D7665"/>
    <w:rsid w:val="004E5AFE"/>
    <w:rsid w:val="004E5EC2"/>
    <w:rsid w:val="004F00A7"/>
    <w:rsid w:val="004F059C"/>
    <w:rsid w:val="004F0F73"/>
    <w:rsid w:val="004F338C"/>
    <w:rsid w:val="004F6A56"/>
    <w:rsid w:val="004F779B"/>
    <w:rsid w:val="00500070"/>
    <w:rsid w:val="0050286F"/>
    <w:rsid w:val="00506FF1"/>
    <w:rsid w:val="00507939"/>
    <w:rsid w:val="00511AA4"/>
    <w:rsid w:val="00511F88"/>
    <w:rsid w:val="0051214D"/>
    <w:rsid w:val="00514493"/>
    <w:rsid w:val="00515075"/>
    <w:rsid w:val="00531DD4"/>
    <w:rsid w:val="005323CD"/>
    <w:rsid w:val="00532DD8"/>
    <w:rsid w:val="00533C2E"/>
    <w:rsid w:val="00534F6F"/>
    <w:rsid w:val="00534FF7"/>
    <w:rsid w:val="005358D8"/>
    <w:rsid w:val="005401E0"/>
    <w:rsid w:val="005463C1"/>
    <w:rsid w:val="005553F2"/>
    <w:rsid w:val="005574C8"/>
    <w:rsid w:val="00557523"/>
    <w:rsid w:val="00557D3C"/>
    <w:rsid w:val="00567D12"/>
    <w:rsid w:val="005721A8"/>
    <w:rsid w:val="00575486"/>
    <w:rsid w:val="00575D1D"/>
    <w:rsid w:val="00580038"/>
    <w:rsid w:val="005818DE"/>
    <w:rsid w:val="00582CBD"/>
    <w:rsid w:val="00585510"/>
    <w:rsid w:val="005904E8"/>
    <w:rsid w:val="00590FA1"/>
    <w:rsid w:val="0059208B"/>
    <w:rsid w:val="005945A0"/>
    <w:rsid w:val="00597476"/>
    <w:rsid w:val="005A0523"/>
    <w:rsid w:val="005A0FA7"/>
    <w:rsid w:val="005A101A"/>
    <w:rsid w:val="005A39AC"/>
    <w:rsid w:val="005A4FCB"/>
    <w:rsid w:val="005A62C8"/>
    <w:rsid w:val="005B43DA"/>
    <w:rsid w:val="005B4758"/>
    <w:rsid w:val="005B4D00"/>
    <w:rsid w:val="005B4D1D"/>
    <w:rsid w:val="005B64B2"/>
    <w:rsid w:val="005C1F37"/>
    <w:rsid w:val="005C2C77"/>
    <w:rsid w:val="005C406F"/>
    <w:rsid w:val="005C4579"/>
    <w:rsid w:val="005C5A8A"/>
    <w:rsid w:val="005D040E"/>
    <w:rsid w:val="005D04DF"/>
    <w:rsid w:val="005D15A1"/>
    <w:rsid w:val="005D5698"/>
    <w:rsid w:val="005E05A5"/>
    <w:rsid w:val="005E0E09"/>
    <w:rsid w:val="005E36B6"/>
    <w:rsid w:val="005E7610"/>
    <w:rsid w:val="005E7951"/>
    <w:rsid w:val="005F1265"/>
    <w:rsid w:val="005F2ECA"/>
    <w:rsid w:val="005F5F8B"/>
    <w:rsid w:val="006060BD"/>
    <w:rsid w:val="00606433"/>
    <w:rsid w:val="006077C6"/>
    <w:rsid w:val="00612145"/>
    <w:rsid w:val="00612FEA"/>
    <w:rsid w:val="00621373"/>
    <w:rsid w:val="006219EC"/>
    <w:rsid w:val="00622811"/>
    <w:rsid w:val="00623C4C"/>
    <w:rsid w:val="0062708C"/>
    <w:rsid w:val="0063018C"/>
    <w:rsid w:val="00631ADA"/>
    <w:rsid w:val="006334F9"/>
    <w:rsid w:val="00636A67"/>
    <w:rsid w:val="00642D92"/>
    <w:rsid w:val="006472C6"/>
    <w:rsid w:val="0064794D"/>
    <w:rsid w:val="00653890"/>
    <w:rsid w:val="006611FF"/>
    <w:rsid w:val="006657DD"/>
    <w:rsid w:val="00665B61"/>
    <w:rsid w:val="0066716D"/>
    <w:rsid w:val="00667A05"/>
    <w:rsid w:val="006719F3"/>
    <w:rsid w:val="00676426"/>
    <w:rsid w:val="00677247"/>
    <w:rsid w:val="00677E6B"/>
    <w:rsid w:val="00677F74"/>
    <w:rsid w:val="00684870"/>
    <w:rsid w:val="00686FA7"/>
    <w:rsid w:val="00687A7F"/>
    <w:rsid w:val="0069290E"/>
    <w:rsid w:val="006A1238"/>
    <w:rsid w:val="006A1633"/>
    <w:rsid w:val="006A2BE7"/>
    <w:rsid w:val="006B178A"/>
    <w:rsid w:val="006B1C08"/>
    <w:rsid w:val="006B1D31"/>
    <w:rsid w:val="006B51CE"/>
    <w:rsid w:val="006B5317"/>
    <w:rsid w:val="006B7D10"/>
    <w:rsid w:val="006C6041"/>
    <w:rsid w:val="006C7A48"/>
    <w:rsid w:val="006C7C8A"/>
    <w:rsid w:val="006D1CB0"/>
    <w:rsid w:val="006D2A9D"/>
    <w:rsid w:val="006D3FE8"/>
    <w:rsid w:val="006D477E"/>
    <w:rsid w:val="006D496E"/>
    <w:rsid w:val="006D5AE4"/>
    <w:rsid w:val="006D6ED8"/>
    <w:rsid w:val="006D6F54"/>
    <w:rsid w:val="006D70F4"/>
    <w:rsid w:val="006E2A12"/>
    <w:rsid w:val="006E718A"/>
    <w:rsid w:val="006F0573"/>
    <w:rsid w:val="006F7C84"/>
    <w:rsid w:val="0070004C"/>
    <w:rsid w:val="0070108E"/>
    <w:rsid w:val="00702D55"/>
    <w:rsid w:val="0070542B"/>
    <w:rsid w:val="00705A14"/>
    <w:rsid w:val="007121A4"/>
    <w:rsid w:val="007173CA"/>
    <w:rsid w:val="00717AAE"/>
    <w:rsid w:val="0072189E"/>
    <w:rsid w:val="00724BC5"/>
    <w:rsid w:val="007255E0"/>
    <w:rsid w:val="00725758"/>
    <w:rsid w:val="0072615A"/>
    <w:rsid w:val="00726A51"/>
    <w:rsid w:val="00727B6C"/>
    <w:rsid w:val="00743343"/>
    <w:rsid w:val="00744507"/>
    <w:rsid w:val="00745CC8"/>
    <w:rsid w:val="00746D19"/>
    <w:rsid w:val="007509B7"/>
    <w:rsid w:val="007608AE"/>
    <w:rsid w:val="007614E1"/>
    <w:rsid w:val="00770E07"/>
    <w:rsid w:val="00770E89"/>
    <w:rsid w:val="007712A0"/>
    <w:rsid w:val="00771CCE"/>
    <w:rsid w:val="007766DE"/>
    <w:rsid w:val="007839C3"/>
    <w:rsid w:val="00786C42"/>
    <w:rsid w:val="0078756A"/>
    <w:rsid w:val="00794ED4"/>
    <w:rsid w:val="007961E6"/>
    <w:rsid w:val="007A0B72"/>
    <w:rsid w:val="007A17F3"/>
    <w:rsid w:val="007A21CD"/>
    <w:rsid w:val="007A5DEB"/>
    <w:rsid w:val="007C245A"/>
    <w:rsid w:val="007C29CD"/>
    <w:rsid w:val="007C33C2"/>
    <w:rsid w:val="007C4926"/>
    <w:rsid w:val="007C78EB"/>
    <w:rsid w:val="007C79A3"/>
    <w:rsid w:val="007D3CF9"/>
    <w:rsid w:val="007D51B6"/>
    <w:rsid w:val="007D679B"/>
    <w:rsid w:val="007D6A05"/>
    <w:rsid w:val="007E4318"/>
    <w:rsid w:val="007E45B8"/>
    <w:rsid w:val="007F124B"/>
    <w:rsid w:val="007F3D7B"/>
    <w:rsid w:val="007F3E14"/>
    <w:rsid w:val="007F59BB"/>
    <w:rsid w:val="007F6166"/>
    <w:rsid w:val="00802E0F"/>
    <w:rsid w:val="00803243"/>
    <w:rsid w:val="00807B03"/>
    <w:rsid w:val="00811563"/>
    <w:rsid w:val="00813DAB"/>
    <w:rsid w:val="00814654"/>
    <w:rsid w:val="00814D58"/>
    <w:rsid w:val="008153BA"/>
    <w:rsid w:val="00822455"/>
    <w:rsid w:val="00822F18"/>
    <w:rsid w:val="00830683"/>
    <w:rsid w:val="0083153B"/>
    <w:rsid w:val="00831B7F"/>
    <w:rsid w:val="00831F58"/>
    <w:rsid w:val="00834A86"/>
    <w:rsid w:val="008404FE"/>
    <w:rsid w:val="008413E4"/>
    <w:rsid w:val="00844430"/>
    <w:rsid w:val="008475C9"/>
    <w:rsid w:val="00853043"/>
    <w:rsid w:val="0086087C"/>
    <w:rsid w:val="00860F1A"/>
    <w:rsid w:val="00862A93"/>
    <w:rsid w:val="00863347"/>
    <w:rsid w:val="00864663"/>
    <w:rsid w:val="00867D9E"/>
    <w:rsid w:val="008717EC"/>
    <w:rsid w:val="008737FD"/>
    <w:rsid w:val="0087629E"/>
    <w:rsid w:val="0087648F"/>
    <w:rsid w:val="00880EBB"/>
    <w:rsid w:val="00881F73"/>
    <w:rsid w:val="0088442A"/>
    <w:rsid w:val="00884737"/>
    <w:rsid w:val="0088613C"/>
    <w:rsid w:val="008924AB"/>
    <w:rsid w:val="008951BC"/>
    <w:rsid w:val="00897C77"/>
    <w:rsid w:val="008A3395"/>
    <w:rsid w:val="008A384A"/>
    <w:rsid w:val="008A63A9"/>
    <w:rsid w:val="008A6414"/>
    <w:rsid w:val="008A771B"/>
    <w:rsid w:val="008B3B1B"/>
    <w:rsid w:val="008B43A4"/>
    <w:rsid w:val="008D0245"/>
    <w:rsid w:val="008D5A66"/>
    <w:rsid w:val="008E2CC0"/>
    <w:rsid w:val="008E3D46"/>
    <w:rsid w:val="008E3FDD"/>
    <w:rsid w:val="008E4B6C"/>
    <w:rsid w:val="008F192E"/>
    <w:rsid w:val="008F590D"/>
    <w:rsid w:val="008F6300"/>
    <w:rsid w:val="008F6544"/>
    <w:rsid w:val="00905528"/>
    <w:rsid w:val="00907202"/>
    <w:rsid w:val="00907637"/>
    <w:rsid w:val="00911C91"/>
    <w:rsid w:val="00915A3D"/>
    <w:rsid w:val="009221DC"/>
    <w:rsid w:val="00923EC6"/>
    <w:rsid w:val="0093107D"/>
    <w:rsid w:val="0093514D"/>
    <w:rsid w:val="00936D8E"/>
    <w:rsid w:val="00937CCC"/>
    <w:rsid w:val="00942B52"/>
    <w:rsid w:val="00955C00"/>
    <w:rsid w:val="00955FBD"/>
    <w:rsid w:val="0096233C"/>
    <w:rsid w:val="009706FE"/>
    <w:rsid w:val="0097447F"/>
    <w:rsid w:val="00974DEB"/>
    <w:rsid w:val="009778A6"/>
    <w:rsid w:val="00977D26"/>
    <w:rsid w:val="0098024B"/>
    <w:rsid w:val="009805C4"/>
    <w:rsid w:val="00984D08"/>
    <w:rsid w:val="00986408"/>
    <w:rsid w:val="009864AB"/>
    <w:rsid w:val="00992BDC"/>
    <w:rsid w:val="0099460E"/>
    <w:rsid w:val="00994F3D"/>
    <w:rsid w:val="009973AA"/>
    <w:rsid w:val="009B5A6A"/>
    <w:rsid w:val="009B676E"/>
    <w:rsid w:val="009C33CA"/>
    <w:rsid w:val="009C5935"/>
    <w:rsid w:val="009C721C"/>
    <w:rsid w:val="009D055A"/>
    <w:rsid w:val="009D3151"/>
    <w:rsid w:val="009D31D9"/>
    <w:rsid w:val="009D77E1"/>
    <w:rsid w:val="009E1B6B"/>
    <w:rsid w:val="009E70A2"/>
    <w:rsid w:val="009E7856"/>
    <w:rsid w:val="009F605C"/>
    <w:rsid w:val="00A10AC5"/>
    <w:rsid w:val="00A12898"/>
    <w:rsid w:val="00A21376"/>
    <w:rsid w:val="00A22801"/>
    <w:rsid w:val="00A23723"/>
    <w:rsid w:val="00A27062"/>
    <w:rsid w:val="00A3439A"/>
    <w:rsid w:val="00A35414"/>
    <w:rsid w:val="00A35475"/>
    <w:rsid w:val="00A4619E"/>
    <w:rsid w:val="00A46658"/>
    <w:rsid w:val="00A47095"/>
    <w:rsid w:val="00A50DB2"/>
    <w:rsid w:val="00A515FA"/>
    <w:rsid w:val="00A56708"/>
    <w:rsid w:val="00A56E05"/>
    <w:rsid w:val="00A60FD9"/>
    <w:rsid w:val="00A634C8"/>
    <w:rsid w:val="00A6431B"/>
    <w:rsid w:val="00A669FD"/>
    <w:rsid w:val="00A72BC7"/>
    <w:rsid w:val="00A72D18"/>
    <w:rsid w:val="00A83760"/>
    <w:rsid w:val="00A86D8D"/>
    <w:rsid w:val="00A90CBA"/>
    <w:rsid w:val="00A90F95"/>
    <w:rsid w:val="00A9118A"/>
    <w:rsid w:val="00A941CD"/>
    <w:rsid w:val="00A9641A"/>
    <w:rsid w:val="00AA131A"/>
    <w:rsid w:val="00AA1904"/>
    <w:rsid w:val="00AA35C2"/>
    <w:rsid w:val="00AA4058"/>
    <w:rsid w:val="00AA45E0"/>
    <w:rsid w:val="00AA5C9E"/>
    <w:rsid w:val="00AA7610"/>
    <w:rsid w:val="00AB3398"/>
    <w:rsid w:val="00AB399D"/>
    <w:rsid w:val="00AB4C60"/>
    <w:rsid w:val="00AC03FA"/>
    <w:rsid w:val="00AC138A"/>
    <w:rsid w:val="00AC13FB"/>
    <w:rsid w:val="00AC25EB"/>
    <w:rsid w:val="00AD1477"/>
    <w:rsid w:val="00AD4853"/>
    <w:rsid w:val="00AD5F01"/>
    <w:rsid w:val="00AE061A"/>
    <w:rsid w:val="00AE138A"/>
    <w:rsid w:val="00AE7998"/>
    <w:rsid w:val="00AF21A5"/>
    <w:rsid w:val="00B04719"/>
    <w:rsid w:val="00B06207"/>
    <w:rsid w:val="00B11565"/>
    <w:rsid w:val="00B11DC1"/>
    <w:rsid w:val="00B12E4C"/>
    <w:rsid w:val="00B12F17"/>
    <w:rsid w:val="00B15341"/>
    <w:rsid w:val="00B22EC0"/>
    <w:rsid w:val="00B23183"/>
    <w:rsid w:val="00B31902"/>
    <w:rsid w:val="00B379FC"/>
    <w:rsid w:val="00B452A8"/>
    <w:rsid w:val="00B50802"/>
    <w:rsid w:val="00B52B48"/>
    <w:rsid w:val="00B534B0"/>
    <w:rsid w:val="00B61CDD"/>
    <w:rsid w:val="00B62CED"/>
    <w:rsid w:val="00B63AB5"/>
    <w:rsid w:val="00B67094"/>
    <w:rsid w:val="00B71076"/>
    <w:rsid w:val="00B80F22"/>
    <w:rsid w:val="00B82035"/>
    <w:rsid w:val="00B84DE5"/>
    <w:rsid w:val="00B85580"/>
    <w:rsid w:val="00B86DBA"/>
    <w:rsid w:val="00B956EB"/>
    <w:rsid w:val="00BA517A"/>
    <w:rsid w:val="00BA62ED"/>
    <w:rsid w:val="00BB26F2"/>
    <w:rsid w:val="00BB6128"/>
    <w:rsid w:val="00BC2B91"/>
    <w:rsid w:val="00BC436D"/>
    <w:rsid w:val="00BC7FE1"/>
    <w:rsid w:val="00BE7020"/>
    <w:rsid w:val="00BF1EC8"/>
    <w:rsid w:val="00BF2DB0"/>
    <w:rsid w:val="00BF3983"/>
    <w:rsid w:val="00BF4BB0"/>
    <w:rsid w:val="00C02386"/>
    <w:rsid w:val="00C02881"/>
    <w:rsid w:val="00C02E10"/>
    <w:rsid w:val="00C0546F"/>
    <w:rsid w:val="00C10C5E"/>
    <w:rsid w:val="00C116D5"/>
    <w:rsid w:val="00C12DFE"/>
    <w:rsid w:val="00C16154"/>
    <w:rsid w:val="00C166E3"/>
    <w:rsid w:val="00C2000A"/>
    <w:rsid w:val="00C21330"/>
    <w:rsid w:val="00C233E7"/>
    <w:rsid w:val="00C2670A"/>
    <w:rsid w:val="00C269EB"/>
    <w:rsid w:val="00C321D3"/>
    <w:rsid w:val="00C370A4"/>
    <w:rsid w:val="00C4482F"/>
    <w:rsid w:val="00C47718"/>
    <w:rsid w:val="00C50D19"/>
    <w:rsid w:val="00C513C8"/>
    <w:rsid w:val="00C526F7"/>
    <w:rsid w:val="00C53A3C"/>
    <w:rsid w:val="00C54C1A"/>
    <w:rsid w:val="00C551B4"/>
    <w:rsid w:val="00C6289B"/>
    <w:rsid w:val="00C62C27"/>
    <w:rsid w:val="00C640D0"/>
    <w:rsid w:val="00C6608D"/>
    <w:rsid w:val="00C67E8B"/>
    <w:rsid w:val="00C72DF5"/>
    <w:rsid w:val="00C74C65"/>
    <w:rsid w:val="00C76956"/>
    <w:rsid w:val="00C82632"/>
    <w:rsid w:val="00C846E3"/>
    <w:rsid w:val="00C85804"/>
    <w:rsid w:val="00C86C6F"/>
    <w:rsid w:val="00CA4375"/>
    <w:rsid w:val="00CB0D46"/>
    <w:rsid w:val="00CB1DA8"/>
    <w:rsid w:val="00CC3761"/>
    <w:rsid w:val="00CC3871"/>
    <w:rsid w:val="00CD4ABA"/>
    <w:rsid w:val="00CD4E22"/>
    <w:rsid w:val="00CD50B3"/>
    <w:rsid w:val="00CD6266"/>
    <w:rsid w:val="00CD7FF6"/>
    <w:rsid w:val="00CE0FF1"/>
    <w:rsid w:val="00CE36B3"/>
    <w:rsid w:val="00CE36B6"/>
    <w:rsid w:val="00CE5A00"/>
    <w:rsid w:val="00CE61A2"/>
    <w:rsid w:val="00CE6890"/>
    <w:rsid w:val="00CF1574"/>
    <w:rsid w:val="00CF1ABF"/>
    <w:rsid w:val="00CF44FA"/>
    <w:rsid w:val="00CF6FD3"/>
    <w:rsid w:val="00CF70A1"/>
    <w:rsid w:val="00CF717A"/>
    <w:rsid w:val="00D01D58"/>
    <w:rsid w:val="00D03A05"/>
    <w:rsid w:val="00D04D30"/>
    <w:rsid w:val="00D05BBE"/>
    <w:rsid w:val="00D11DD5"/>
    <w:rsid w:val="00D1334D"/>
    <w:rsid w:val="00D1499F"/>
    <w:rsid w:val="00D163E6"/>
    <w:rsid w:val="00D16860"/>
    <w:rsid w:val="00D16FF5"/>
    <w:rsid w:val="00D178C1"/>
    <w:rsid w:val="00D17DF3"/>
    <w:rsid w:val="00D225BC"/>
    <w:rsid w:val="00D2647B"/>
    <w:rsid w:val="00D30A26"/>
    <w:rsid w:val="00D310BB"/>
    <w:rsid w:val="00D31D65"/>
    <w:rsid w:val="00D3427C"/>
    <w:rsid w:val="00D346FA"/>
    <w:rsid w:val="00D45D10"/>
    <w:rsid w:val="00D473EE"/>
    <w:rsid w:val="00D535BC"/>
    <w:rsid w:val="00D53B29"/>
    <w:rsid w:val="00D549B7"/>
    <w:rsid w:val="00D604F9"/>
    <w:rsid w:val="00D60999"/>
    <w:rsid w:val="00D64C99"/>
    <w:rsid w:val="00D70262"/>
    <w:rsid w:val="00D757BF"/>
    <w:rsid w:val="00D80A40"/>
    <w:rsid w:val="00D81029"/>
    <w:rsid w:val="00D81F8B"/>
    <w:rsid w:val="00D825BB"/>
    <w:rsid w:val="00D83264"/>
    <w:rsid w:val="00D8479C"/>
    <w:rsid w:val="00D92C76"/>
    <w:rsid w:val="00D954DC"/>
    <w:rsid w:val="00DA0CD7"/>
    <w:rsid w:val="00DA3766"/>
    <w:rsid w:val="00DA4C94"/>
    <w:rsid w:val="00DA5D83"/>
    <w:rsid w:val="00DA62FE"/>
    <w:rsid w:val="00DB00BB"/>
    <w:rsid w:val="00DB4157"/>
    <w:rsid w:val="00DC198A"/>
    <w:rsid w:val="00DC39DF"/>
    <w:rsid w:val="00DC458E"/>
    <w:rsid w:val="00DC4A8C"/>
    <w:rsid w:val="00DC77AB"/>
    <w:rsid w:val="00DD01B5"/>
    <w:rsid w:val="00DD0640"/>
    <w:rsid w:val="00DD118A"/>
    <w:rsid w:val="00DD47EE"/>
    <w:rsid w:val="00DD5586"/>
    <w:rsid w:val="00DE1B2D"/>
    <w:rsid w:val="00DE3B55"/>
    <w:rsid w:val="00DE4066"/>
    <w:rsid w:val="00DF294F"/>
    <w:rsid w:val="00DF376B"/>
    <w:rsid w:val="00DF4152"/>
    <w:rsid w:val="00E02A5E"/>
    <w:rsid w:val="00E11CAA"/>
    <w:rsid w:val="00E1324A"/>
    <w:rsid w:val="00E214FC"/>
    <w:rsid w:val="00E21A79"/>
    <w:rsid w:val="00E22F50"/>
    <w:rsid w:val="00E252F2"/>
    <w:rsid w:val="00E262D1"/>
    <w:rsid w:val="00E27A5E"/>
    <w:rsid w:val="00E314FF"/>
    <w:rsid w:val="00E34931"/>
    <w:rsid w:val="00E35159"/>
    <w:rsid w:val="00E3558E"/>
    <w:rsid w:val="00E4210F"/>
    <w:rsid w:val="00E4354E"/>
    <w:rsid w:val="00E52F85"/>
    <w:rsid w:val="00E57219"/>
    <w:rsid w:val="00E57BEA"/>
    <w:rsid w:val="00E62032"/>
    <w:rsid w:val="00E627B9"/>
    <w:rsid w:val="00E63BD2"/>
    <w:rsid w:val="00E65887"/>
    <w:rsid w:val="00E66AE3"/>
    <w:rsid w:val="00E714ED"/>
    <w:rsid w:val="00E71798"/>
    <w:rsid w:val="00E743E5"/>
    <w:rsid w:val="00E74F79"/>
    <w:rsid w:val="00E806A9"/>
    <w:rsid w:val="00E82A80"/>
    <w:rsid w:val="00E84FA0"/>
    <w:rsid w:val="00E86DEA"/>
    <w:rsid w:val="00E968E8"/>
    <w:rsid w:val="00E97EDC"/>
    <w:rsid w:val="00E97F58"/>
    <w:rsid w:val="00EA324B"/>
    <w:rsid w:val="00EB5686"/>
    <w:rsid w:val="00EB5A8C"/>
    <w:rsid w:val="00EB7772"/>
    <w:rsid w:val="00EB7EDF"/>
    <w:rsid w:val="00EC1A6F"/>
    <w:rsid w:val="00EC317F"/>
    <w:rsid w:val="00EC5972"/>
    <w:rsid w:val="00ED09F9"/>
    <w:rsid w:val="00ED339C"/>
    <w:rsid w:val="00ED36AA"/>
    <w:rsid w:val="00ED43FF"/>
    <w:rsid w:val="00ED5317"/>
    <w:rsid w:val="00ED70AE"/>
    <w:rsid w:val="00EE0A27"/>
    <w:rsid w:val="00EE14FD"/>
    <w:rsid w:val="00EE1974"/>
    <w:rsid w:val="00EE4173"/>
    <w:rsid w:val="00EE50EE"/>
    <w:rsid w:val="00EE6562"/>
    <w:rsid w:val="00EE7F25"/>
    <w:rsid w:val="00F00937"/>
    <w:rsid w:val="00F01328"/>
    <w:rsid w:val="00F01F8E"/>
    <w:rsid w:val="00F0411C"/>
    <w:rsid w:val="00F119F9"/>
    <w:rsid w:val="00F12110"/>
    <w:rsid w:val="00F21993"/>
    <w:rsid w:val="00F23C28"/>
    <w:rsid w:val="00F3705F"/>
    <w:rsid w:val="00F4038F"/>
    <w:rsid w:val="00F434B3"/>
    <w:rsid w:val="00F4464E"/>
    <w:rsid w:val="00F44F3E"/>
    <w:rsid w:val="00F51A5A"/>
    <w:rsid w:val="00F5463E"/>
    <w:rsid w:val="00F5486B"/>
    <w:rsid w:val="00F5493B"/>
    <w:rsid w:val="00F60C0B"/>
    <w:rsid w:val="00F633D5"/>
    <w:rsid w:val="00F761D1"/>
    <w:rsid w:val="00F827E2"/>
    <w:rsid w:val="00F869FD"/>
    <w:rsid w:val="00F87094"/>
    <w:rsid w:val="00F9085E"/>
    <w:rsid w:val="00F9199B"/>
    <w:rsid w:val="00F94EE5"/>
    <w:rsid w:val="00FA4EC4"/>
    <w:rsid w:val="00FA6F08"/>
    <w:rsid w:val="00FB1F5B"/>
    <w:rsid w:val="00FB48FB"/>
    <w:rsid w:val="00FB5205"/>
    <w:rsid w:val="00FB70FF"/>
    <w:rsid w:val="00FC03D5"/>
    <w:rsid w:val="00FC17E8"/>
    <w:rsid w:val="00FC1D4B"/>
    <w:rsid w:val="00FC20E4"/>
    <w:rsid w:val="00FC298A"/>
    <w:rsid w:val="00FC4A59"/>
    <w:rsid w:val="00FC4AA5"/>
    <w:rsid w:val="00FC4F93"/>
    <w:rsid w:val="00FC58EF"/>
    <w:rsid w:val="00FC6FF3"/>
    <w:rsid w:val="00FD2F62"/>
    <w:rsid w:val="00FD34DD"/>
    <w:rsid w:val="00FE399D"/>
    <w:rsid w:val="00FE4643"/>
    <w:rsid w:val="00FE49FD"/>
    <w:rsid w:val="00FE4C46"/>
    <w:rsid w:val="00FE5B8F"/>
    <w:rsid w:val="00FF2DC6"/>
    <w:rsid w:val="00FF3761"/>
    <w:rsid w:val="00FF6483"/>
    <w:rsid w:val="00FF67CD"/>
    <w:rsid w:val="017CFAA8"/>
    <w:rsid w:val="0685A11A"/>
    <w:rsid w:val="131987D9"/>
    <w:rsid w:val="31ED5A8E"/>
    <w:rsid w:val="33D462FA"/>
    <w:rsid w:val="409751E9"/>
    <w:rsid w:val="7733E0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4601"/>
  <w15:chartTrackingRefBased/>
  <w15:docId w15:val="{A642EBE1-C35F-499A-B5E4-9DFB79B3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D8"/>
    <w:rPr>
      <w:rFonts w:ascii="VIC" w:hAnsi="VIC"/>
      <w:sz w:val="20"/>
      <w:szCs w:val="21"/>
    </w:rPr>
  </w:style>
  <w:style w:type="paragraph" w:styleId="Heading1">
    <w:name w:val="heading 1"/>
    <w:basedOn w:val="Normal"/>
    <w:next w:val="Normal"/>
    <w:link w:val="Heading1Char"/>
    <w:uiPriority w:val="9"/>
    <w:qFormat/>
    <w:rsid w:val="00033643"/>
    <w:pPr>
      <w:keepNext/>
      <w:keepLines/>
      <w:spacing w:before="360" w:after="80"/>
      <w:outlineLvl w:val="0"/>
    </w:pPr>
    <w:rPr>
      <w:rFonts w:eastAsiaTheme="majorEastAsia" w:cstheme="majorBidi"/>
      <w:b/>
      <w:bCs/>
      <w:color w:val="0071CE" w:themeColor="accent1"/>
      <w:sz w:val="44"/>
      <w:szCs w:val="40"/>
    </w:rPr>
  </w:style>
  <w:style w:type="paragraph" w:styleId="Heading2">
    <w:name w:val="heading 2"/>
    <w:basedOn w:val="Normal"/>
    <w:next w:val="Normal"/>
    <w:link w:val="Heading2Char"/>
    <w:uiPriority w:val="9"/>
    <w:unhideWhenUsed/>
    <w:qFormat/>
    <w:rsid w:val="00033643"/>
    <w:pPr>
      <w:keepNext/>
      <w:keepLines/>
      <w:spacing w:before="160" w:after="80"/>
      <w:outlineLvl w:val="1"/>
    </w:pPr>
    <w:rPr>
      <w:rFonts w:eastAsiaTheme="majorEastAsia" w:cstheme="majorBidi"/>
      <w:b/>
      <w:color w:val="0071CE" w:themeColor="accent1"/>
      <w:sz w:val="28"/>
      <w:szCs w:val="32"/>
    </w:rPr>
  </w:style>
  <w:style w:type="paragraph" w:styleId="Heading3">
    <w:name w:val="heading 3"/>
    <w:basedOn w:val="Normal"/>
    <w:next w:val="Normal"/>
    <w:link w:val="Heading3Char"/>
    <w:uiPriority w:val="9"/>
    <w:unhideWhenUsed/>
    <w:qFormat/>
    <w:rsid w:val="008A771B"/>
    <w:pPr>
      <w:keepNext/>
      <w:keepLines/>
      <w:spacing w:before="160" w:after="80"/>
      <w:outlineLvl w:val="2"/>
    </w:pPr>
    <w:rPr>
      <w:rFonts w:ascii="VIC Medium" w:eastAsiaTheme="majorEastAsia" w:hAnsi="VIC Medium" w:cs="Times New Roman (Headings CS)"/>
      <w:color w:val="004C97" w:themeColor="accent2"/>
      <w:sz w:val="22"/>
      <w:szCs w:val="28"/>
    </w:rPr>
  </w:style>
  <w:style w:type="paragraph" w:styleId="Heading4">
    <w:name w:val="heading 4"/>
    <w:basedOn w:val="Normal"/>
    <w:next w:val="Normal"/>
    <w:link w:val="Heading4Char"/>
    <w:uiPriority w:val="9"/>
    <w:unhideWhenUsed/>
    <w:qFormat/>
    <w:rsid w:val="008A771B"/>
    <w:pPr>
      <w:keepNext/>
      <w:keepLines/>
      <w:spacing w:before="80" w:after="40"/>
      <w:outlineLvl w:val="3"/>
    </w:pPr>
    <w:rPr>
      <w:rFonts w:eastAsiaTheme="majorEastAsia" w:cstheme="majorBidi"/>
      <w:iCs/>
      <w:color w:val="201547" w:themeColor="text2"/>
    </w:rPr>
  </w:style>
  <w:style w:type="paragraph" w:styleId="Heading5">
    <w:name w:val="heading 5"/>
    <w:basedOn w:val="Normal"/>
    <w:next w:val="Normal"/>
    <w:link w:val="Heading5Char"/>
    <w:uiPriority w:val="9"/>
    <w:semiHidden/>
    <w:unhideWhenUsed/>
    <w:qFormat/>
    <w:rsid w:val="00CF1ABF"/>
    <w:pPr>
      <w:keepNext/>
      <w:keepLines/>
      <w:spacing w:before="80" w:after="40"/>
      <w:outlineLvl w:val="4"/>
    </w:pPr>
    <w:rPr>
      <w:rFonts w:eastAsiaTheme="majorEastAsia" w:cstheme="majorBidi"/>
      <w:color w:val="00539A" w:themeColor="accent1" w:themeShade="BF"/>
    </w:rPr>
  </w:style>
  <w:style w:type="paragraph" w:styleId="Heading6">
    <w:name w:val="heading 6"/>
    <w:basedOn w:val="Normal"/>
    <w:next w:val="Normal"/>
    <w:link w:val="Heading6Char"/>
    <w:uiPriority w:val="9"/>
    <w:semiHidden/>
    <w:unhideWhenUsed/>
    <w:qFormat/>
    <w:rsid w:val="00CF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43"/>
    <w:rPr>
      <w:rFonts w:ascii="VIC" w:eastAsiaTheme="majorEastAsia" w:hAnsi="VIC" w:cstheme="majorBidi"/>
      <w:b/>
      <w:bCs/>
      <w:color w:val="0071CE" w:themeColor="accent1"/>
      <w:sz w:val="44"/>
      <w:szCs w:val="40"/>
    </w:rPr>
  </w:style>
  <w:style w:type="character" w:customStyle="1" w:styleId="Heading2Char">
    <w:name w:val="Heading 2 Char"/>
    <w:basedOn w:val="DefaultParagraphFont"/>
    <w:link w:val="Heading2"/>
    <w:uiPriority w:val="9"/>
    <w:rsid w:val="00033643"/>
    <w:rPr>
      <w:rFonts w:ascii="VIC" w:eastAsiaTheme="majorEastAsia" w:hAnsi="VIC" w:cstheme="majorBidi"/>
      <w:b/>
      <w:color w:val="0071CE" w:themeColor="accent1"/>
      <w:sz w:val="28"/>
      <w:szCs w:val="32"/>
    </w:rPr>
  </w:style>
  <w:style w:type="character" w:customStyle="1" w:styleId="Heading3Char">
    <w:name w:val="Heading 3 Char"/>
    <w:basedOn w:val="DefaultParagraphFont"/>
    <w:link w:val="Heading3"/>
    <w:uiPriority w:val="9"/>
    <w:rsid w:val="008A771B"/>
    <w:rPr>
      <w:rFonts w:ascii="VIC Medium" w:eastAsiaTheme="majorEastAsia" w:hAnsi="VIC Medium" w:cs="Times New Roman (Headings CS)"/>
      <w:color w:val="004C97" w:themeColor="accent2"/>
      <w:sz w:val="22"/>
      <w:szCs w:val="28"/>
    </w:rPr>
  </w:style>
  <w:style w:type="character" w:customStyle="1" w:styleId="Heading4Char">
    <w:name w:val="Heading 4 Char"/>
    <w:basedOn w:val="DefaultParagraphFont"/>
    <w:link w:val="Heading4"/>
    <w:uiPriority w:val="9"/>
    <w:rsid w:val="008A771B"/>
    <w:rPr>
      <w:rFonts w:eastAsiaTheme="majorEastAsia" w:cstheme="majorBidi"/>
      <w:iCs/>
      <w:color w:val="201547" w:themeColor="text2"/>
      <w:sz w:val="20"/>
      <w:szCs w:val="21"/>
    </w:rPr>
  </w:style>
  <w:style w:type="character" w:customStyle="1" w:styleId="Heading5Char">
    <w:name w:val="Heading 5 Char"/>
    <w:basedOn w:val="DefaultParagraphFont"/>
    <w:link w:val="Heading5"/>
    <w:uiPriority w:val="9"/>
    <w:semiHidden/>
    <w:rsid w:val="00CF1ABF"/>
    <w:rPr>
      <w:rFonts w:eastAsiaTheme="majorEastAsia" w:cstheme="majorBidi"/>
      <w:color w:val="00539A" w:themeColor="accent1" w:themeShade="BF"/>
    </w:rPr>
  </w:style>
  <w:style w:type="character" w:customStyle="1" w:styleId="Heading6Char">
    <w:name w:val="Heading 6 Char"/>
    <w:basedOn w:val="DefaultParagraphFont"/>
    <w:link w:val="Heading6"/>
    <w:uiPriority w:val="9"/>
    <w:semiHidden/>
    <w:rsid w:val="00CF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ABF"/>
    <w:rPr>
      <w:rFonts w:eastAsiaTheme="majorEastAsia" w:cstheme="majorBidi"/>
      <w:color w:val="272727" w:themeColor="text1" w:themeTint="D8"/>
    </w:rPr>
  </w:style>
  <w:style w:type="paragraph" w:styleId="Title">
    <w:name w:val="Title"/>
    <w:basedOn w:val="Normal"/>
    <w:next w:val="Normal"/>
    <w:link w:val="TitleChar"/>
    <w:uiPriority w:val="10"/>
    <w:qFormat/>
    <w:rsid w:val="000D32B5"/>
    <w:pPr>
      <w:spacing w:after="80" w:line="240" w:lineRule="auto"/>
      <w:contextualSpacing/>
    </w:pPr>
    <w:rPr>
      <w:rFonts w:asciiTheme="majorHAnsi" w:eastAsiaTheme="majorEastAsia" w:hAnsiTheme="majorHAnsi" w:cstheme="majorBidi"/>
      <w:b/>
      <w:bCs/>
      <w:color w:val="FFFFFF" w:themeColor="background1"/>
      <w:spacing w:val="-10"/>
      <w:kern w:val="28"/>
      <w:sz w:val="56"/>
      <w:szCs w:val="56"/>
    </w:rPr>
  </w:style>
  <w:style w:type="character" w:customStyle="1" w:styleId="TitleChar">
    <w:name w:val="Title Char"/>
    <w:basedOn w:val="DefaultParagraphFont"/>
    <w:link w:val="Title"/>
    <w:uiPriority w:val="10"/>
    <w:rsid w:val="000D32B5"/>
    <w:rPr>
      <w:rFonts w:asciiTheme="majorHAnsi" w:eastAsiaTheme="majorEastAsia" w:hAnsiTheme="majorHAnsi" w:cstheme="majorBidi"/>
      <w:b/>
      <w:bCs/>
      <w:color w:val="FFFFFF" w:themeColor="background1"/>
      <w:spacing w:val="-10"/>
      <w:kern w:val="28"/>
      <w:sz w:val="56"/>
      <w:szCs w:val="56"/>
    </w:rPr>
  </w:style>
  <w:style w:type="paragraph" w:styleId="Subtitle">
    <w:name w:val="Subtitle"/>
    <w:basedOn w:val="Normal"/>
    <w:next w:val="Normal"/>
    <w:link w:val="SubtitleChar"/>
    <w:uiPriority w:val="11"/>
    <w:qFormat/>
    <w:rsid w:val="00CF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ABF"/>
    <w:pPr>
      <w:spacing w:before="160"/>
      <w:jc w:val="center"/>
    </w:pPr>
    <w:rPr>
      <w:i/>
      <w:iCs/>
      <w:color w:val="404040" w:themeColor="text1" w:themeTint="BF"/>
    </w:rPr>
  </w:style>
  <w:style w:type="character" w:customStyle="1" w:styleId="QuoteChar">
    <w:name w:val="Quote Char"/>
    <w:basedOn w:val="DefaultParagraphFont"/>
    <w:link w:val="Quote"/>
    <w:uiPriority w:val="29"/>
    <w:rsid w:val="00CF1ABF"/>
    <w:rPr>
      <w:i/>
      <w:iCs/>
      <w:color w:val="404040" w:themeColor="text1" w:themeTint="BF"/>
    </w:rPr>
  </w:style>
  <w:style w:type="paragraph" w:styleId="ListParagraph">
    <w:name w:val="List Paragraph"/>
    <w:basedOn w:val="Normal"/>
    <w:uiPriority w:val="1"/>
    <w:qFormat/>
    <w:rsid w:val="00623C4C"/>
    <w:pPr>
      <w:numPr>
        <w:numId w:val="22"/>
      </w:numPr>
      <w:contextualSpacing/>
    </w:pPr>
  </w:style>
  <w:style w:type="character" w:styleId="IntenseEmphasis">
    <w:name w:val="Intense Emphasis"/>
    <w:basedOn w:val="DefaultParagraphFont"/>
    <w:uiPriority w:val="21"/>
    <w:qFormat/>
    <w:rsid w:val="00CF1ABF"/>
    <w:rPr>
      <w:i/>
      <w:iCs/>
      <w:color w:val="00539A" w:themeColor="accent1" w:themeShade="BF"/>
    </w:rPr>
  </w:style>
  <w:style w:type="paragraph" w:styleId="TOC1">
    <w:name w:val="toc 1"/>
    <w:basedOn w:val="Normal"/>
    <w:next w:val="Normal"/>
    <w:autoRedefine/>
    <w:uiPriority w:val="39"/>
    <w:unhideWhenUsed/>
    <w:rsid w:val="00D17DF3"/>
    <w:pPr>
      <w:spacing w:after="100"/>
    </w:pPr>
    <w:rPr>
      <w:rFonts w:asciiTheme="majorHAnsi" w:hAnsiTheme="majorHAnsi"/>
      <w:b/>
      <w:color w:val="0071CE" w:themeColor="accent1"/>
    </w:rPr>
  </w:style>
  <w:style w:type="paragraph" w:styleId="TOC2">
    <w:name w:val="toc 2"/>
    <w:basedOn w:val="Normal"/>
    <w:next w:val="Normal"/>
    <w:autoRedefine/>
    <w:uiPriority w:val="39"/>
    <w:unhideWhenUsed/>
    <w:rsid w:val="00942B52"/>
    <w:pPr>
      <w:spacing w:after="100"/>
      <w:ind w:left="200"/>
    </w:pPr>
  </w:style>
  <w:style w:type="character" w:styleId="Hyperlink">
    <w:name w:val="Hyperlink"/>
    <w:basedOn w:val="DefaultParagraphFont"/>
    <w:uiPriority w:val="99"/>
    <w:unhideWhenUsed/>
    <w:rsid w:val="00942B52"/>
    <w:rPr>
      <w:color w:val="0071CE" w:themeColor="hyperlink"/>
      <w:u w:val="single"/>
    </w:rPr>
  </w:style>
  <w:style w:type="paragraph" w:styleId="Footer">
    <w:name w:val="footer"/>
    <w:basedOn w:val="Normal"/>
    <w:link w:val="Foot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FooterChar">
    <w:name w:val="Footer Char"/>
    <w:basedOn w:val="DefaultParagraphFont"/>
    <w:link w:val="Footer"/>
    <w:uiPriority w:val="99"/>
    <w:rsid w:val="008A771B"/>
    <w:rPr>
      <w:color w:val="343741" w:themeColor="accent5"/>
      <w:sz w:val="18"/>
      <w:szCs w:val="21"/>
    </w:rPr>
  </w:style>
  <w:style w:type="paragraph" w:styleId="Header">
    <w:name w:val="header"/>
    <w:basedOn w:val="Normal"/>
    <w:link w:val="Head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HeaderChar">
    <w:name w:val="Header Char"/>
    <w:basedOn w:val="DefaultParagraphFont"/>
    <w:link w:val="Header"/>
    <w:uiPriority w:val="99"/>
    <w:rsid w:val="008A771B"/>
    <w:rPr>
      <w:color w:val="343741" w:themeColor="accent5"/>
      <w:sz w:val="18"/>
      <w:szCs w:val="21"/>
    </w:rPr>
  </w:style>
  <w:style w:type="paragraph" w:styleId="NoSpacing">
    <w:name w:val="No Spacing"/>
    <w:uiPriority w:val="1"/>
    <w:qFormat/>
    <w:rsid w:val="00BF4BB0"/>
    <w:pPr>
      <w:spacing w:after="0" w:line="240" w:lineRule="auto"/>
    </w:pPr>
    <w:rPr>
      <w:sz w:val="20"/>
      <w:szCs w:val="21"/>
    </w:rPr>
  </w:style>
  <w:style w:type="table" w:styleId="TableGrid">
    <w:name w:val="Table Grid"/>
    <w:basedOn w:val="TableNormal"/>
    <w:uiPriority w:val="39"/>
    <w:rsid w:val="0051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A1297"/>
    <w:pPr>
      <w:spacing w:after="0" w:line="240" w:lineRule="auto"/>
    </w:pPr>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character" w:styleId="CommentReference">
    <w:name w:val="annotation reference"/>
    <w:basedOn w:val="DefaultParagraphFont"/>
    <w:uiPriority w:val="99"/>
    <w:semiHidden/>
    <w:unhideWhenUsed/>
    <w:rsid w:val="00ED09F9"/>
    <w:rPr>
      <w:sz w:val="16"/>
      <w:szCs w:val="16"/>
    </w:rPr>
  </w:style>
  <w:style w:type="paragraph" w:styleId="CommentText">
    <w:name w:val="annotation text"/>
    <w:basedOn w:val="Normal"/>
    <w:link w:val="CommentTextChar"/>
    <w:uiPriority w:val="99"/>
    <w:unhideWhenUsed/>
    <w:rsid w:val="00ED09F9"/>
    <w:pPr>
      <w:widowControl w:val="0"/>
      <w:autoSpaceDE w:val="0"/>
      <w:autoSpaceDN w:val="0"/>
      <w:spacing w:after="0" w:line="240" w:lineRule="auto"/>
    </w:pPr>
    <w:rPr>
      <w:rFonts w:eastAsia="VIC" w:cs="VIC"/>
      <w:kern w:val="0"/>
      <w:szCs w:val="20"/>
      <w:lang w:val="en-US"/>
      <w14:ligatures w14:val="none"/>
    </w:rPr>
  </w:style>
  <w:style w:type="character" w:customStyle="1" w:styleId="CommentTextChar">
    <w:name w:val="Comment Text Char"/>
    <w:basedOn w:val="DefaultParagraphFont"/>
    <w:link w:val="CommentText"/>
    <w:uiPriority w:val="99"/>
    <w:rsid w:val="00ED09F9"/>
    <w:rPr>
      <w:rFonts w:ascii="VIC" w:eastAsia="VIC" w:hAnsi="VIC" w:cs="VIC"/>
      <w:kern w:val="0"/>
      <w:sz w:val="20"/>
      <w:szCs w:val="20"/>
      <w:lang w:val="en-US"/>
      <w14:ligatures w14:val="none"/>
    </w:rPr>
  </w:style>
  <w:style w:type="numbering" w:customStyle="1" w:styleId="CurrentList1">
    <w:name w:val="Current List1"/>
    <w:uiPriority w:val="99"/>
    <w:rsid w:val="001024CC"/>
    <w:pPr>
      <w:numPr>
        <w:numId w:val="20"/>
      </w:numPr>
    </w:pPr>
  </w:style>
  <w:style w:type="character" w:styleId="FootnoteReference">
    <w:name w:val="footnote reference"/>
    <w:basedOn w:val="DefaultParagraphFont"/>
    <w:uiPriority w:val="99"/>
    <w:unhideWhenUsed/>
    <w:rsid w:val="008A771B"/>
    <w:rPr>
      <w:color w:val="343741" w:themeColor="accent5"/>
      <w:vertAlign w:val="superscript"/>
    </w:rPr>
  </w:style>
  <w:style w:type="character" w:styleId="PageNumber">
    <w:name w:val="page number"/>
    <w:basedOn w:val="DefaultParagraphFont"/>
    <w:uiPriority w:val="99"/>
    <w:semiHidden/>
    <w:unhideWhenUsed/>
    <w:rsid w:val="006657DD"/>
  </w:style>
  <w:style w:type="table" w:styleId="GridTable4-Accent2">
    <w:name w:val="Grid Table 4 Accent 2"/>
    <w:basedOn w:val="TableNormal"/>
    <w:uiPriority w:val="49"/>
    <w:rsid w:val="002A01AA"/>
    <w:pPr>
      <w:spacing w:after="0" w:line="240" w:lineRule="auto"/>
    </w:pPr>
    <w:tblPr>
      <w:tblStyleRowBandSize w:val="1"/>
      <w:tblStyleColBandSize w:val="1"/>
      <w:tblBorders>
        <w:top w:val="single" w:sz="4" w:space="0" w:color="2793FF" w:themeColor="accent2" w:themeTint="99"/>
        <w:left w:val="single" w:sz="4" w:space="0" w:color="2793FF" w:themeColor="accent2" w:themeTint="99"/>
        <w:bottom w:val="single" w:sz="4" w:space="0" w:color="2793FF" w:themeColor="accent2" w:themeTint="99"/>
        <w:right w:val="single" w:sz="4" w:space="0" w:color="2793FF" w:themeColor="accent2" w:themeTint="99"/>
        <w:insideH w:val="single" w:sz="4" w:space="0" w:color="2793FF" w:themeColor="accent2" w:themeTint="99"/>
        <w:insideV w:val="single" w:sz="4" w:space="0" w:color="2793FF" w:themeColor="accent2"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4C97" w:themeColor="accent2"/>
          <w:left w:val="single" w:sz="4" w:space="0" w:color="004C97" w:themeColor="accent2"/>
          <w:bottom w:val="single" w:sz="4" w:space="0" w:color="004C97" w:themeColor="accent2"/>
          <w:right w:val="single" w:sz="4" w:space="0" w:color="004C97" w:themeColor="accent2"/>
          <w:insideH w:val="nil"/>
          <w:insideV w:val="nil"/>
        </w:tcBorders>
        <w:shd w:val="clear" w:color="auto" w:fill="004C97" w:themeFill="accent2"/>
      </w:tcPr>
    </w:tblStylePr>
    <w:tblStylePr w:type="lastRow">
      <w:rPr>
        <w:b/>
        <w:bCs/>
      </w:rPr>
      <w:tblPr/>
      <w:tcPr>
        <w:tcBorders>
          <w:top w:val="double" w:sz="4" w:space="0" w:color="004C97" w:themeColor="accent2"/>
        </w:tcBorders>
      </w:tcPr>
    </w:tblStylePr>
    <w:tblStylePr w:type="firstCol">
      <w:rPr>
        <w:b/>
        <w:bCs/>
      </w:rPr>
    </w:tblStylePr>
    <w:tblStylePr w:type="lastCol">
      <w:rPr>
        <w:b/>
        <w:bCs/>
      </w:rPr>
    </w:tblStylePr>
    <w:tblStylePr w:type="band1Vert">
      <w:tblPr/>
      <w:tcPr>
        <w:shd w:val="clear" w:color="auto" w:fill="B7DBFF" w:themeFill="accent2" w:themeFillTint="33"/>
      </w:tcPr>
    </w:tblStylePr>
    <w:tblStylePr w:type="band1Horz">
      <w:tblPr/>
      <w:tcPr>
        <w:shd w:val="clear" w:color="auto" w:fill="B7DBFF" w:themeFill="accent2" w:themeFillTint="33"/>
      </w:tcPr>
    </w:tblStylePr>
  </w:style>
  <w:style w:type="paragraph" w:styleId="CommentSubject">
    <w:name w:val="annotation subject"/>
    <w:basedOn w:val="CommentText"/>
    <w:next w:val="CommentText"/>
    <w:link w:val="CommentSubjectChar"/>
    <w:uiPriority w:val="99"/>
    <w:semiHidden/>
    <w:unhideWhenUsed/>
    <w:rsid w:val="005945A0"/>
    <w:pPr>
      <w:widowControl/>
      <w:autoSpaceDE/>
      <w:autoSpaceDN/>
      <w:spacing w:after="160"/>
    </w:pPr>
    <w:rPr>
      <w:rFonts w:eastAsiaTheme="minorHAnsi" w:cstheme="minorBidi"/>
      <w:b/>
      <w:bCs/>
      <w:kern w:val="2"/>
      <w:lang w:val="en-AU"/>
      <w14:ligatures w14:val="standardContextual"/>
    </w:rPr>
  </w:style>
  <w:style w:type="character" w:customStyle="1" w:styleId="CommentSubjectChar">
    <w:name w:val="Comment Subject Char"/>
    <w:basedOn w:val="CommentTextChar"/>
    <w:link w:val="CommentSubject"/>
    <w:uiPriority w:val="99"/>
    <w:semiHidden/>
    <w:rsid w:val="005945A0"/>
    <w:rPr>
      <w:rFonts w:ascii="VIC" w:eastAsia="VIC" w:hAnsi="VIC" w:cs="VIC"/>
      <w:b/>
      <w:bCs/>
      <w:kern w:val="0"/>
      <w:sz w:val="20"/>
      <w:szCs w:val="20"/>
      <w:lang w:val="en-US"/>
      <w14:ligatures w14:val="none"/>
    </w:rPr>
  </w:style>
  <w:style w:type="paragraph" w:styleId="Revision">
    <w:name w:val="Revision"/>
    <w:hidden/>
    <w:uiPriority w:val="99"/>
    <w:semiHidden/>
    <w:rsid w:val="006D6ED8"/>
    <w:pPr>
      <w:spacing w:after="0" w:line="240" w:lineRule="auto"/>
    </w:pPr>
    <w:rPr>
      <w:rFonts w:ascii="VIC" w:hAnsi="VIC"/>
      <w:sz w:val="20"/>
      <w:szCs w:val="21"/>
    </w:rPr>
  </w:style>
  <w:style w:type="character" w:styleId="Mention">
    <w:name w:val="Mention"/>
    <w:basedOn w:val="DefaultParagraphFont"/>
    <w:uiPriority w:val="99"/>
    <w:unhideWhenUsed/>
    <w:rsid w:val="00726A51"/>
    <w:rPr>
      <w:color w:val="2B579A"/>
      <w:shd w:val="clear" w:color="auto" w:fill="E1DFDD"/>
    </w:rPr>
  </w:style>
  <w:style w:type="character" w:styleId="UnresolvedMention">
    <w:name w:val="Unresolved Mention"/>
    <w:basedOn w:val="DefaultParagraphFont"/>
    <w:uiPriority w:val="99"/>
    <w:semiHidden/>
    <w:unhideWhenUsed/>
    <w:rsid w:val="00CD4E22"/>
    <w:rPr>
      <w:color w:val="605E5C"/>
      <w:shd w:val="clear" w:color="auto" w:fill="E1DFDD"/>
    </w:rPr>
  </w:style>
  <w:style w:type="character" w:styleId="FollowedHyperlink">
    <w:name w:val="FollowedHyperlink"/>
    <w:basedOn w:val="DefaultParagraphFont"/>
    <w:uiPriority w:val="99"/>
    <w:semiHidden/>
    <w:unhideWhenUsed/>
    <w:rsid w:val="00E82A80"/>
    <w:rPr>
      <w:color w:val="00A8E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onsumer.vic.gov.au/renter-righ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AV 2026">
      <a:dk1>
        <a:srgbClr val="000000"/>
      </a:dk1>
      <a:lt1>
        <a:srgbClr val="FFFFFF"/>
      </a:lt1>
      <a:dk2>
        <a:srgbClr val="201547"/>
      </a:dk2>
      <a:lt2>
        <a:srgbClr val="D9D9D6"/>
      </a:lt2>
      <a:accent1>
        <a:srgbClr val="0071CE"/>
      </a:accent1>
      <a:accent2>
        <a:srgbClr val="004C97"/>
      </a:accent2>
      <a:accent3>
        <a:srgbClr val="CEDB00"/>
      </a:accent3>
      <a:accent4>
        <a:srgbClr val="00A8E1"/>
      </a:accent4>
      <a:accent5>
        <a:srgbClr val="343741"/>
      </a:accent5>
      <a:accent6>
        <a:srgbClr val="88DBDF"/>
      </a:accent6>
      <a:hlink>
        <a:srgbClr val="0071CE"/>
      </a:hlink>
      <a:folHlink>
        <a:srgbClr val="00A8E1"/>
      </a:folHlink>
    </a:clrScheme>
    <a:fontScheme name="VIC Font TTF">
      <a:majorFont>
        <a:latin typeface="VIC 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AF1CEDF05C144B22736302A05CA23" ma:contentTypeVersion="20" ma:contentTypeDescription="Create a new document." ma:contentTypeScope="" ma:versionID="afb98fd3e64d56b46a9ba4f4fc96f674">
  <xsd:schema xmlns:xsd="http://www.w3.org/2001/XMLSchema" xmlns:xs="http://www.w3.org/2001/XMLSchema" xmlns:p="http://schemas.microsoft.com/office/2006/metadata/properties" xmlns:ns2="97ed7861-5a5c-46b3-8fd8-36382c42c787" xmlns:ns3="2e102adb-6bc9-42d3-acd6-4c955dee0e66" targetNamespace="http://schemas.microsoft.com/office/2006/metadata/properties" ma:root="true" ma:fieldsID="41fcc6725462a9c43ae5b6e91db6e853" ns2:_="" ns3:_="">
    <xsd:import namespace="97ed7861-5a5c-46b3-8fd8-36382c42c787"/>
    <xsd:import namespace="2e102adb-6bc9-42d3-acd6-4c955dee0e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Status" minOccurs="0"/>
                <xsd:element ref="ns2:Allocated" minOccurs="0"/>
                <xsd:element ref="ns2:_Flow_SignoffStatus" minOccurs="0"/>
                <xsd:element ref="ns2:MediaServiceBillingMetadata"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d7861-5a5c-46b3-8fd8-36382c42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DRAFTING"/>
              <xsd:enumeration value="IN PROGRESS"/>
              <xsd:enumeration value="QA CHECK COMPLETED"/>
              <xsd:enumeration value="UNDER APPROVAL"/>
              <xsd:enumeration value="ENDORSED"/>
              <xsd:enumeration value="APPROVED"/>
              <xsd:enumeration value="PAID"/>
            </xsd:restriction>
          </xsd:simpleType>
        </xsd:union>
      </xsd:simpleType>
    </xsd:element>
    <xsd:element name="Allocated" ma:index="24" nillable="true" ma:displayName="Allocated" ma:format="Dropdown" ma:list="UserInfo" ma:SharePointGroup="0" ma:internalName="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RIMreference" ma:index="27"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02adb-6bc9-42d3-acd6-4c955dee0e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fba3f0-04c4-468c-9359-30c975f7aab3}" ma:internalName="TaxCatchAll" ma:showField="CatchAllData" ma:web="2e102adb-6bc9-42d3-acd6-4c955dee0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d7861-5a5c-46b3-8fd8-36382c42c787">
      <Terms xmlns="http://schemas.microsoft.com/office/infopath/2007/PartnerControls"/>
    </lcf76f155ced4ddcb4097134ff3c332f>
    <TaxCatchAll xmlns="2e102adb-6bc9-42d3-acd6-4c955dee0e66" xsi:nil="true"/>
    <TRIMreference xmlns="97ed7861-5a5c-46b3-8fd8-36382c42c787" xsi:nil="true"/>
    <Allocated xmlns="97ed7861-5a5c-46b3-8fd8-36382c42c787">
      <UserInfo>
        <DisplayName/>
        <AccountId xsi:nil="true"/>
        <AccountType/>
      </UserInfo>
    </Allocated>
    <_Flow_SignoffStatus xmlns="97ed7861-5a5c-46b3-8fd8-36382c42c787" xsi:nil="true"/>
    <Status xmlns="97ed7861-5a5c-46b3-8fd8-36382c42c787" xsi:nil="true"/>
  </documentManagement>
</p:properties>
</file>

<file path=customXml/itemProps1.xml><?xml version="1.0" encoding="utf-8"?>
<ds:datastoreItem xmlns:ds="http://schemas.openxmlformats.org/officeDocument/2006/customXml" ds:itemID="{74F83D17-79AD-4F05-AB88-8E8F5E2B1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d7861-5a5c-46b3-8fd8-36382c42c787"/>
    <ds:schemaRef ds:uri="2e102adb-6bc9-42d3-acd6-4c955dee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F9D0A-784C-4D20-9F26-0E1AAB06B827}">
  <ds:schemaRefs>
    <ds:schemaRef ds:uri="http://schemas.microsoft.com/sharepoint/v3/contenttype/forms"/>
  </ds:schemaRefs>
</ds:datastoreItem>
</file>

<file path=customXml/itemProps3.xml><?xml version="1.0" encoding="utf-8"?>
<ds:datastoreItem xmlns:ds="http://schemas.openxmlformats.org/officeDocument/2006/customXml" ds:itemID="{78A81B0A-229F-924D-B14E-3C3FFA62D10F}">
  <ds:schemaRefs>
    <ds:schemaRef ds:uri="http://schemas.openxmlformats.org/officeDocument/2006/bibliography"/>
  </ds:schemaRefs>
</ds:datastoreItem>
</file>

<file path=customXml/itemProps4.xml><?xml version="1.0" encoding="utf-8"?>
<ds:datastoreItem xmlns:ds="http://schemas.openxmlformats.org/officeDocument/2006/customXml" ds:itemID="{2E77D2D8-E25A-42F6-A3E2-44C5720DA947}">
  <ds:schemaRefs>
    <ds:schemaRef ds:uri="http://www.w3.org/2001/XMLSchema"/>
  </ds:schemaRefs>
</ds:datastoreItem>
</file>

<file path=customXml/itemProps5.xml><?xml version="1.0" encoding="utf-8"?>
<ds:datastoreItem xmlns:ds="http://schemas.openxmlformats.org/officeDocument/2006/customXml" ds:itemID="{D81F9E3D-8128-48A2-9C82-65824E5FB8C6}">
  <ds:schemaRefs>
    <ds:schemaRef ds:uri="2e102adb-6bc9-42d3-acd6-4c955dee0e66"/>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97ed7861-5a5c-46b3-8fd8-36382c42c7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2292</Words>
  <Characters>13090</Characters>
  <Application>Microsoft Office Word</Application>
  <DocSecurity>0</DocSecurity>
  <Lines>523</Lines>
  <Paragraphs>202</Paragraphs>
  <ScaleCrop>false</ScaleCrop>
  <Company/>
  <LinksUpToDate>false</LinksUpToDate>
  <CharactersWithSpaces>15180</CharactersWithSpaces>
  <SharedDoc>false</SharedDoc>
  <HLinks>
    <vt:vector size="162" baseType="variant">
      <vt:variant>
        <vt:i4>1441849</vt:i4>
      </vt:variant>
      <vt:variant>
        <vt:i4>158</vt:i4>
      </vt:variant>
      <vt:variant>
        <vt:i4>0</vt:i4>
      </vt:variant>
      <vt:variant>
        <vt:i4>5</vt:i4>
      </vt:variant>
      <vt:variant>
        <vt:lpwstr/>
      </vt:variant>
      <vt:variant>
        <vt:lpwstr>_Toc219735127</vt:lpwstr>
      </vt:variant>
      <vt:variant>
        <vt:i4>1441849</vt:i4>
      </vt:variant>
      <vt:variant>
        <vt:i4>152</vt:i4>
      </vt:variant>
      <vt:variant>
        <vt:i4>0</vt:i4>
      </vt:variant>
      <vt:variant>
        <vt:i4>5</vt:i4>
      </vt:variant>
      <vt:variant>
        <vt:lpwstr/>
      </vt:variant>
      <vt:variant>
        <vt:lpwstr>_Toc219735126</vt:lpwstr>
      </vt:variant>
      <vt:variant>
        <vt:i4>1441849</vt:i4>
      </vt:variant>
      <vt:variant>
        <vt:i4>146</vt:i4>
      </vt:variant>
      <vt:variant>
        <vt:i4>0</vt:i4>
      </vt:variant>
      <vt:variant>
        <vt:i4>5</vt:i4>
      </vt:variant>
      <vt:variant>
        <vt:lpwstr/>
      </vt:variant>
      <vt:variant>
        <vt:lpwstr>_Toc219735125</vt:lpwstr>
      </vt:variant>
      <vt:variant>
        <vt:i4>1441849</vt:i4>
      </vt:variant>
      <vt:variant>
        <vt:i4>140</vt:i4>
      </vt:variant>
      <vt:variant>
        <vt:i4>0</vt:i4>
      </vt:variant>
      <vt:variant>
        <vt:i4>5</vt:i4>
      </vt:variant>
      <vt:variant>
        <vt:lpwstr/>
      </vt:variant>
      <vt:variant>
        <vt:lpwstr>_Toc219735124</vt:lpwstr>
      </vt:variant>
      <vt:variant>
        <vt:i4>1441849</vt:i4>
      </vt:variant>
      <vt:variant>
        <vt:i4>134</vt:i4>
      </vt:variant>
      <vt:variant>
        <vt:i4>0</vt:i4>
      </vt:variant>
      <vt:variant>
        <vt:i4>5</vt:i4>
      </vt:variant>
      <vt:variant>
        <vt:lpwstr/>
      </vt:variant>
      <vt:variant>
        <vt:lpwstr>_Toc219735123</vt:lpwstr>
      </vt:variant>
      <vt:variant>
        <vt:i4>1441849</vt:i4>
      </vt:variant>
      <vt:variant>
        <vt:i4>128</vt:i4>
      </vt:variant>
      <vt:variant>
        <vt:i4>0</vt:i4>
      </vt:variant>
      <vt:variant>
        <vt:i4>5</vt:i4>
      </vt:variant>
      <vt:variant>
        <vt:lpwstr/>
      </vt:variant>
      <vt:variant>
        <vt:lpwstr>_Toc219735122</vt:lpwstr>
      </vt:variant>
      <vt:variant>
        <vt:i4>1441849</vt:i4>
      </vt:variant>
      <vt:variant>
        <vt:i4>122</vt:i4>
      </vt:variant>
      <vt:variant>
        <vt:i4>0</vt:i4>
      </vt:variant>
      <vt:variant>
        <vt:i4>5</vt:i4>
      </vt:variant>
      <vt:variant>
        <vt:lpwstr/>
      </vt:variant>
      <vt:variant>
        <vt:lpwstr>_Toc219735121</vt:lpwstr>
      </vt:variant>
      <vt:variant>
        <vt:i4>1441849</vt:i4>
      </vt:variant>
      <vt:variant>
        <vt:i4>116</vt:i4>
      </vt:variant>
      <vt:variant>
        <vt:i4>0</vt:i4>
      </vt:variant>
      <vt:variant>
        <vt:i4>5</vt:i4>
      </vt:variant>
      <vt:variant>
        <vt:lpwstr/>
      </vt:variant>
      <vt:variant>
        <vt:lpwstr>_Toc219735120</vt:lpwstr>
      </vt:variant>
      <vt:variant>
        <vt:i4>1376313</vt:i4>
      </vt:variant>
      <vt:variant>
        <vt:i4>110</vt:i4>
      </vt:variant>
      <vt:variant>
        <vt:i4>0</vt:i4>
      </vt:variant>
      <vt:variant>
        <vt:i4>5</vt:i4>
      </vt:variant>
      <vt:variant>
        <vt:lpwstr/>
      </vt:variant>
      <vt:variant>
        <vt:lpwstr>_Toc219735119</vt:lpwstr>
      </vt:variant>
      <vt:variant>
        <vt:i4>1376313</vt:i4>
      </vt:variant>
      <vt:variant>
        <vt:i4>104</vt:i4>
      </vt:variant>
      <vt:variant>
        <vt:i4>0</vt:i4>
      </vt:variant>
      <vt:variant>
        <vt:i4>5</vt:i4>
      </vt:variant>
      <vt:variant>
        <vt:lpwstr/>
      </vt:variant>
      <vt:variant>
        <vt:lpwstr>_Toc219735118</vt:lpwstr>
      </vt:variant>
      <vt:variant>
        <vt:i4>1376313</vt:i4>
      </vt:variant>
      <vt:variant>
        <vt:i4>98</vt:i4>
      </vt:variant>
      <vt:variant>
        <vt:i4>0</vt:i4>
      </vt:variant>
      <vt:variant>
        <vt:i4>5</vt:i4>
      </vt:variant>
      <vt:variant>
        <vt:lpwstr/>
      </vt:variant>
      <vt:variant>
        <vt:lpwstr>_Toc219735117</vt:lpwstr>
      </vt:variant>
      <vt:variant>
        <vt:i4>1376313</vt:i4>
      </vt:variant>
      <vt:variant>
        <vt:i4>92</vt:i4>
      </vt:variant>
      <vt:variant>
        <vt:i4>0</vt:i4>
      </vt:variant>
      <vt:variant>
        <vt:i4>5</vt:i4>
      </vt:variant>
      <vt:variant>
        <vt:lpwstr/>
      </vt:variant>
      <vt:variant>
        <vt:lpwstr>_Toc219735116</vt:lpwstr>
      </vt:variant>
      <vt:variant>
        <vt:i4>1376313</vt:i4>
      </vt:variant>
      <vt:variant>
        <vt:i4>86</vt:i4>
      </vt:variant>
      <vt:variant>
        <vt:i4>0</vt:i4>
      </vt:variant>
      <vt:variant>
        <vt:i4>5</vt:i4>
      </vt:variant>
      <vt:variant>
        <vt:lpwstr/>
      </vt:variant>
      <vt:variant>
        <vt:lpwstr>_Toc219735115</vt:lpwstr>
      </vt:variant>
      <vt:variant>
        <vt:i4>1376313</vt:i4>
      </vt:variant>
      <vt:variant>
        <vt:i4>80</vt:i4>
      </vt:variant>
      <vt:variant>
        <vt:i4>0</vt:i4>
      </vt:variant>
      <vt:variant>
        <vt:i4>5</vt:i4>
      </vt:variant>
      <vt:variant>
        <vt:lpwstr/>
      </vt:variant>
      <vt:variant>
        <vt:lpwstr>_Toc219735114</vt:lpwstr>
      </vt:variant>
      <vt:variant>
        <vt:i4>1376313</vt:i4>
      </vt:variant>
      <vt:variant>
        <vt:i4>74</vt:i4>
      </vt:variant>
      <vt:variant>
        <vt:i4>0</vt:i4>
      </vt:variant>
      <vt:variant>
        <vt:i4>5</vt:i4>
      </vt:variant>
      <vt:variant>
        <vt:lpwstr/>
      </vt:variant>
      <vt:variant>
        <vt:lpwstr>_Toc219735113</vt:lpwstr>
      </vt:variant>
      <vt:variant>
        <vt:i4>1376313</vt:i4>
      </vt:variant>
      <vt:variant>
        <vt:i4>68</vt:i4>
      </vt:variant>
      <vt:variant>
        <vt:i4>0</vt:i4>
      </vt:variant>
      <vt:variant>
        <vt:i4>5</vt:i4>
      </vt:variant>
      <vt:variant>
        <vt:lpwstr/>
      </vt:variant>
      <vt:variant>
        <vt:lpwstr>_Toc219735112</vt:lpwstr>
      </vt:variant>
      <vt:variant>
        <vt:i4>1376313</vt:i4>
      </vt:variant>
      <vt:variant>
        <vt:i4>62</vt:i4>
      </vt:variant>
      <vt:variant>
        <vt:i4>0</vt:i4>
      </vt:variant>
      <vt:variant>
        <vt:i4>5</vt:i4>
      </vt:variant>
      <vt:variant>
        <vt:lpwstr/>
      </vt:variant>
      <vt:variant>
        <vt:lpwstr>_Toc219735111</vt:lpwstr>
      </vt:variant>
      <vt:variant>
        <vt:i4>1376313</vt:i4>
      </vt:variant>
      <vt:variant>
        <vt:i4>56</vt:i4>
      </vt:variant>
      <vt:variant>
        <vt:i4>0</vt:i4>
      </vt:variant>
      <vt:variant>
        <vt:i4>5</vt:i4>
      </vt:variant>
      <vt:variant>
        <vt:lpwstr/>
      </vt:variant>
      <vt:variant>
        <vt:lpwstr>_Toc219735110</vt:lpwstr>
      </vt:variant>
      <vt:variant>
        <vt:i4>1310777</vt:i4>
      </vt:variant>
      <vt:variant>
        <vt:i4>50</vt:i4>
      </vt:variant>
      <vt:variant>
        <vt:i4>0</vt:i4>
      </vt:variant>
      <vt:variant>
        <vt:i4>5</vt:i4>
      </vt:variant>
      <vt:variant>
        <vt:lpwstr/>
      </vt:variant>
      <vt:variant>
        <vt:lpwstr>_Toc219735109</vt:lpwstr>
      </vt:variant>
      <vt:variant>
        <vt:i4>1310777</vt:i4>
      </vt:variant>
      <vt:variant>
        <vt:i4>44</vt:i4>
      </vt:variant>
      <vt:variant>
        <vt:i4>0</vt:i4>
      </vt:variant>
      <vt:variant>
        <vt:i4>5</vt:i4>
      </vt:variant>
      <vt:variant>
        <vt:lpwstr/>
      </vt:variant>
      <vt:variant>
        <vt:lpwstr>_Toc219735108</vt:lpwstr>
      </vt:variant>
      <vt:variant>
        <vt:i4>1310777</vt:i4>
      </vt:variant>
      <vt:variant>
        <vt:i4>38</vt:i4>
      </vt:variant>
      <vt:variant>
        <vt:i4>0</vt:i4>
      </vt:variant>
      <vt:variant>
        <vt:i4>5</vt:i4>
      </vt:variant>
      <vt:variant>
        <vt:lpwstr/>
      </vt:variant>
      <vt:variant>
        <vt:lpwstr>_Toc219735107</vt:lpwstr>
      </vt:variant>
      <vt:variant>
        <vt:i4>1310777</vt:i4>
      </vt:variant>
      <vt:variant>
        <vt:i4>32</vt:i4>
      </vt:variant>
      <vt:variant>
        <vt:i4>0</vt:i4>
      </vt:variant>
      <vt:variant>
        <vt:i4>5</vt:i4>
      </vt:variant>
      <vt:variant>
        <vt:lpwstr/>
      </vt:variant>
      <vt:variant>
        <vt:lpwstr>_Toc219735106</vt:lpwstr>
      </vt:variant>
      <vt:variant>
        <vt:i4>1310777</vt:i4>
      </vt:variant>
      <vt:variant>
        <vt:i4>26</vt:i4>
      </vt:variant>
      <vt:variant>
        <vt:i4>0</vt:i4>
      </vt:variant>
      <vt:variant>
        <vt:i4>5</vt:i4>
      </vt:variant>
      <vt:variant>
        <vt:lpwstr/>
      </vt:variant>
      <vt:variant>
        <vt:lpwstr>_Toc219735105</vt:lpwstr>
      </vt:variant>
      <vt:variant>
        <vt:i4>1310777</vt:i4>
      </vt:variant>
      <vt:variant>
        <vt:i4>20</vt:i4>
      </vt:variant>
      <vt:variant>
        <vt:i4>0</vt:i4>
      </vt:variant>
      <vt:variant>
        <vt:i4>5</vt:i4>
      </vt:variant>
      <vt:variant>
        <vt:lpwstr/>
      </vt:variant>
      <vt:variant>
        <vt:lpwstr>_Toc219735104</vt:lpwstr>
      </vt:variant>
      <vt:variant>
        <vt:i4>1310777</vt:i4>
      </vt:variant>
      <vt:variant>
        <vt:i4>14</vt:i4>
      </vt:variant>
      <vt:variant>
        <vt:i4>0</vt:i4>
      </vt:variant>
      <vt:variant>
        <vt:i4>5</vt:i4>
      </vt:variant>
      <vt:variant>
        <vt:lpwstr/>
      </vt:variant>
      <vt:variant>
        <vt:lpwstr>_Toc219735103</vt:lpwstr>
      </vt:variant>
      <vt:variant>
        <vt:i4>1310777</vt:i4>
      </vt:variant>
      <vt:variant>
        <vt:i4>8</vt:i4>
      </vt:variant>
      <vt:variant>
        <vt:i4>0</vt:i4>
      </vt:variant>
      <vt:variant>
        <vt:i4>5</vt:i4>
      </vt:variant>
      <vt:variant>
        <vt:lpwstr/>
      </vt:variant>
      <vt:variant>
        <vt:lpwstr>_Toc219735102</vt:lpwstr>
      </vt:variant>
      <vt:variant>
        <vt:i4>1310777</vt:i4>
      </vt:variant>
      <vt:variant>
        <vt:i4>2</vt:i4>
      </vt:variant>
      <vt:variant>
        <vt:i4>0</vt:i4>
      </vt:variant>
      <vt:variant>
        <vt:i4>5</vt:i4>
      </vt:variant>
      <vt:variant>
        <vt:lpwstr/>
      </vt:variant>
      <vt:variant>
        <vt:lpwstr>_Toc219735101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Pracy (DGS)</dc:creator>
  <cp:keywords/>
  <dc:description/>
  <cp:lastModifiedBy>David M Darragh (DGS)</cp:lastModifiedBy>
  <cp:revision>2</cp:revision>
  <dcterms:created xsi:type="dcterms:W3CDTF">2026-02-01T22:41:00Z</dcterms:created>
  <dcterms:modified xsi:type="dcterms:W3CDTF">2026-02-01T22:41:00Z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7ca4abde,2b6e72ee,6a509686</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2026-01-06T04:07:46Z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b34b946f-c896-43d2-8715-e6d580fea00d</vt:lpwstr>
  </property>
  <property fmtid="{D5CDD505-2E9C-101B-9397-08002B2CF9AE}" pid="11" name="MSIP_Label_7158ebbd-6c5e-441f-bfc9-4eb8c11e3978_ContentBits">
    <vt:lpwstr>2</vt:lpwstr>
  </property>
  <property fmtid="{D5CDD505-2E9C-101B-9397-08002B2CF9AE}" pid="12" name="MSIP_Label_7158ebbd-6c5e-441f-bfc9-4eb8c11e3978_Tag">
    <vt:lpwstr>50, 0, 1, 1</vt:lpwstr>
  </property>
  <property fmtid="{D5CDD505-2E9C-101B-9397-08002B2CF9AE}" pid="13" name="MediaServiceImageTags">
    <vt:lpwstr/>
  </property>
  <property fmtid="{D5CDD505-2E9C-101B-9397-08002B2CF9AE}" pid="14" name="ContentTypeId">
    <vt:lpwstr>0x010100354AF1CEDF05C144B22736302A05CA23</vt:lpwstr>
  </property>
  <property fmtid="{D5CDD505-2E9C-101B-9397-08002B2CF9AE}" pid="15" name="_dlc_DocIdItemGuid">
    <vt:lpwstr>c4a344c2-c45f-4fd4-9d7d-95dc0a1977ff</vt:lpwstr>
  </property>
</Properties>
</file>