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C22F" w14:textId="4DDBF966" w:rsidR="0021476B" w:rsidRPr="007F124B" w:rsidRDefault="0021476B" w:rsidP="00D45D10">
      <w:pPr>
        <w:pStyle w:val="Title"/>
        <w:rPr>
          <w:rFonts w:hint="eastAsia"/>
        </w:rPr>
      </w:pPr>
      <w:r w:rsidRPr="002C79D8">
        <w:rPr>
          <w:rFonts w:ascii="VIC" w:hAnsi="VIC"/>
          <w:b w:val="0"/>
          <w:bCs w:val="0"/>
        </w:rPr>
        <w:t>Rent</w:t>
      </w:r>
      <w:r w:rsidR="00741F24">
        <w:rPr>
          <w:rFonts w:ascii="VIC" w:hAnsi="VIC"/>
          <w:b w:val="0"/>
          <w:bCs w:val="0"/>
        </w:rPr>
        <w:t>er</w:t>
      </w:r>
      <w:r w:rsidRPr="002C79D8">
        <w:rPr>
          <w:rFonts w:ascii="VIC" w:hAnsi="VIC"/>
          <w:b w:val="0"/>
          <w:bCs w:val="0"/>
        </w:rPr>
        <w:t xml:space="preserve"> </w:t>
      </w:r>
      <w:r w:rsidR="00741F24">
        <w:rPr>
          <w:rFonts w:ascii="VIC" w:hAnsi="VIC"/>
          <w:b w:val="0"/>
          <w:bCs w:val="0"/>
        </w:rPr>
        <w:t>Rights</w:t>
      </w:r>
      <w:r w:rsidR="00E02A5E">
        <w:rPr>
          <w:rFonts w:ascii="VIC" w:hAnsi="VIC"/>
          <w:b w:val="0"/>
          <w:bCs w:val="0"/>
        </w:rPr>
        <w:t xml:space="preserve"> Service</w:t>
      </w:r>
      <w:r w:rsidRPr="007F124B">
        <w:br/>
        <w:t xml:space="preserve">Program Guidelines </w:t>
      </w:r>
    </w:p>
    <w:p w14:paraId="696DFD6D" w14:textId="065A8742" w:rsidR="00BB26F2" w:rsidRDefault="00BB26F2" w:rsidP="00D45D10">
      <w:pPr>
        <w:pStyle w:val="Title"/>
        <w:rPr>
          <w:rFonts w:hint="eastAsia"/>
        </w:rPr>
      </w:pPr>
    </w:p>
    <w:p w14:paraId="64EC7607" w14:textId="5A0396C3" w:rsidR="00A90F95" w:rsidRPr="00293638" w:rsidRDefault="0034678E" w:rsidP="00D45D10">
      <w:pPr>
        <w:rPr>
          <w:szCs w:val="20"/>
        </w:rPr>
      </w:pPr>
      <w:r w:rsidRPr="00293638">
        <w:rPr>
          <w:noProof/>
          <w:szCs w:val="20"/>
        </w:rPr>
        <w:drawing>
          <wp:anchor distT="0" distB="0" distL="114300" distR="114300" simplePos="0" relativeHeight="251658240" behindDoc="0" locked="0" layoutInCell="1" allowOverlap="1" wp14:anchorId="3616BD18" wp14:editId="42C4741A">
            <wp:simplePos x="0" y="0"/>
            <wp:positionH relativeFrom="column">
              <wp:posOffset>-1</wp:posOffset>
            </wp:positionH>
            <wp:positionV relativeFrom="paragraph">
              <wp:posOffset>4299222</wp:posOffset>
            </wp:positionV>
            <wp:extent cx="2645229" cy="2253344"/>
            <wp:effectExtent l="0" t="0" r="0" b="0"/>
            <wp:wrapNone/>
            <wp:docPr id="1066568572"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68572" name="Graphic 1066568572"/>
                    <pic:cNvPicPr/>
                  </pic:nvPicPr>
                  <pic:blipFill>
                    <a:blip r:embed="rId12">
                      <a:extLst>
                        <a:ext uri="{96DAC541-7B7A-43D3-8B79-37D633B846F1}">
                          <asvg:svgBlip xmlns:asvg="http://schemas.microsoft.com/office/drawing/2016/SVG/main" r:embed="rId13"/>
                        </a:ext>
                      </a:extLst>
                    </a:blip>
                    <a:stretch>
                      <a:fillRect/>
                    </a:stretch>
                  </pic:blipFill>
                  <pic:spPr>
                    <a:xfrm>
                      <a:off x="0" y="0"/>
                      <a:ext cx="2678457" cy="2281649"/>
                    </a:xfrm>
                    <a:prstGeom prst="rect">
                      <a:avLst/>
                    </a:prstGeom>
                  </pic:spPr>
                </pic:pic>
              </a:graphicData>
            </a:graphic>
            <wp14:sizeRelH relativeFrom="page">
              <wp14:pctWidth>0</wp14:pctWidth>
            </wp14:sizeRelH>
            <wp14:sizeRelV relativeFrom="page">
              <wp14:pctHeight>0</wp14:pctHeight>
            </wp14:sizeRelV>
          </wp:anchor>
        </w:drawing>
      </w:r>
      <w:r w:rsidR="00A90F95" w:rsidRPr="00293638">
        <w:rPr>
          <w:szCs w:val="20"/>
        </w:rPr>
        <w:br w:type="page"/>
      </w:r>
    </w:p>
    <w:p w14:paraId="1368C179" w14:textId="77777777" w:rsidR="0030700B" w:rsidRDefault="0030700B" w:rsidP="00D45D10">
      <w:pPr>
        <w:pStyle w:val="Heading1"/>
        <w:sectPr w:rsidR="0030700B" w:rsidSect="00863347">
          <w:headerReference w:type="default" r:id="rId14"/>
          <w:footerReference w:type="even" r:id="rId15"/>
          <w:footerReference w:type="default" r:id="rId16"/>
          <w:headerReference w:type="first" r:id="rId17"/>
          <w:footerReference w:type="first" r:id="rId18"/>
          <w:pgSz w:w="11906" w:h="16838"/>
          <w:pgMar w:top="1366" w:right="1440" w:bottom="1440" w:left="1440" w:header="283" w:footer="708" w:gutter="0"/>
          <w:cols w:space="708"/>
          <w:titlePg/>
          <w:docGrid w:linePitch="360"/>
        </w:sectPr>
      </w:pPr>
    </w:p>
    <w:p w14:paraId="5D73EA8D" w14:textId="77777777" w:rsidR="001C0073" w:rsidRDefault="00DB00BB" w:rsidP="00D45D10">
      <w:pPr>
        <w:pStyle w:val="Heading1"/>
      </w:pPr>
      <w:bookmarkStart w:id="0" w:name="_Toc219978468"/>
      <w:r w:rsidRPr="003D25C9">
        <w:lastRenderedPageBreak/>
        <w:t>Contents</w:t>
      </w:r>
      <w:bookmarkEnd w:id="0"/>
    </w:p>
    <w:p w14:paraId="0CE6818A" w14:textId="77777777" w:rsidR="001C0073" w:rsidRPr="00293638" w:rsidRDefault="001C0073" w:rsidP="001C0073">
      <w:pPr>
        <w:rPr>
          <w:szCs w:val="20"/>
        </w:rPr>
      </w:pPr>
    </w:p>
    <w:p w14:paraId="5D3CBCFA" w14:textId="77777777" w:rsidR="001C0073" w:rsidRPr="00293638" w:rsidRDefault="001C0073" w:rsidP="001C0073">
      <w:pPr>
        <w:rPr>
          <w:szCs w:val="20"/>
        </w:rPr>
        <w:sectPr w:rsidR="001C0073" w:rsidRPr="00293638" w:rsidSect="000D0670">
          <w:type w:val="continuous"/>
          <w:pgSz w:w="11906" w:h="16838"/>
          <w:pgMar w:top="1366" w:right="1440" w:bottom="1440" w:left="1440" w:header="794" w:footer="709" w:gutter="0"/>
          <w:cols w:space="708"/>
          <w:docGrid w:linePitch="360"/>
        </w:sectPr>
      </w:pPr>
    </w:p>
    <w:p w14:paraId="43EE8D55" w14:textId="7A4A1746" w:rsidR="00F578EA" w:rsidRDefault="00942B52">
      <w:pPr>
        <w:pStyle w:val="TOC1"/>
        <w:tabs>
          <w:tab w:val="right" w:leader="dot" w:pos="4149"/>
        </w:tabs>
        <w:rPr>
          <w:rFonts w:asciiTheme="minorHAnsi" w:eastAsiaTheme="minorEastAsia" w:hAnsiTheme="minorHAnsi"/>
          <w:b w:val="0"/>
          <w:noProof/>
          <w:color w:val="auto"/>
          <w:sz w:val="24"/>
          <w:szCs w:val="24"/>
          <w:lang w:eastAsia="en-AU"/>
        </w:rPr>
      </w:pPr>
      <w:r w:rsidRPr="00293638">
        <w:rPr>
          <w:szCs w:val="20"/>
        </w:rPr>
        <w:fldChar w:fldCharType="begin"/>
      </w:r>
      <w:r w:rsidRPr="00293638">
        <w:rPr>
          <w:szCs w:val="20"/>
        </w:rPr>
        <w:instrText xml:space="preserve"> TOC \o "1-2" \h \z \u </w:instrText>
      </w:r>
      <w:r w:rsidRPr="00293638">
        <w:rPr>
          <w:szCs w:val="20"/>
        </w:rPr>
        <w:fldChar w:fldCharType="separate"/>
      </w:r>
      <w:hyperlink w:anchor="_Toc219978468" w:history="1">
        <w:r w:rsidR="00F578EA" w:rsidRPr="00461283">
          <w:rPr>
            <w:rStyle w:val="Hyperlink"/>
            <w:noProof/>
          </w:rPr>
          <w:t>Contents</w:t>
        </w:r>
        <w:r w:rsidR="00F578EA">
          <w:rPr>
            <w:noProof/>
            <w:webHidden/>
          </w:rPr>
          <w:tab/>
        </w:r>
        <w:r w:rsidR="00F578EA">
          <w:rPr>
            <w:noProof/>
            <w:webHidden/>
          </w:rPr>
          <w:fldChar w:fldCharType="begin"/>
        </w:r>
        <w:r w:rsidR="00F578EA">
          <w:rPr>
            <w:noProof/>
            <w:webHidden/>
          </w:rPr>
          <w:instrText xml:space="preserve"> PAGEREF _Toc219978468 \h </w:instrText>
        </w:r>
        <w:r w:rsidR="00F578EA">
          <w:rPr>
            <w:noProof/>
            <w:webHidden/>
          </w:rPr>
        </w:r>
        <w:r w:rsidR="00F578EA">
          <w:rPr>
            <w:noProof/>
            <w:webHidden/>
          </w:rPr>
          <w:fldChar w:fldCharType="separate"/>
        </w:r>
        <w:r w:rsidR="00F578EA">
          <w:rPr>
            <w:noProof/>
            <w:webHidden/>
          </w:rPr>
          <w:t>2</w:t>
        </w:r>
        <w:r w:rsidR="00F578EA">
          <w:rPr>
            <w:noProof/>
            <w:webHidden/>
          </w:rPr>
          <w:fldChar w:fldCharType="end"/>
        </w:r>
      </w:hyperlink>
    </w:p>
    <w:p w14:paraId="31B0D005" w14:textId="4D884603" w:rsidR="00F578EA" w:rsidRDefault="00F578EA">
      <w:pPr>
        <w:pStyle w:val="TOC1"/>
        <w:tabs>
          <w:tab w:val="right" w:leader="dot" w:pos="4149"/>
        </w:tabs>
        <w:rPr>
          <w:rFonts w:asciiTheme="minorHAnsi" w:eastAsiaTheme="minorEastAsia" w:hAnsiTheme="minorHAnsi"/>
          <w:b w:val="0"/>
          <w:noProof/>
          <w:color w:val="auto"/>
          <w:sz w:val="24"/>
          <w:szCs w:val="24"/>
          <w:lang w:eastAsia="en-AU"/>
        </w:rPr>
      </w:pPr>
      <w:hyperlink w:anchor="_Toc219978469" w:history="1">
        <w:r w:rsidRPr="00461283">
          <w:rPr>
            <w:rStyle w:val="Hyperlink"/>
            <w:noProof/>
          </w:rPr>
          <w:t>1. About the RRS Guidelines</w:t>
        </w:r>
        <w:r>
          <w:rPr>
            <w:noProof/>
            <w:webHidden/>
          </w:rPr>
          <w:tab/>
        </w:r>
        <w:r>
          <w:rPr>
            <w:noProof/>
            <w:webHidden/>
          </w:rPr>
          <w:fldChar w:fldCharType="begin"/>
        </w:r>
        <w:r>
          <w:rPr>
            <w:noProof/>
            <w:webHidden/>
          </w:rPr>
          <w:instrText xml:space="preserve"> PAGEREF _Toc219978469 \h </w:instrText>
        </w:r>
        <w:r>
          <w:rPr>
            <w:noProof/>
            <w:webHidden/>
          </w:rPr>
        </w:r>
        <w:r>
          <w:rPr>
            <w:noProof/>
            <w:webHidden/>
          </w:rPr>
          <w:fldChar w:fldCharType="separate"/>
        </w:r>
        <w:r>
          <w:rPr>
            <w:noProof/>
            <w:webHidden/>
          </w:rPr>
          <w:t>3</w:t>
        </w:r>
        <w:r>
          <w:rPr>
            <w:noProof/>
            <w:webHidden/>
          </w:rPr>
          <w:fldChar w:fldCharType="end"/>
        </w:r>
      </w:hyperlink>
    </w:p>
    <w:p w14:paraId="672916FF" w14:textId="1E6A2917"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70" w:history="1">
        <w:r w:rsidRPr="00461283">
          <w:rPr>
            <w:rStyle w:val="Hyperlink"/>
            <w:noProof/>
          </w:rPr>
          <w:t>Table 1: RRS – Service delivery requirements</w:t>
        </w:r>
        <w:r>
          <w:rPr>
            <w:noProof/>
            <w:webHidden/>
          </w:rPr>
          <w:tab/>
        </w:r>
        <w:r>
          <w:rPr>
            <w:noProof/>
            <w:webHidden/>
          </w:rPr>
          <w:fldChar w:fldCharType="begin"/>
        </w:r>
        <w:r>
          <w:rPr>
            <w:noProof/>
            <w:webHidden/>
          </w:rPr>
          <w:instrText xml:space="preserve"> PAGEREF _Toc219978470 \h </w:instrText>
        </w:r>
        <w:r>
          <w:rPr>
            <w:noProof/>
            <w:webHidden/>
          </w:rPr>
        </w:r>
        <w:r>
          <w:rPr>
            <w:noProof/>
            <w:webHidden/>
          </w:rPr>
          <w:fldChar w:fldCharType="separate"/>
        </w:r>
        <w:r>
          <w:rPr>
            <w:noProof/>
            <w:webHidden/>
          </w:rPr>
          <w:t>4</w:t>
        </w:r>
        <w:r>
          <w:rPr>
            <w:noProof/>
            <w:webHidden/>
          </w:rPr>
          <w:fldChar w:fldCharType="end"/>
        </w:r>
      </w:hyperlink>
    </w:p>
    <w:p w14:paraId="2E6423E8" w14:textId="32C1EA07" w:rsidR="00F578EA" w:rsidRDefault="00F578EA">
      <w:pPr>
        <w:pStyle w:val="TOC1"/>
        <w:tabs>
          <w:tab w:val="right" w:leader="dot" w:pos="4149"/>
        </w:tabs>
        <w:rPr>
          <w:rFonts w:asciiTheme="minorHAnsi" w:eastAsiaTheme="minorEastAsia" w:hAnsiTheme="minorHAnsi"/>
          <w:b w:val="0"/>
          <w:noProof/>
          <w:color w:val="auto"/>
          <w:sz w:val="24"/>
          <w:szCs w:val="24"/>
          <w:lang w:eastAsia="en-AU"/>
        </w:rPr>
      </w:pPr>
      <w:hyperlink w:anchor="_Toc219978471" w:history="1">
        <w:r w:rsidRPr="00461283">
          <w:rPr>
            <w:rStyle w:val="Hyperlink"/>
            <w:noProof/>
          </w:rPr>
          <w:t>2. Introduction to the RRS</w:t>
        </w:r>
        <w:r>
          <w:rPr>
            <w:noProof/>
            <w:webHidden/>
          </w:rPr>
          <w:tab/>
        </w:r>
        <w:r>
          <w:rPr>
            <w:noProof/>
            <w:webHidden/>
          </w:rPr>
          <w:fldChar w:fldCharType="begin"/>
        </w:r>
        <w:r>
          <w:rPr>
            <w:noProof/>
            <w:webHidden/>
          </w:rPr>
          <w:instrText xml:space="preserve"> PAGEREF _Toc219978471 \h </w:instrText>
        </w:r>
        <w:r>
          <w:rPr>
            <w:noProof/>
            <w:webHidden/>
          </w:rPr>
        </w:r>
        <w:r>
          <w:rPr>
            <w:noProof/>
            <w:webHidden/>
          </w:rPr>
          <w:fldChar w:fldCharType="separate"/>
        </w:r>
        <w:r>
          <w:rPr>
            <w:noProof/>
            <w:webHidden/>
          </w:rPr>
          <w:t>5</w:t>
        </w:r>
        <w:r>
          <w:rPr>
            <w:noProof/>
            <w:webHidden/>
          </w:rPr>
          <w:fldChar w:fldCharType="end"/>
        </w:r>
      </w:hyperlink>
    </w:p>
    <w:p w14:paraId="52C24B01" w14:textId="18FE4CE6"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72" w:history="1">
        <w:r w:rsidRPr="00461283">
          <w:rPr>
            <w:rStyle w:val="Hyperlink"/>
            <w:noProof/>
          </w:rPr>
          <w:t>Overview</w:t>
        </w:r>
        <w:r>
          <w:rPr>
            <w:noProof/>
            <w:webHidden/>
          </w:rPr>
          <w:tab/>
        </w:r>
        <w:r>
          <w:rPr>
            <w:noProof/>
            <w:webHidden/>
          </w:rPr>
          <w:fldChar w:fldCharType="begin"/>
        </w:r>
        <w:r>
          <w:rPr>
            <w:noProof/>
            <w:webHidden/>
          </w:rPr>
          <w:instrText xml:space="preserve"> PAGEREF _Toc219978472 \h </w:instrText>
        </w:r>
        <w:r>
          <w:rPr>
            <w:noProof/>
            <w:webHidden/>
          </w:rPr>
        </w:r>
        <w:r>
          <w:rPr>
            <w:noProof/>
            <w:webHidden/>
          </w:rPr>
          <w:fldChar w:fldCharType="separate"/>
        </w:r>
        <w:r>
          <w:rPr>
            <w:noProof/>
            <w:webHidden/>
          </w:rPr>
          <w:t>5</w:t>
        </w:r>
        <w:r>
          <w:rPr>
            <w:noProof/>
            <w:webHidden/>
          </w:rPr>
          <w:fldChar w:fldCharType="end"/>
        </w:r>
      </w:hyperlink>
    </w:p>
    <w:p w14:paraId="02C44966" w14:textId="0D528FD7"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73" w:history="1">
        <w:r w:rsidRPr="00461283">
          <w:rPr>
            <w:rStyle w:val="Hyperlink"/>
            <w:noProof/>
          </w:rPr>
          <w:t>RRS service model</w:t>
        </w:r>
        <w:r>
          <w:rPr>
            <w:noProof/>
            <w:webHidden/>
          </w:rPr>
          <w:tab/>
        </w:r>
        <w:r>
          <w:rPr>
            <w:noProof/>
            <w:webHidden/>
          </w:rPr>
          <w:fldChar w:fldCharType="begin"/>
        </w:r>
        <w:r>
          <w:rPr>
            <w:noProof/>
            <w:webHidden/>
          </w:rPr>
          <w:instrText xml:space="preserve"> PAGEREF _Toc219978473 \h </w:instrText>
        </w:r>
        <w:r>
          <w:rPr>
            <w:noProof/>
            <w:webHidden/>
          </w:rPr>
        </w:r>
        <w:r>
          <w:rPr>
            <w:noProof/>
            <w:webHidden/>
          </w:rPr>
          <w:fldChar w:fldCharType="separate"/>
        </w:r>
        <w:r>
          <w:rPr>
            <w:noProof/>
            <w:webHidden/>
          </w:rPr>
          <w:t>5</w:t>
        </w:r>
        <w:r>
          <w:rPr>
            <w:noProof/>
            <w:webHidden/>
          </w:rPr>
          <w:fldChar w:fldCharType="end"/>
        </w:r>
      </w:hyperlink>
    </w:p>
    <w:p w14:paraId="3F406DF9" w14:textId="40E6BE5A"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74" w:history="1">
        <w:r w:rsidRPr="00461283">
          <w:rPr>
            <w:rStyle w:val="Hyperlink"/>
            <w:noProof/>
          </w:rPr>
          <w:t>Table 2: Principles of practice for RRS</w:t>
        </w:r>
        <w:r>
          <w:rPr>
            <w:noProof/>
            <w:webHidden/>
          </w:rPr>
          <w:tab/>
        </w:r>
        <w:r>
          <w:rPr>
            <w:noProof/>
            <w:webHidden/>
          </w:rPr>
          <w:fldChar w:fldCharType="begin"/>
        </w:r>
        <w:r>
          <w:rPr>
            <w:noProof/>
            <w:webHidden/>
          </w:rPr>
          <w:instrText xml:space="preserve"> PAGEREF _Toc219978474 \h </w:instrText>
        </w:r>
        <w:r>
          <w:rPr>
            <w:noProof/>
            <w:webHidden/>
          </w:rPr>
        </w:r>
        <w:r>
          <w:rPr>
            <w:noProof/>
            <w:webHidden/>
          </w:rPr>
          <w:fldChar w:fldCharType="separate"/>
        </w:r>
        <w:r>
          <w:rPr>
            <w:noProof/>
            <w:webHidden/>
          </w:rPr>
          <w:t>6</w:t>
        </w:r>
        <w:r>
          <w:rPr>
            <w:noProof/>
            <w:webHidden/>
          </w:rPr>
          <w:fldChar w:fldCharType="end"/>
        </w:r>
      </w:hyperlink>
    </w:p>
    <w:p w14:paraId="25C7D1D6" w14:textId="6CD99198" w:rsidR="00F578EA" w:rsidRDefault="00F578EA">
      <w:pPr>
        <w:pStyle w:val="TOC1"/>
        <w:tabs>
          <w:tab w:val="right" w:leader="dot" w:pos="4149"/>
        </w:tabs>
        <w:rPr>
          <w:rFonts w:asciiTheme="minorHAnsi" w:eastAsiaTheme="minorEastAsia" w:hAnsiTheme="minorHAnsi"/>
          <w:b w:val="0"/>
          <w:noProof/>
          <w:color w:val="auto"/>
          <w:sz w:val="24"/>
          <w:szCs w:val="24"/>
          <w:lang w:eastAsia="en-AU"/>
        </w:rPr>
      </w:pPr>
      <w:hyperlink w:anchor="_Toc219978475" w:history="1">
        <w:r w:rsidRPr="00461283">
          <w:rPr>
            <w:rStyle w:val="Hyperlink"/>
            <w:noProof/>
          </w:rPr>
          <w:t>3. Client eligibility and prioritisation</w:t>
        </w:r>
        <w:r>
          <w:rPr>
            <w:noProof/>
            <w:webHidden/>
          </w:rPr>
          <w:tab/>
        </w:r>
        <w:r>
          <w:rPr>
            <w:noProof/>
            <w:webHidden/>
          </w:rPr>
          <w:fldChar w:fldCharType="begin"/>
        </w:r>
        <w:r>
          <w:rPr>
            <w:noProof/>
            <w:webHidden/>
          </w:rPr>
          <w:instrText xml:space="preserve"> PAGEREF _Toc219978475 \h </w:instrText>
        </w:r>
        <w:r>
          <w:rPr>
            <w:noProof/>
            <w:webHidden/>
          </w:rPr>
        </w:r>
        <w:r>
          <w:rPr>
            <w:noProof/>
            <w:webHidden/>
          </w:rPr>
          <w:fldChar w:fldCharType="separate"/>
        </w:r>
        <w:r>
          <w:rPr>
            <w:noProof/>
            <w:webHidden/>
          </w:rPr>
          <w:t>8</w:t>
        </w:r>
        <w:r>
          <w:rPr>
            <w:noProof/>
            <w:webHidden/>
          </w:rPr>
          <w:fldChar w:fldCharType="end"/>
        </w:r>
      </w:hyperlink>
    </w:p>
    <w:p w14:paraId="7DC9CA31" w14:textId="0D049F4B"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76" w:history="1">
        <w:r w:rsidRPr="00461283">
          <w:rPr>
            <w:rStyle w:val="Hyperlink"/>
            <w:noProof/>
          </w:rPr>
          <w:t>Eligible clients</w:t>
        </w:r>
        <w:r>
          <w:rPr>
            <w:noProof/>
            <w:webHidden/>
          </w:rPr>
          <w:tab/>
        </w:r>
        <w:r>
          <w:rPr>
            <w:noProof/>
            <w:webHidden/>
          </w:rPr>
          <w:fldChar w:fldCharType="begin"/>
        </w:r>
        <w:r>
          <w:rPr>
            <w:noProof/>
            <w:webHidden/>
          </w:rPr>
          <w:instrText xml:space="preserve"> PAGEREF _Toc219978476 \h </w:instrText>
        </w:r>
        <w:r>
          <w:rPr>
            <w:noProof/>
            <w:webHidden/>
          </w:rPr>
        </w:r>
        <w:r>
          <w:rPr>
            <w:noProof/>
            <w:webHidden/>
          </w:rPr>
          <w:fldChar w:fldCharType="separate"/>
        </w:r>
        <w:r>
          <w:rPr>
            <w:noProof/>
            <w:webHidden/>
          </w:rPr>
          <w:t>8</w:t>
        </w:r>
        <w:r>
          <w:rPr>
            <w:noProof/>
            <w:webHidden/>
          </w:rPr>
          <w:fldChar w:fldCharType="end"/>
        </w:r>
      </w:hyperlink>
    </w:p>
    <w:p w14:paraId="415EB6A2" w14:textId="460DF464"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77" w:history="1">
        <w:r w:rsidRPr="00461283">
          <w:rPr>
            <w:rStyle w:val="Hyperlink"/>
            <w:noProof/>
          </w:rPr>
          <w:t>Ineligible clients</w:t>
        </w:r>
        <w:r>
          <w:rPr>
            <w:noProof/>
            <w:webHidden/>
          </w:rPr>
          <w:tab/>
        </w:r>
        <w:r>
          <w:rPr>
            <w:noProof/>
            <w:webHidden/>
          </w:rPr>
          <w:fldChar w:fldCharType="begin"/>
        </w:r>
        <w:r>
          <w:rPr>
            <w:noProof/>
            <w:webHidden/>
          </w:rPr>
          <w:instrText xml:space="preserve"> PAGEREF _Toc219978477 \h </w:instrText>
        </w:r>
        <w:r>
          <w:rPr>
            <w:noProof/>
            <w:webHidden/>
          </w:rPr>
        </w:r>
        <w:r>
          <w:rPr>
            <w:noProof/>
            <w:webHidden/>
          </w:rPr>
          <w:fldChar w:fldCharType="separate"/>
        </w:r>
        <w:r>
          <w:rPr>
            <w:noProof/>
            <w:webHidden/>
          </w:rPr>
          <w:t>8</w:t>
        </w:r>
        <w:r>
          <w:rPr>
            <w:noProof/>
            <w:webHidden/>
          </w:rPr>
          <w:fldChar w:fldCharType="end"/>
        </w:r>
      </w:hyperlink>
    </w:p>
    <w:p w14:paraId="69913001" w14:textId="72E6B471"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78" w:history="1">
        <w:r w:rsidRPr="00461283">
          <w:rPr>
            <w:rStyle w:val="Hyperlink"/>
            <w:noProof/>
          </w:rPr>
          <w:t>Prioritisation of waitlists</w:t>
        </w:r>
        <w:r>
          <w:rPr>
            <w:noProof/>
            <w:webHidden/>
          </w:rPr>
          <w:tab/>
        </w:r>
        <w:r>
          <w:rPr>
            <w:noProof/>
            <w:webHidden/>
          </w:rPr>
          <w:fldChar w:fldCharType="begin"/>
        </w:r>
        <w:r>
          <w:rPr>
            <w:noProof/>
            <w:webHidden/>
          </w:rPr>
          <w:instrText xml:space="preserve"> PAGEREF _Toc219978478 \h </w:instrText>
        </w:r>
        <w:r>
          <w:rPr>
            <w:noProof/>
            <w:webHidden/>
          </w:rPr>
        </w:r>
        <w:r>
          <w:rPr>
            <w:noProof/>
            <w:webHidden/>
          </w:rPr>
          <w:fldChar w:fldCharType="separate"/>
        </w:r>
        <w:r>
          <w:rPr>
            <w:noProof/>
            <w:webHidden/>
          </w:rPr>
          <w:t>9</w:t>
        </w:r>
        <w:r>
          <w:rPr>
            <w:noProof/>
            <w:webHidden/>
          </w:rPr>
          <w:fldChar w:fldCharType="end"/>
        </w:r>
      </w:hyperlink>
    </w:p>
    <w:p w14:paraId="01EB7753" w14:textId="3AC2CA05"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79" w:history="1">
        <w:r w:rsidRPr="00461283">
          <w:rPr>
            <w:rStyle w:val="Hyperlink"/>
            <w:noProof/>
          </w:rPr>
          <w:t>Response times</w:t>
        </w:r>
        <w:r>
          <w:rPr>
            <w:noProof/>
            <w:webHidden/>
          </w:rPr>
          <w:tab/>
        </w:r>
        <w:r>
          <w:rPr>
            <w:noProof/>
            <w:webHidden/>
          </w:rPr>
          <w:fldChar w:fldCharType="begin"/>
        </w:r>
        <w:r>
          <w:rPr>
            <w:noProof/>
            <w:webHidden/>
          </w:rPr>
          <w:instrText xml:space="preserve"> PAGEREF _Toc219978479 \h </w:instrText>
        </w:r>
        <w:r>
          <w:rPr>
            <w:noProof/>
            <w:webHidden/>
          </w:rPr>
        </w:r>
        <w:r>
          <w:rPr>
            <w:noProof/>
            <w:webHidden/>
          </w:rPr>
          <w:fldChar w:fldCharType="separate"/>
        </w:r>
        <w:r>
          <w:rPr>
            <w:noProof/>
            <w:webHidden/>
          </w:rPr>
          <w:t>9</w:t>
        </w:r>
        <w:r>
          <w:rPr>
            <w:noProof/>
            <w:webHidden/>
          </w:rPr>
          <w:fldChar w:fldCharType="end"/>
        </w:r>
      </w:hyperlink>
    </w:p>
    <w:p w14:paraId="414D6047" w14:textId="18FC6EF1" w:rsidR="00F578EA" w:rsidRDefault="00F578EA">
      <w:pPr>
        <w:pStyle w:val="TOC1"/>
        <w:tabs>
          <w:tab w:val="right" w:leader="dot" w:pos="4149"/>
        </w:tabs>
        <w:rPr>
          <w:rFonts w:asciiTheme="minorHAnsi" w:eastAsiaTheme="minorEastAsia" w:hAnsiTheme="minorHAnsi"/>
          <w:b w:val="0"/>
          <w:noProof/>
          <w:color w:val="auto"/>
          <w:sz w:val="24"/>
          <w:szCs w:val="24"/>
          <w:lang w:eastAsia="en-AU"/>
        </w:rPr>
      </w:pPr>
      <w:hyperlink w:anchor="_Toc219978480" w:history="1">
        <w:r w:rsidRPr="00461283">
          <w:rPr>
            <w:rStyle w:val="Hyperlink"/>
            <w:noProof/>
          </w:rPr>
          <w:t>4. Service types</w:t>
        </w:r>
        <w:r>
          <w:rPr>
            <w:noProof/>
            <w:webHidden/>
          </w:rPr>
          <w:tab/>
        </w:r>
        <w:r>
          <w:rPr>
            <w:noProof/>
            <w:webHidden/>
          </w:rPr>
          <w:fldChar w:fldCharType="begin"/>
        </w:r>
        <w:r>
          <w:rPr>
            <w:noProof/>
            <w:webHidden/>
          </w:rPr>
          <w:instrText xml:space="preserve"> PAGEREF _Toc219978480 \h </w:instrText>
        </w:r>
        <w:r>
          <w:rPr>
            <w:noProof/>
            <w:webHidden/>
          </w:rPr>
        </w:r>
        <w:r>
          <w:rPr>
            <w:noProof/>
            <w:webHidden/>
          </w:rPr>
          <w:fldChar w:fldCharType="separate"/>
        </w:r>
        <w:r>
          <w:rPr>
            <w:noProof/>
            <w:webHidden/>
          </w:rPr>
          <w:t>10</w:t>
        </w:r>
        <w:r>
          <w:rPr>
            <w:noProof/>
            <w:webHidden/>
          </w:rPr>
          <w:fldChar w:fldCharType="end"/>
        </w:r>
      </w:hyperlink>
    </w:p>
    <w:p w14:paraId="50735551" w14:textId="4BA4E1C5"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81" w:history="1">
        <w:r w:rsidRPr="00461283">
          <w:rPr>
            <w:rStyle w:val="Hyperlink"/>
            <w:noProof/>
          </w:rPr>
          <w:t>Early intervention support</w:t>
        </w:r>
        <w:r>
          <w:rPr>
            <w:noProof/>
            <w:webHidden/>
          </w:rPr>
          <w:tab/>
        </w:r>
        <w:r>
          <w:rPr>
            <w:noProof/>
            <w:webHidden/>
          </w:rPr>
          <w:fldChar w:fldCharType="begin"/>
        </w:r>
        <w:r>
          <w:rPr>
            <w:noProof/>
            <w:webHidden/>
          </w:rPr>
          <w:instrText xml:space="preserve"> PAGEREF _Toc219978481 \h </w:instrText>
        </w:r>
        <w:r>
          <w:rPr>
            <w:noProof/>
            <w:webHidden/>
          </w:rPr>
        </w:r>
        <w:r>
          <w:rPr>
            <w:noProof/>
            <w:webHidden/>
          </w:rPr>
          <w:fldChar w:fldCharType="separate"/>
        </w:r>
        <w:r>
          <w:rPr>
            <w:noProof/>
            <w:webHidden/>
          </w:rPr>
          <w:t>10</w:t>
        </w:r>
        <w:r>
          <w:rPr>
            <w:noProof/>
            <w:webHidden/>
          </w:rPr>
          <w:fldChar w:fldCharType="end"/>
        </w:r>
      </w:hyperlink>
    </w:p>
    <w:p w14:paraId="739CE6E1" w14:textId="42772495"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82" w:history="1">
        <w:r w:rsidRPr="00461283">
          <w:rPr>
            <w:rStyle w:val="Hyperlink"/>
            <w:noProof/>
          </w:rPr>
          <w:t>Information and referral</w:t>
        </w:r>
        <w:r>
          <w:rPr>
            <w:noProof/>
            <w:webHidden/>
          </w:rPr>
          <w:tab/>
        </w:r>
        <w:r>
          <w:rPr>
            <w:noProof/>
            <w:webHidden/>
          </w:rPr>
          <w:fldChar w:fldCharType="begin"/>
        </w:r>
        <w:r>
          <w:rPr>
            <w:noProof/>
            <w:webHidden/>
          </w:rPr>
          <w:instrText xml:space="preserve"> PAGEREF _Toc219978482 \h </w:instrText>
        </w:r>
        <w:r>
          <w:rPr>
            <w:noProof/>
            <w:webHidden/>
          </w:rPr>
        </w:r>
        <w:r>
          <w:rPr>
            <w:noProof/>
            <w:webHidden/>
          </w:rPr>
          <w:fldChar w:fldCharType="separate"/>
        </w:r>
        <w:r>
          <w:rPr>
            <w:noProof/>
            <w:webHidden/>
          </w:rPr>
          <w:t>10</w:t>
        </w:r>
        <w:r>
          <w:rPr>
            <w:noProof/>
            <w:webHidden/>
          </w:rPr>
          <w:fldChar w:fldCharType="end"/>
        </w:r>
      </w:hyperlink>
    </w:p>
    <w:p w14:paraId="65523980" w14:textId="2EAD10F3"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83" w:history="1">
        <w:r w:rsidRPr="00461283">
          <w:rPr>
            <w:rStyle w:val="Hyperlink"/>
            <w:noProof/>
          </w:rPr>
          <w:t>Negotiation and advocacy</w:t>
        </w:r>
        <w:r>
          <w:rPr>
            <w:noProof/>
            <w:webHidden/>
          </w:rPr>
          <w:tab/>
        </w:r>
        <w:r>
          <w:rPr>
            <w:noProof/>
            <w:webHidden/>
          </w:rPr>
          <w:fldChar w:fldCharType="begin"/>
        </w:r>
        <w:r>
          <w:rPr>
            <w:noProof/>
            <w:webHidden/>
          </w:rPr>
          <w:instrText xml:space="preserve"> PAGEREF _Toc219978483 \h </w:instrText>
        </w:r>
        <w:r>
          <w:rPr>
            <w:noProof/>
            <w:webHidden/>
          </w:rPr>
        </w:r>
        <w:r>
          <w:rPr>
            <w:noProof/>
            <w:webHidden/>
          </w:rPr>
          <w:fldChar w:fldCharType="separate"/>
        </w:r>
        <w:r>
          <w:rPr>
            <w:noProof/>
            <w:webHidden/>
          </w:rPr>
          <w:t>10</w:t>
        </w:r>
        <w:r>
          <w:rPr>
            <w:noProof/>
            <w:webHidden/>
          </w:rPr>
          <w:fldChar w:fldCharType="end"/>
        </w:r>
      </w:hyperlink>
    </w:p>
    <w:p w14:paraId="1E74D5C5" w14:textId="27338F66"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84" w:history="1">
        <w:r w:rsidRPr="00461283">
          <w:rPr>
            <w:rStyle w:val="Hyperlink"/>
            <w:noProof/>
          </w:rPr>
          <w:t>RDRV and VCAT assistance</w:t>
        </w:r>
        <w:r>
          <w:rPr>
            <w:noProof/>
            <w:webHidden/>
          </w:rPr>
          <w:tab/>
        </w:r>
        <w:r>
          <w:rPr>
            <w:noProof/>
            <w:webHidden/>
          </w:rPr>
          <w:fldChar w:fldCharType="begin"/>
        </w:r>
        <w:r>
          <w:rPr>
            <w:noProof/>
            <w:webHidden/>
          </w:rPr>
          <w:instrText xml:space="preserve"> PAGEREF _Toc219978484 \h </w:instrText>
        </w:r>
        <w:r>
          <w:rPr>
            <w:noProof/>
            <w:webHidden/>
          </w:rPr>
        </w:r>
        <w:r>
          <w:rPr>
            <w:noProof/>
            <w:webHidden/>
          </w:rPr>
          <w:fldChar w:fldCharType="separate"/>
        </w:r>
        <w:r>
          <w:rPr>
            <w:noProof/>
            <w:webHidden/>
          </w:rPr>
          <w:t>11</w:t>
        </w:r>
        <w:r>
          <w:rPr>
            <w:noProof/>
            <w:webHidden/>
          </w:rPr>
          <w:fldChar w:fldCharType="end"/>
        </w:r>
      </w:hyperlink>
    </w:p>
    <w:p w14:paraId="03399A1F" w14:textId="28BB984C"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85" w:history="1">
        <w:r w:rsidRPr="00461283">
          <w:rPr>
            <w:rStyle w:val="Hyperlink"/>
            <w:noProof/>
          </w:rPr>
          <w:t>Duty advocacy</w:t>
        </w:r>
        <w:r>
          <w:rPr>
            <w:noProof/>
            <w:webHidden/>
          </w:rPr>
          <w:tab/>
        </w:r>
        <w:r>
          <w:rPr>
            <w:noProof/>
            <w:webHidden/>
          </w:rPr>
          <w:fldChar w:fldCharType="begin"/>
        </w:r>
        <w:r>
          <w:rPr>
            <w:noProof/>
            <w:webHidden/>
          </w:rPr>
          <w:instrText xml:space="preserve"> PAGEREF _Toc219978485 \h </w:instrText>
        </w:r>
        <w:r>
          <w:rPr>
            <w:noProof/>
            <w:webHidden/>
          </w:rPr>
        </w:r>
        <w:r>
          <w:rPr>
            <w:noProof/>
            <w:webHidden/>
          </w:rPr>
          <w:fldChar w:fldCharType="separate"/>
        </w:r>
        <w:r>
          <w:rPr>
            <w:noProof/>
            <w:webHidden/>
          </w:rPr>
          <w:t>11</w:t>
        </w:r>
        <w:r>
          <w:rPr>
            <w:noProof/>
            <w:webHidden/>
          </w:rPr>
          <w:fldChar w:fldCharType="end"/>
        </w:r>
      </w:hyperlink>
    </w:p>
    <w:p w14:paraId="53DA498A" w14:textId="6E431EAC"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86" w:history="1">
        <w:r w:rsidRPr="00461283">
          <w:rPr>
            <w:rStyle w:val="Hyperlink"/>
            <w:noProof/>
          </w:rPr>
          <w:t>Service enhancement</w:t>
        </w:r>
        <w:r>
          <w:rPr>
            <w:noProof/>
            <w:webHidden/>
          </w:rPr>
          <w:tab/>
        </w:r>
        <w:r>
          <w:rPr>
            <w:noProof/>
            <w:webHidden/>
          </w:rPr>
          <w:fldChar w:fldCharType="begin"/>
        </w:r>
        <w:r>
          <w:rPr>
            <w:noProof/>
            <w:webHidden/>
          </w:rPr>
          <w:instrText xml:space="preserve"> PAGEREF _Toc219978486 \h </w:instrText>
        </w:r>
        <w:r>
          <w:rPr>
            <w:noProof/>
            <w:webHidden/>
          </w:rPr>
        </w:r>
        <w:r>
          <w:rPr>
            <w:noProof/>
            <w:webHidden/>
          </w:rPr>
          <w:fldChar w:fldCharType="separate"/>
        </w:r>
        <w:r>
          <w:rPr>
            <w:noProof/>
            <w:webHidden/>
          </w:rPr>
          <w:t>11</w:t>
        </w:r>
        <w:r>
          <w:rPr>
            <w:noProof/>
            <w:webHidden/>
          </w:rPr>
          <w:fldChar w:fldCharType="end"/>
        </w:r>
      </w:hyperlink>
    </w:p>
    <w:p w14:paraId="78440867" w14:textId="36D962F8" w:rsidR="00F578EA" w:rsidRDefault="00F578EA">
      <w:pPr>
        <w:pStyle w:val="TOC1"/>
        <w:tabs>
          <w:tab w:val="right" w:leader="dot" w:pos="4149"/>
        </w:tabs>
        <w:rPr>
          <w:rFonts w:asciiTheme="minorHAnsi" w:eastAsiaTheme="minorEastAsia" w:hAnsiTheme="minorHAnsi"/>
          <w:b w:val="0"/>
          <w:noProof/>
          <w:color w:val="auto"/>
          <w:sz w:val="24"/>
          <w:szCs w:val="24"/>
          <w:lang w:eastAsia="en-AU"/>
        </w:rPr>
      </w:pPr>
      <w:hyperlink w:anchor="_Toc219978487" w:history="1">
        <w:r w:rsidRPr="00461283">
          <w:rPr>
            <w:rStyle w:val="Hyperlink"/>
            <w:noProof/>
          </w:rPr>
          <w:t>5. Referrals</w:t>
        </w:r>
        <w:r>
          <w:rPr>
            <w:noProof/>
            <w:webHidden/>
          </w:rPr>
          <w:tab/>
        </w:r>
        <w:r>
          <w:rPr>
            <w:noProof/>
            <w:webHidden/>
          </w:rPr>
          <w:fldChar w:fldCharType="begin"/>
        </w:r>
        <w:r>
          <w:rPr>
            <w:noProof/>
            <w:webHidden/>
          </w:rPr>
          <w:instrText xml:space="preserve"> PAGEREF _Toc219978487 \h </w:instrText>
        </w:r>
        <w:r>
          <w:rPr>
            <w:noProof/>
            <w:webHidden/>
          </w:rPr>
        </w:r>
        <w:r>
          <w:rPr>
            <w:noProof/>
            <w:webHidden/>
          </w:rPr>
          <w:fldChar w:fldCharType="separate"/>
        </w:r>
        <w:r>
          <w:rPr>
            <w:noProof/>
            <w:webHidden/>
          </w:rPr>
          <w:t>12</w:t>
        </w:r>
        <w:r>
          <w:rPr>
            <w:noProof/>
            <w:webHidden/>
          </w:rPr>
          <w:fldChar w:fldCharType="end"/>
        </w:r>
      </w:hyperlink>
    </w:p>
    <w:p w14:paraId="65033D05" w14:textId="118B7164"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88" w:history="1">
        <w:r w:rsidRPr="00461283">
          <w:rPr>
            <w:rStyle w:val="Hyperlink"/>
            <w:noProof/>
          </w:rPr>
          <w:t>Making a referral to the RCS</w:t>
        </w:r>
        <w:r>
          <w:rPr>
            <w:noProof/>
            <w:webHidden/>
          </w:rPr>
          <w:tab/>
        </w:r>
        <w:r>
          <w:rPr>
            <w:noProof/>
            <w:webHidden/>
          </w:rPr>
          <w:fldChar w:fldCharType="begin"/>
        </w:r>
        <w:r>
          <w:rPr>
            <w:noProof/>
            <w:webHidden/>
          </w:rPr>
          <w:instrText xml:space="preserve"> PAGEREF _Toc219978488 \h </w:instrText>
        </w:r>
        <w:r>
          <w:rPr>
            <w:noProof/>
            <w:webHidden/>
          </w:rPr>
        </w:r>
        <w:r>
          <w:rPr>
            <w:noProof/>
            <w:webHidden/>
          </w:rPr>
          <w:fldChar w:fldCharType="separate"/>
        </w:r>
        <w:r>
          <w:rPr>
            <w:noProof/>
            <w:webHidden/>
          </w:rPr>
          <w:t>12</w:t>
        </w:r>
        <w:r>
          <w:rPr>
            <w:noProof/>
            <w:webHidden/>
          </w:rPr>
          <w:fldChar w:fldCharType="end"/>
        </w:r>
      </w:hyperlink>
    </w:p>
    <w:p w14:paraId="4848CE58" w14:textId="1AC63DDC"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89" w:history="1">
        <w:r w:rsidRPr="00461283">
          <w:rPr>
            <w:rStyle w:val="Hyperlink"/>
            <w:noProof/>
          </w:rPr>
          <w:t>Accepting a referral from the RCS or VRH</w:t>
        </w:r>
        <w:r>
          <w:rPr>
            <w:noProof/>
            <w:webHidden/>
          </w:rPr>
          <w:tab/>
        </w:r>
        <w:r>
          <w:rPr>
            <w:noProof/>
            <w:webHidden/>
          </w:rPr>
          <w:fldChar w:fldCharType="begin"/>
        </w:r>
        <w:r>
          <w:rPr>
            <w:noProof/>
            <w:webHidden/>
          </w:rPr>
          <w:instrText xml:space="preserve"> PAGEREF _Toc219978489 \h </w:instrText>
        </w:r>
        <w:r>
          <w:rPr>
            <w:noProof/>
            <w:webHidden/>
          </w:rPr>
        </w:r>
        <w:r>
          <w:rPr>
            <w:noProof/>
            <w:webHidden/>
          </w:rPr>
          <w:fldChar w:fldCharType="separate"/>
        </w:r>
        <w:r>
          <w:rPr>
            <w:noProof/>
            <w:webHidden/>
          </w:rPr>
          <w:t>12</w:t>
        </w:r>
        <w:r>
          <w:rPr>
            <w:noProof/>
            <w:webHidden/>
          </w:rPr>
          <w:fldChar w:fldCharType="end"/>
        </w:r>
      </w:hyperlink>
    </w:p>
    <w:p w14:paraId="2C20E488" w14:textId="28CF1BAE"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90" w:history="1">
        <w:r w:rsidRPr="00461283">
          <w:rPr>
            <w:rStyle w:val="Hyperlink"/>
            <w:noProof/>
          </w:rPr>
          <w:t>Referrals between RRS agencies and the OPHRS</w:t>
        </w:r>
        <w:r>
          <w:rPr>
            <w:noProof/>
            <w:webHidden/>
          </w:rPr>
          <w:tab/>
        </w:r>
        <w:r>
          <w:rPr>
            <w:noProof/>
            <w:webHidden/>
          </w:rPr>
          <w:fldChar w:fldCharType="begin"/>
        </w:r>
        <w:r>
          <w:rPr>
            <w:noProof/>
            <w:webHidden/>
          </w:rPr>
          <w:instrText xml:space="preserve"> PAGEREF _Toc219978490 \h </w:instrText>
        </w:r>
        <w:r>
          <w:rPr>
            <w:noProof/>
            <w:webHidden/>
          </w:rPr>
        </w:r>
        <w:r>
          <w:rPr>
            <w:noProof/>
            <w:webHidden/>
          </w:rPr>
          <w:fldChar w:fldCharType="separate"/>
        </w:r>
        <w:r>
          <w:rPr>
            <w:noProof/>
            <w:webHidden/>
          </w:rPr>
          <w:t>12</w:t>
        </w:r>
        <w:r>
          <w:rPr>
            <w:noProof/>
            <w:webHidden/>
          </w:rPr>
          <w:fldChar w:fldCharType="end"/>
        </w:r>
      </w:hyperlink>
    </w:p>
    <w:p w14:paraId="04EBF1BA" w14:textId="5536F88B"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91" w:history="1">
        <w:r w:rsidRPr="00461283">
          <w:rPr>
            <w:rStyle w:val="Hyperlink"/>
            <w:noProof/>
          </w:rPr>
          <w:t>Making a referral to OPHRS</w:t>
        </w:r>
        <w:r>
          <w:rPr>
            <w:noProof/>
            <w:webHidden/>
          </w:rPr>
          <w:tab/>
        </w:r>
        <w:r>
          <w:rPr>
            <w:noProof/>
            <w:webHidden/>
          </w:rPr>
          <w:fldChar w:fldCharType="begin"/>
        </w:r>
        <w:r>
          <w:rPr>
            <w:noProof/>
            <w:webHidden/>
          </w:rPr>
          <w:instrText xml:space="preserve"> PAGEREF _Toc219978491 \h </w:instrText>
        </w:r>
        <w:r>
          <w:rPr>
            <w:noProof/>
            <w:webHidden/>
          </w:rPr>
        </w:r>
        <w:r>
          <w:rPr>
            <w:noProof/>
            <w:webHidden/>
          </w:rPr>
          <w:fldChar w:fldCharType="separate"/>
        </w:r>
        <w:r>
          <w:rPr>
            <w:noProof/>
            <w:webHidden/>
          </w:rPr>
          <w:t>13</w:t>
        </w:r>
        <w:r>
          <w:rPr>
            <w:noProof/>
            <w:webHidden/>
          </w:rPr>
          <w:fldChar w:fldCharType="end"/>
        </w:r>
      </w:hyperlink>
    </w:p>
    <w:p w14:paraId="6AA52883" w14:textId="7A035314"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92" w:history="1">
        <w:r w:rsidRPr="00461283">
          <w:rPr>
            <w:rStyle w:val="Hyperlink"/>
            <w:noProof/>
          </w:rPr>
          <w:t>Accepting a referral from the OPHRS</w:t>
        </w:r>
        <w:r>
          <w:rPr>
            <w:noProof/>
            <w:webHidden/>
          </w:rPr>
          <w:tab/>
        </w:r>
        <w:r>
          <w:rPr>
            <w:noProof/>
            <w:webHidden/>
          </w:rPr>
          <w:fldChar w:fldCharType="begin"/>
        </w:r>
        <w:r>
          <w:rPr>
            <w:noProof/>
            <w:webHidden/>
          </w:rPr>
          <w:instrText xml:space="preserve"> PAGEREF _Toc219978492 \h </w:instrText>
        </w:r>
        <w:r>
          <w:rPr>
            <w:noProof/>
            <w:webHidden/>
          </w:rPr>
        </w:r>
        <w:r>
          <w:rPr>
            <w:noProof/>
            <w:webHidden/>
          </w:rPr>
          <w:fldChar w:fldCharType="separate"/>
        </w:r>
        <w:r>
          <w:rPr>
            <w:noProof/>
            <w:webHidden/>
          </w:rPr>
          <w:t>13</w:t>
        </w:r>
        <w:r>
          <w:rPr>
            <w:noProof/>
            <w:webHidden/>
          </w:rPr>
          <w:fldChar w:fldCharType="end"/>
        </w:r>
      </w:hyperlink>
    </w:p>
    <w:p w14:paraId="5D100F6A" w14:textId="7A5021EE"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93" w:history="1">
        <w:r w:rsidRPr="00461283">
          <w:rPr>
            <w:rStyle w:val="Hyperlink"/>
            <w:noProof/>
          </w:rPr>
          <w:t>Referrals from CAV</w:t>
        </w:r>
        <w:r>
          <w:rPr>
            <w:noProof/>
            <w:webHidden/>
          </w:rPr>
          <w:tab/>
        </w:r>
        <w:r>
          <w:rPr>
            <w:noProof/>
            <w:webHidden/>
          </w:rPr>
          <w:fldChar w:fldCharType="begin"/>
        </w:r>
        <w:r>
          <w:rPr>
            <w:noProof/>
            <w:webHidden/>
          </w:rPr>
          <w:instrText xml:space="preserve"> PAGEREF _Toc219978493 \h </w:instrText>
        </w:r>
        <w:r>
          <w:rPr>
            <w:noProof/>
            <w:webHidden/>
          </w:rPr>
        </w:r>
        <w:r>
          <w:rPr>
            <w:noProof/>
            <w:webHidden/>
          </w:rPr>
          <w:fldChar w:fldCharType="separate"/>
        </w:r>
        <w:r>
          <w:rPr>
            <w:noProof/>
            <w:webHidden/>
          </w:rPr>
          <w:t>13</w:t>
        </w:r>
        <w:r>
          <w:rPr>
            <w:noProof/>
            <w:webHidden/>
          </w:rPr>
          <w:fldChar w:fldCharType="end"/>
        </w:r>
      </w:hyperlink>
    </w:p>
    <w:p w14:paraId="4C2C4FF1" w14:textId="05F7EF44"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94" w:history="1">
        <w:r w:rsidRPr="00461283">
          <w:rPr>
            <w:rStyle w:val="Hyperlink"/>
            <w:noProof/>
          </w:rPr>
          <w:t>Referrals to CAV</w:t>
        </w:r>
        <w:r>
          <w:rPr>
            <w:noProof/>
            <w:webHidden/>
          </w:rPr>
          <w:tab/>
        </w:r>
        <w:r>
          <w:rPr>
            <w:noProof/>
            <w:webHidden/>
          </w:rPr>
          <w:fldChar w:fldCharType="begin"/>
        </w:r>
        <w:r>
          <w:rPr>
            <w:noProof/>
            <w:webHidden/>
          </w:rPr>
          <w:instrText xml:space="preserve"> PAGEREF _Toc219978494 \h </w:instrText>
        </w:r>
        <w:r>
          <w:rPr>
            <w:noProof/>
            <w:webHidden/>
          </w:rPr>
        </w:r>
        <w:r>
          <w:rPr>
            <w:noProof/>
            <w:webHidden/>
          </w:rPr>
          <w:fldChar w:fldCharType="separate"/>
        </w:r>
        <w:r>
          <w:rPr>
            <w:noProof/>
            <w:webHidden/>
          </w:rPr>
          <w:t>13</w:t>
        </w:r>
        <w:r>
          <w:rPr>
            <w:noProof/>
            <w:webHidden/>
          </w:rPr>
          <w:fldChar w:fldCharType="end"/>
        </w:r>
      </w:hyperlink>
    </w:p>
    <w:p w14:paraId="5B03A2BF" w14:textId="65402709"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95" w:history="1">
        <w:r w:rsidRPr="00461283">
          <w:rPr>
            <w:rStyle w:val="Hyperlink"/>
            <w:noProof/>
          </w:rPr>
          <w:t>Referrals and travel</w:t>
        </w:r>
        <w:r>
          <w:rPr>
            <w:noProof/>
            <w:webHidden/>
          </w:rPr>
          <w:tab/>
        </w:r>
        <w:r>
          <w:rPr>
            <w:noProof/>
            <w:webHidden/>
          </w:rPr>
          <w:fldChar w:fldCharType="begin"/>
        </w:r>
        <w:r>
          <w:rPr>
            <w:noProof/>
            <w:webHidden/>
          </w:rPr>
          <w:instrText xml:space="preserve"> PAGEREF _Toc219978495 \h </w:instrText>
        </w:r>
        <w:r>
          <w:rPr>
            <w:noProof/>
            <w:webHidden/>
          </w:rPr>
        </w:r>
        <w:r>
          <w:rPr>
            <w:noProof/>
            <w:webHidden/>
          </w:rPr>
          <w:fldChar w:fldCharType="separate"/>
        </w:r>
        <w:r>
          <w:rPr>
            <w:noProof/>
            <w:webHidden/>
          </w:rPr>
          <w:t>13</w:t>
        </w:r>
        <w:r>
          <w:rPr>
            <w:noProof/>
            <w:webHidden/>
          </w:rPr>
          <w:fldChar w:fldCharType="end"/>
        </w:r>
      </w:hyperlink>
    </w:p>
    <w:p w14:paraId="35875D31" w14:textId="0239CFB9"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96" w:history="1">
        <w:r w:rsidRPr="00461283">
          <w:rPr>
            <w:rStyle w:val="Hyperlink"/>
            <w:noProof/>
          </w:rPr>
          <w:t>Referrals of complex cases</w:t>
        </w:r>
        <w:r>
          <w:rPr>
            <w:noProof/>
            <w:webHidden/>
          </w:rPr>
          <w:tab/>
        </w:r>
        <w:r>
          <w:rPr>
            <w:noProof/>
            <w:webHidden/>
          </w:rPr>
          <w:fldChar w:fldCharType="begin"/>
        </w:r>
        <w:r>
          <w:rPr>
            <w:noProof/>
            <w:webHidden/>
          </w:rPr>
          <w:instrText xml:space="preserve"> PAGEREF _Toc219978496 \h </w:instrText>
        </w:r>
        <w:r>
          <w:rPr>
            <w:noProof/>
            <w:webHidden/>
          </w:rPr>
        </w:r>
        <w:r>
          <w:rPr>
            <w:noProof/>
            <w:webHidden/>
          </w:rPr>
          <w:fldChar w:fldCharType="separate"/>
        </w:r>
        <w:r>
          <w:rPr>
            <w:noProof/>
            <w:webHidden/>
          </w:rPr>
          <w:t>13</w:t>
        </w:r>
        <w:r>
          <w:rPr>
            <w:noProof/>
            <w:webHidden/>
          </w:rPr>
          <w:fldChar w:fldCharType="end"/>
        </w:r>
      </w:hyperlink>
    </w:p>
    <w:p w14:paraId="250EF88B" w14:textId="58BE3B1B" w:rsidR="00F578EA" w:rsidRDefault="00F578EA">
      <w:pPr>
        <w:pStyle w:val="TOC1"/>
        <w:tabs>
          <w:tab w:val="right" w:leader="dot" w:pos="4149"/>
        </w:tabs>
        <w:rPr>
          <w:rFonts w:asciiTheme="minorHAnsi" w:eastAsiaTheme="minorEastAsia" w:hAnsiTheme="minorHAnsi"/>
          <w:b w:val="0"/>
          <w:noProof/>
          <w:color w:val="auto"/>
          <w:sz w:val="24"/>
          <w:szCs w:val="24"/>
          <w:lang w:eastAsia="en-AU"/>
        </w:rPr>
      </w:pPr>
      <w:hyperlink w:anchor="_Toc219978497" w:history="1">
        <w:r w:rsidRPr="00461283">
          <w:rPr>
            <w:rStyle w:val="Hyperlink"/>
            <w:noProof/>
          </w:rPr>
          <w:t>6. RRS workers</w:t>
        </w:r>
        <w:r>
          <w:rPr>
            <w:noProof/>
            <w:webHidden/>
          </w:rPr>
          <w:tab/>
        </w:r>
        <w:r>
          <w:rPr>
            <w:noProof/>
            <w:webHidden/>
          </w:rPr>
          <w:fldChar w:fldCharType="begin"/>
        </w:r>
        <w:r>
          <w:rPr>
            <w:noProof/>
            <w:webHidden/>
          </w:rPr>
          <w:instrText xml:space="preserve"> PAGEREF _Toc219978497 \h </w:instrText>
        </w:r>
        <w:r>
          <w:rPr>
            <w:noProof/>
            <w:webHidden/>
          </w:rPr>
        </w:r>
        <w:r>
          <w:rPr>
            <w:noProof/>
            <w:webHidden/>
          </w:rPr>
          <w:fldChar w:fldCharType="separate"/>
        </w:r>
        <w:r>
          <w:rPr>
            <w:noProof/>
            <w:webHidden/>
          </w:rPr>
          <w:t>14</w:t>
        </w:r>
        <w:r>
          <w:rPr>
            <w:noProof/>
            <w:webHidden/>
          </w:rPr>
          <w:fldChar w:fldCharType="end"/>
        </w:r>
      </w:hyperlink>
    </w:p>
    <w:p w14:paraId="4A61BADF" w14:textId="1A2BC833"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98" w:history="1">
        <w:r w:rsidRPr="00461283">
          <w:rPr>
            <w:rStyle w:val="Hyperlink"/>
            <w:noProof/>
          </w:rPr>
          <w:t>RRS workers at VCAT</w:t>
        </w:r>
        <w:r>
          <w:rPr>
            <w:noProof/>
            <w:webHidden/>
          </w:rPr>
          <w:tab/>
        </w:r>
        <w:r>
          <w:rPr>
            <w:noProof/>
            <w:webHidden/>
          </w:rPr>
          <w:fldChar w:fldCharType="begin"/>
        </w:r>
        <w:r>
          <w:rPr>
            <w:noProof/>
            <w:webHidden/>
          </w:rPr>
          <w:instrText xml:space="preserve"> PAGEREF _Toc219978498 \h </w:instrText>
        </w:r>
        <w:r>
          <w:rPr>
            <w:noProof/>
            <w:webHidden/>
          </w:rPr>
        </w:r>
        <w:r>
          <w:rPr>
            <w:noProof/>
            <w:webHidden/>
          </w:rPr>
          <w:fldChar w:fldCharType="separate"/>
        </w:r>
        <w:r>
          <w:rPr>
            <w:noProof/>
            <w:webHidden/>
          </w:rPr>
          <w:t>14</w:t>
        </w:r>
        <w:r>
          <w:rPr>
            <w:noProof/>
            <w:webHidden/>
          </w:rPr>
          <w:fldChar w:fldCharType="end"/>
        </w:r>
      </w:hyperlink>
    </w:p>
    <w:p w14:paraId="224AD6B4" w14:textId="0D4F7AA0"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499" w:history="1">
        <w:r w:rsidRPr="00461283">
          <w:rPr>
            <w:rStyle w:val="Hyperlink"/>
            <w:noProof/>
          </w:rPr>
          <w:t>VCAT duty advocacy</w:t>
        </w:r>
        <w:r>
          <w:rPr>
            <w:noProof/>
            <w:webHidden/>
          </w:rPr>
          <w:tab/>
        </w:r>
        <w:r>
          <w:rPr>
            <w:noProof/>
            <w:webHidden/>
          </w:rPr>
          <w:fldChar w:fldCharType="begin"/>
        </w:r>
        <w:r>
          <w:rPr>
            <w:noProof/>
            <w:webHidden/>
          </w:rPr>
          <w:instrText xml:space="preserve"> PAGEREF _Toc219978499 \h </w:instrText>
        </w:r>
        <w:r>
          <w:rPr>
            <w:noProof/>
            <w:webHidden/>
          </w:rPr>
        </w:r>
        <w:r>
          <w:rPr>
            <w:noProof/>
            <w:webHidden/>
          </w:rPr>
          <w:fldChar w:fldCharType="separate"/>
        </w:r>
        <w:r>
          <w:rPr>
            <w:noProof/>
            <w:webHidden/>
          </w:rPr>
          <w:t>15</w:t>
        </w:r>
        <w:r>
          <w:rPr>
            <w:noProof/>
            <w:webHidden/>
          </w:rPr>
          <w:fldChar w:fldCharType="end"/>
        </w:r>
      </w:hyperlink>
    </w:p>
    <w:p w14:paraId="2C1B7B21" w14:textId="1066BF91"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500" w:history="1">
        <w:r w:rsidRPr="00461283">
          <w:rPr>
            <w:rStyle w:val="Hyperlink"/>
            <w:noProof/>
          </w:rPr>
          <w:t>Ongoing training requirements</w:t>
        </w:r>
        <w:r>
          <w:rPr>
            <w:noProof/>
            <w:webHidden/>
          </w:rPr>
          <w:tab/>
        </w:r>
        <w:r>
          <w:rPr>
            <w:noProof/>
            <w:webHidden/>
          </w:rPr>
          <w:fldChar w:fldCharType="begin"/>
        </w:r>
        <w:r>
          <w:rPr>
            <w:noProof/>
            <w:webHidden/>
          </w:rPr>
          <w:instrText xml:space="preserve"> PAGEREF _Toc219978500 \h </w:instrText>
        </w:r>
        <w:r>
          <w:rPr>
            <w:noProof/>
            <w:webHidden/>
          </w:rPr>
        </w:r>
        <w:r>
          <w:rPr>
            <w:noProof/>
            <w:webHidden/>
          </w:rPr>
          <w:fldChar w:fldCharType="separate"/>
        </w:r>
        <w:r>
          <w:rPr>
            <w:noProof/>
            <w:webHidden/>
          </w:rPr>
          <w:t>15</w:t>
        </w:r>
        <w:r>
          <w:rPr>
            <w:noProof/>
            <w:webHidden/>
          </w:rPr>
          <w:fldChar w:fldCharType="end"/>
        </w:r>
      </w:hyperlink>
    </w:p>
    <w:p w14:paraId="354F5C42" w14:textId="524977CD" w:rsidR="00F578EA" w:rsidRDefault="00F578EA">
      <w:pPr>
        <w:pStyle w:val="TOC1"/>
        <w:tabs>
          <w:tab w:val="right" w:leader="dot" w:pos="4149"/>
        </w:tabs>
        <w:rPr>
          <w:rFonts w:asciiTheme="minorHAnsi" w:eastAsiaTheme="minorEastAsia" w:hAnsiTheme="minorHAnsi"/>
          <w:b w:val="0"/>
          <w:noProof/>
          <w:color w:val="auto"/>
          <w:sz w:val="24"/>
          <w:szCs w:val="24"/>
          <w:lang w:eastAsia="en-AU"/>
        </w:rPr>
      </w:pPr>
      <w:hyperlink w:anchor="_Toc219978501" w:history="1">
        <w:r w:rsidRPr="00461283">
          <w:rPr>
            <w:rStyle w:val="Hyperlink"/>
            <w:noProof/>
          </w:rPr>
          <w:t>7. Casework support for RRS workers</w:t>
        </w:r>
        <w:r>
          <w:rPr>
            <w:noProof/>
            <w:webHidden/>
          </w:rPr>
          <w:tab/>
        </w:r>
        <w:r>
          <w:rPr>
            <w:noProof/>
            <w:webHidden/>
          </w:rPr>
          <w:fldChar w:fldCharType="begin"/>
        </w:r>
        <w:r>
          <w:rPr>
            <w:noProof/>
            <w:webHidden/>
          </w:rPr>
          <w:instrText xml:space="preserve"> PAGEREF _Toc219978501 \h </w:instrText>
        </w:r>
        <w:r>
          <w:rPr>
            <w:noProof/>
            <w:webHidden/>
          </w:rPr>
        </w:r>
        <w:r>
          <w:rPr>
            <w:noProof/>
            <w:webHidden/>
          </w:rPr>
          <w:fldChar w:fldCharType="separate"/>
        </w:r>
        <w:r>
          <w:rPr>
            <w:noProof/>
            <w:webHidden/>
          </w:rPr>
          <w:t>16</w:t>
        </w:r>
        <w:r>
          <w:rPr>
            <w:noProof/>
            <w:webHidden/>
          </w:rPr>
          <w:fldChar w:fldCharType="end"/>
        </w:r>
      </w:hyperlink>
    </w:p>
    <w:p w14:paraId="40931D74" w14:textId="1452FA07"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502" w:history="1">
        <w:r w:rsidRPr="00461283">
          <w:rPr>
            <w:rStyle w:val="Hyperlink"/>
            <w:noProof/>
          </w:rPr>
          <w:t>Rental legal support</w:t>
        </w:r>
        <w:r>
          <w:rPr>
            <w:noProof/>
            <w:webHidden/>
          </w:rPr>
          <w:tab/>
        </w:r>
        <w:r>
          <w:rPr>
            <w:noProof/>
            <w:webHidden/>
          </w:rPr>
          <w:fldChar w:fldCharType="begin"/>
        </w:r>
        <w:r>
          <w:rPr>
            <w:noProof/>
            <w:webHidden/>
          </w:rPr>
          <w:instrText xml:space="preserve"> PAGEREF _Toc219978502 \h </w:instrText>
        </w:r>
        <w:r>
          <w:rPr>
            <w:noProof/>
            <w:webHidden/>
          </w:rPr>
        </w:r>
        <w:r>
          <w:rPr>
            <w:noProof/>
            <w:webHidden/>
          </w:rPr>
          <w:fldChar w:fldCharType="separate"/>
        </w:r>
        <w:r>
          <w:rPr>
            <w:noProof/>
            <w:webHidden/>
          </w:rPr>
          <w:t>16</w:t>
        </w:r>
        <w:r>
          <w:rPr>
            <w:noProof/>
            <w:webHidden/>
          </w:rPr>
          <w:fldChar w:fldCharType="end"/>
        </w:r>
      </w:hyperlink>
    </w:p>
    <w:p w14:paraId="66DDBDEF" w14:textId="3AB9F3A8"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503" w:history="1">
        <w:r w:rsidRPr="00461283">
          <w:rPr>
            <w:rStyle w:val="Hyperlink"/>
            <w:noProof/>
          </w:rPr>
          <w:t>Rental tools and resources</w:t>
        </w:r>
        <w:r>
          <w:rPr>
            <w:noProof/>
            <w:webHidden/>
          </w:rPr>
          <w:tab/>
        </w:r>
        <w:r>
          <w:rPr>
            <w:noProof/>
            <w:webHidden/>
          </w:rPr>
          <w:fldChar w:fldCharType="begin"/>
        </w:r>
        <w:r>
          <w:rPr>
            <w:noProof/>
            <w:webHidden/>
          </w:rPr>
          <w:instrText xml:space="preserve"> PAGEREF _Toc219978503 \h </w:instrText>
        </w:r>
        <w:r>
          <w:rPr>
            <w:noProof/>
            <w:webHidden/>
          </w:rPr>
        </w:r>
        <w:r>
          <w:rPr>
            <w:noProof/>
            <w:webHidden/>
          </w:rPr>
          <w:fldChar w:fldCharType="separate"/>
        </w:r>
        <w:r>
          <w:rPr>
            <w:noProof/>
            <w:webHidden/>
          </w:rPr>
          <w:t>16</w:t>
        </w:r>
        <w:r>
          <w:rPr>
            <w:noProof/>
            <w:webHidden/>
          </w:rPr>
          <w:fldChar w:fldCharType="end"/>
        </w:r>
      </w:hyperlink>
    </w:p>
    <w:p w14:paraId="63CC6F03" w14:textId="4DB97C26"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504" w:history="1">
        <w:r w:rsidRPr="00461283">
          <w:rPr>
            <w:rStyle w:val="Hyperlink"/>
            <w:noProof/>
          </w:rPr>
          <w:t>Older Renter Support Service</w:t>
        </w:r>
        <w:r>
          <w:rPr>
            <w:noProof/>
            <w:webHidden/>
          </w:rPr>
          <w:tab/>
        </w:r>
        <w:r>
          <w:rPr>
            <w:noProof/>
            <w:webHidden/>
          </w:rPr>
          <w:fldChar w:fldCharType="begin"/>
        </w:r>
        <w:r>
          <w:rPr>
            <w:noProof/>
            <w:webHidden/>
          </w:rPr>
          <w:instrText xml:space="preserve"> PAGEREF _Toc219978504 \h </w:instrText>
        </w:r>
        <w:r>
          <w:rPr>
            <w:noProof/>
            <w:webHidden/>
          </w:rPr>
        </w:r>
        <w:r>
          <w:rPr>
            <w:noProof/>
            <w:webHidden/>
          </w:rPr>
          <w:fldChar w:fldCharType="separate"/>
        </w:r>
        <w:r>
          <w:rPr>
            <w:noProof/>
            <w:webHidden/>
          </w:rPr>
          <w:t>17</w:t>
        </w:r>
        <w:r>
          <w:rPr>
            <w:noProof/>
            <w:webHidden/>
          </w:rPr>
          <w:fldChar w:fldCharType="end"/>
        </w:r>
      </w:hyperlink>
    </w:p>
    <w:p w14:paraId="34CBA33A" w14:textId="2EC34ED2"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505" w:history="1">
        <w:r w:rsidRPr="00461283">
          <w:rPr>
            <w:rStyle w:val="Hyperlink"/>
            <w:noProof/>
          </w:rPr>
          <w:t>Interpreter and translation services</w:t>
        </w:r>
        <w:r>
          <w:rPr>
            <w:noProof/>
            <w:webHidden/>
          </w:rPr>
          <w:tab/>
        </w:r>
        <w:r>
          <w:rPr>
            <w:noProof/>
            <w:webHidden/>
          </w:rPr>
          <w:fldChar w:fldCharType="begin"/>
        </w:r>
        <w:r>
          <w:rPr>
            <w:noProof/>
            <w:webHidden/>
          </w:rPr>
          <w:instrText xml:space="preserve"> PAGEREF _Toc219978505 \h </w:instrText>
        </w:r>
        <w:r>
          <w:rPr>
            <w:noProof/>
            <w:webHidden/>
          </w:rPr>
        </w:r>
        <w:r>
          <w:rPr>
            <w:noProof/>
            <w:webHidden/>
          </w:rPr>
          <w:fldChar w:fldCharType="separate"/>
        </w:r>
        <w:r>
          <w:rPr>
            <w:noProof/>
            <w:webHidden/>
          </w:rPr>
          <w:t>17</w:t>
        </w:r>
        <w:r>
          <w:rPr>
            <w:noProof/>
            <w:webHidden/>
          </w:rPr>
          <w:fldChar w:fldCharType="end"/>
        </w:r>
      </w:hyperlink>
    </w:p>
    <w:p w14:paraId="0341B972" w14:textId="23CDBF22" w:rsidR="00F578EA" w:rsidRDefault="00F578EA">
      <w:pPr>
        <w:pStyle w:val="TOC1"/>
        <w:tabs>
          <w:tab w:val="right" w:leader="dot" w:pos="4149"/>
        </w:tabs>
        <w:rPr>
          <w:rFonts w:asciiTheme="minorHAnsi" w:eastAsiaTheme="minorEastAsia" w:hAnsiTheme="minorHAnsi"/>
          <w:b w:val="0"/>
          <w:noProof/>
          <w:color w:val="auto"/>
          <w:sz w:val="24"/>
          <w:szCs w:val="24"/>
          <w:lang w:eastAsia="en-AU"/>
        </w:rPr>
      </w:pPr>
      <w:hyperlink w:anchor="_Toc219978506" w:history="1">
        <w:r w:rsidRPr="00461283">
          <w:rPr>
            <w:rStyle w:val="Hyperlink"/>
            <w:noProof/>
          </w:rPr>
          <w:t>8. Program management</w:t>
        </w:r>
        <w:r>
          <w:rPr>
            <w:noProof/>
            <w:webHidden/>
          </w:rPr>
          <w:tab/>
        </w:r>
        <w:r>
          <w:rPr>
            <w:noProof/>
            <w:webHidden/>
          </w:rPr>
          <w:fldChar w:fldCharType="begin"/>
        </w:r>
        <w:r>
          <w:rPr>
            <w:noProof/>
            <w:webHidden/>
          </w:rPr>
          <w:instrText xml:space="preserve"> PAGEREF _Toc219978506 \h </w:instrText>
        </w:r>
        <w:r>
          <w:rPr>
            <w:noProof/>
            <w:webHidden/>
          </w:rPr>
        </w:r>
        <w:r>
          <w:rPr>
            <w:noProof/>
            <w:webHidden/>
          </w:rPr>
          <w:fldChar w:fldCharType="separate"/>
        </w:r>
        <w:r>
          <w:rPr>
            <w:noProof/>
            <w:webHidden/>
          </w:rPr>
          <w:t>17</w:t>
        </w:r>
        <w:r>
          <w:rPr>
            <w:noProof/>
            <w:webHidden/>
          </w:rPr>
          <w:fldChar w:fldCharType="end"/>
        </w:r>
      </w:hyperlink>
    </w:p>
    <w:p w14:paraId="0B7407EF" w14:textId="1C979B8C"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507" w:history="1">
        <w:r w:rsidRPr="00461283">
          <w:rPr>
            <w:rStyle w:val="Hyperlink"/>
            <w:noProof/>
          </w:rPr>
          <w:t>Insurance</w:t>
        </w:r>
        <w:r>
          <w:rPr>
            <w:noProof/>
            <w:webHidden/>
          </w:rPr>
          <w:tab/>
        </w:r>
        <w:r>
          <w:rPr>
            <w:noProof/>
            <w:webHidden/>
          </w:rPr>
          <w:fldChar w:fldCharType="begin"/>
        </w:r>
        <w:r>
          <w:rPr>
            <w:noProof/>
            <w:webHidden/>
          </w:rPr>
          <w:instrText xml:space="preserve"> PAGEREF _Toc219978507 \h </w:instrText>
        </w:r>
        <w:r>
          <w:rPr>
            <w:noProof/>
            <w:webHidden/>
          </w:rPr>
        </w:r>
        <w:r>
          <w:rPr>
            <w:noProof/>
            <w:webHidden/>
          </w:rPr>
          <w:fldChar w:fldCharType="separate"/>
        </w:r>
        <w:r>
          <w:rPr>
            <w:noProof/>
            <w:webHidden/>
          </w:rPr>
          <w:t>17</w:t>
        </w:r>
        <w:r>
          <w:rPr>
            <w:noProof/>
            <w:webHidden/>
          </w:rPr>
          <w:fldChar w:fldCharType="end"/>
        </w:r>
      </w:hyperlink>
    </w:p>
    <w:p w14:paraId="7D61142B" w14:textId="7C98D2CA"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508" w:history="1">
        <w:r w:rsidRPr="00461283">
          <w:rPr>
            <w:rStyle w:val="Hyperlink"/>
            <w:noProof/>
          </w:rPr>
          <w:t>Client satisfaction survey</w:t>
        </w:r>
        <w:r>
          <w:rPr>
            <w:noProof/>
            <w:webHidden/>
          </w:rPr>
          <w:tab/>
        </w:r>
        <w:r>
          <w:rPr>
            <w:noProof/>
            <w:webHidden/>
          </w:rPr>
          <w:fldChar w:fldCharType="begin"/>
        </w:r>
        <w:r>
          <w:rPr>
            <w:noProof/>
            <w:webHidden/>
          </w:rPr>
          <w:instrText xml:space="preserve"> PAGEREF _Toc219978508 \h </w:instrText>
        </w:r>
        <w:r>
          <w:rPr>
            <w:noProof/>
            <w:webHidden/>
          </w:rPr>
        </w:r>
        <w:r>
          <w:rPr>
            <w:noProof/>
            <w:webHidden/>
          </w:rPr>
          <w:fldChar w:fldCharType="separate"/>
        </w:r>
        <w:r>
          <w:rPr>
            <w:noProof/>
            <w:webHidden/>
          </w:rPr>
          <w:t>17</w:t>
        </w:r>
        <w:r>
          <w:rPr>
            <w:noProof/>
            <w:webHidden/>
          </w:rPr>
          <w:fldChar w:fldCharType="end"/>
        </w:r>
      </w:hyperlink>
    </w:p>
    <w:p w14:paraId="104FBD3C" w14:textId="39B04FCB"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509" w:history="1">
        <w:r w:rsidRPr="00461283">
          <w:rPr>
            <w:rStyle w:val="Hyperlink"/>
            <w:noProof/>
          </w:rPr>
          <w:t>Complaints handling</w:t>
        </w:r>
        <w:r>
          <w:rPr>
            <w:noProof/>
            <w:webHidden/>
          </w:rPr>
          <w:tab/>
        </w:r>
        <w:r>
          <w:rPr>
            <w:noProof/>
            <w:webHidden/>
          </w:rPr>
          <w:fldChar w:fldCharType="begin"/>
        </w:r>
        <w:r>
          <w:rPr>
            <w:noProof/>
            <w:webHidden/>
          </w:rPr>
          <w:instrText xml:space="preserve"> PAGEREF _Toc219978509 \h </w:instrText>
        </w:r>
        <w:r>
          <w:rPr>
            <w:noProof/>
            <w:webHidden/>
          </w:rPr>
        </w:r>
        <w:r>
          <w:rPr>
            <w:noProof/>
            <w:webHidden/>
          </w:rPr>
          <w:fldChar w:fldCharType="separate"/>
        </w:r>
        <w:r>
          <w:rPr>
            <w:noProof/>
            <w:webHidden/>
          </w:rPr>
          <w:t>17</w:t>
        </w:r>
        <w:r>
          <w:rPr>
            <w:noProof/>
            <w:webHidden/>
          </w:rPr>
          <w:fldChar w:fldCharType="end"/>
        </w:r>
      </w:hyperlink>
    </w:p>
    <w:p w14:paraId="5E1B68A8" w14:textId="4C648977" w:rsidR="00F578EA" w:rsidRDefault="00F578EA">
      <w:pPr>
        <w:pStyle w:val="TOC2"/>
        <w:tabs>
          <w:tab w:val="right" w:leader="dot" w:pos="4149"/>
        </w:tabs>
        <w:rPr>
          <w:rFonts w:asciiTheme="minorHAnsi" w:eastAsiaTheme="minorEastAsia" w:hAnsiTheme="minorHAnsi"/>
          <w:noProof/>
          <w:sz w:val="24"/>
          <w:szCs w:val="24"/>
          <w:lang w:eastAsia="en-AU"/>
        </w:rPr>
      </w:pPr>
      <w:hyperlink w:anchor="_Toc219978510" w:history="1">
        <w:r w:rsidRPr="00461283">
          <w:rPr>
            <w:rStyle w:val="Hyperlink"/>
            <w:noProof/>
          </w:rPr>
          <w:t>Privacy policy</w:t>
        </w:r>
        <w:r>
          <w:rPr>
            <w:noProof/>
            <w:webHidden/>
          </w:rPr>
          <w:tab/>
        </w:r>
        <w:r>
          <w:rPr>
            <w:noProof/>
            <w:webHidden/>
          </w:rPr>
          <w:fldChar w:fldCharType="begin"/>
        </w:r>
        <w:r>
          <w:rPr>
            <w:noProof/>
            <w:webHidden/>
          </w:rPr>
          <w:instrText xml:space="preserve"> PAGEREF _Toc219978510 \h </w:instrText>
        </w:r>
        <w:r>
          <w:rPr>
            <w:noProof/>
            <w:webHidden/>
          </w:rPr>
        </w:r>
        <w:r>
          <w:rPr>
            <w:noProof/>
            <w:webHidden/>
          </w:rPr>
          <w:fldChar w:fldCharType="separate"/>
        </w:r>
        <w:r>
          <w:rPr>
            <w:noProof/>
            <w:webHidden/>
          </w:rPr>
          <w:t>17</w:t>
        </w:r>
        <w:r>
          <w:rPr>
            <w:noProof/>
            <w:webHidden/>
          </w:rPr>
          <w:fldChar w:fldCharType="end"/>
        </w:r>
      </w:hyperlink>
    </w:p>
    <w:p w14:paraId="5C8AE845" w14:textId="70856E37" w:rsidR="00F578EA" w:rsidRDefault="00F578EA">
      <w:pPr>
        <w:pStyle w:val="TOC1"/>
        <w:tabs>
          <w:tab w:val="right" w:leader="dot" w:pos="4149"/>
        </w:tabs>
        <w:rPr>
          <w:rFonts w:asciiTheme="minorHAnsi" w:eastAsiaTheme="minorEastAsia" w:hAnsiTheme="minorHAnsi"/>
          <w:b w:val="0"/>
          <w:noProof/>
          <w:color w:val="auto"/>
          <w:sz w:val="24"/>
          <w:szCs w:val="24"/>
          <w:lang w:eastAsia="en-AU"/>
        </w:rPr>
      </w:pPr>
      <w:hyperlink w:anchor="_Toc219978511" w:history="1">
        <w:r w:rsidRPr="00461283">
          <w:rPr>
            <w:rStyle w:val="Hyperlink"/>
            <w:noProof/>
          </w:rPr>
          <w:t>9. Reporting requirements</w:t>
        </w:r>
        <w:r>
          <w:rPr>
            <w:noProof/>
            <w:webHidden/>
          </w:rPr>
          <w:tab/>
        </w:r>
        <w:r>
          <w:rPr>
            <w:noProof/>
            <w:webHidden/>
          </w:rPr>
          <w:fldChar w:fldCharType="begin"/>
        </w:r>
        <w:r>
          <w:rPr>
            <w:noProof/>
            <w:webHidden/>
          </w:rPr>
          <w:instrText xml:space="preserve"> PAGEREF _Toc219978511 \h </w:instrText>
        </w:r>
        <w:r>
          <w:rPr>
            <w:noProof/>
            <w:webHidden/>
          </w:rPr>
        </w:r>
        <w:r>
          <w:rPr>
            <w:noProof/>
            <w:webHidden/>
          </w:rPr>
          <w:fldChar w:fldCharType="separate"/>
        </w:r>
        <w:r>
          <w:rPr>
            <w:noProof/>
            <w:webHidden/>
          </w:rPr>
          <w:t>18</w:t>
        </w:r>
        <w:r>
          <w:rPr>
            <w:noProof/>
            <w:webHidden/>
          </w:rPr>
          <w:fldChar w:fldCharType="end"/>
        </w:r>
      </w:hyperlink>
    </w:p>
    <w:p w14:paraId="57FD86D7" w14:textId="028088DD" w:rsidR="00F578EA" w:rsidRDefault="00F578EA">
      <w:pPr>
        <w:pStyle w:val="TOC1"/>
        <w:tabs>
          <w:tab w:val="right" w:leader="dot" w:pos="4149"/>
        </w:tabs>
        <w:rPr>
          <w:rFonts w:asciiTheme="minorHAnsi" w:eastAsiaTheme="minorEastAsia" w:hAnsiTheme="minorHAnsi"/>
          <w:b w:val="0"/>
          <w:noProof/>
          <w:color w:val="auto"/>
          <w:sz w:val="24"/>
          <w:szCs w:val="24"/>
          <w:lang w:eastAsia="en-AU"/>
        </w:rPr>
      </w:pPr>
      <w:hyperlink w:anchor="_Toc219978512" w:history="1">
        <w:r w:rsidRPr="00461283">
          <w:rPr>
            <w:rStyle w:val="Hyperlink"/>
            <w:noProof/>
          </w:rPr>
          <w:t>10. Payment and service hours</w:t>
        </w:r>
        <w:r>
          <w:rPr>
            <w:noProof/>
            <w:webHidden/>
          </w:rPr>
          <w:tab/>
        </w:r>
        <w:r>
          <w:rPr>
            <w:noProof/>
            <w:webHidden/>
          </w:rPr>
          <w:fldChar w:fldCharType="begin"/>
        </w:r>
        <w:r>
          <w:rPr>
            <w:noProof/>
            <w:webHidden/>
          </w:rPr>
          <w:instrText xml:space="preserve"> PAGEREF _Toc219978512 \h </w:instrText>
        </w:r>
        <w:r>
          <w:rPr>
            <w:noProof/>
            <w:webHidden/>
          </w:rPr>
        </w:r>
        <w:r>
          <w:rPr>
            <w:noProof/>
            <w:webHidden/>
          </w:rPr>
          <w:fldChar w:fldCharType="separate"/>
        </w:r>
        <w:r>
          <w:rPr>
            <w:noProof/>
            <w:webHidden/>
          </w:rPr>
          <w:t>19</w:t>
        </w:r>
        <w:r>
          <w:rPr>
            <w:noProof/>
            <w:webHidden/>
          </w:rPr>
          <w:fldChar w:fldCharType="end"/>
        </w:r>
      </w:hyperlink>
    </w:p>
    <w:p w14:paraId="2E37D47B" w14:textId="342AD5E6" w:rsidR="00C50D19" w:rsidRPr="00293638" w:rsidRDefault="00942B52" w:rsidP="00D45D10">
      <w:pPr>
        <w:rPr>
          <w:szCs w:val="20"/>
        </w:rPr>
      </w:pPr>
      <w:r w:rsidRPr="00293638">
        <w:rPr>
          <w:szCs w:val="20"/>
        </w:rPr>
        <w:fldChar w:fldCharType="end"/>
      </w:r>
      <w:r w:rsidR="00C50D19" w:rsidRPr="00293638">
        <w:rPr>
          <w:szCs w:val="20"/>
        </w:rPr>
        <w:br w:type="page"/>
      </w:r>
    </w:p>
    <w:p w14:paraId="34D2F43B" w14:textId="77777777" w:rsidR="0030700B" w:rsidRDefault="0030700B" w:rsidP="00D45D10">
      <w:pPr>
        <w:pStyle w:val="Heading1"/>
        <w:sectPr w:rsidR="0030700B" w:rsidSect="000D0670">
          <w:type w:val="continuous"/>
          <w:pgSz w:w="11906" w:h="16838"/>
          <w:pgMar w:top="1366" w:right="1440" w:bottom="1440" w:left="1440" w:header="794" w:footer="709" w:gutter="0"/>
          <w:cols w:num="2" w:space="708"/>
          <w:docGrid w:linePitch="360"/>
        </w:sectPr>
      </w:pPr>
      <w:bookmarkStart w:id="1" w:name="_Toc213323982"/>
    </w:p>
    <w:p w14:paraId="608A2701" w14:textId="131D3DA3" w:rsidR="001D38BD" w:rsidRPr="001D38BD" w:rsidRDefault="001D38BD" w:rsidP="00D45D10">
      <w:pPr>
        <w:pStyle w:val="Heading1"/>
      </w:pPr>
      <w:bookmarkStart w:id="2" w:name="_Toc219978469"/>
      <w:r>
        <w:lastRenderedPageBreak/>
        <w:t xml:space="preserve">1. </w:t>
      </w:r>
      <w:r w:rsidRPr="001D38BD">
        <w:t>About the RRS Guidelines</w:t>
      </w:r>
      <w:bookmarkEnd w:id="1"/>
      <w:bookmarkEnd w:id="2"/>
    </w:p>
    <w:p w14:paraId="08656FDA" w14:textId="77777777" w:rsidR="00E52F85" w:rsidRPr="00293638" w:rsidRDefault="00E52F85" w:rsidP="00D45D10">
      <w:pPr>
        <w:rPr>
          <w:szCs w:val="20"/>
        </w:rPr>
        <w:sectPr w:rsidR="00E52F85" w:rsidRPr="00293638" w:rsidSect="000D0670">
          <w:headerReference w:type="default" r:id="rId19"/>
          <w:type w:val="continuous"/>
          <w:pgSz w:w="11906" w:h="16838"/>
          <w:pgMar w:top="1366" w:right="1440" w:bottom="1440" w:left="1440" w:header="794" w:footer="709" w:gutter="0"/>
          <w:cols w:space="708"/>
          <w:docGrid w:linePitch="360"/>
        </w:sectPr>
      </w:pPr>
    </w:p>
    <w:p w14:paraId="028990B1" w14:textId="77777777" w:rsidR="003905A6" w:rsidRPr="00293638" w:rsidRDefault="003905A6" w:rsidP="003905A6">
      <w:pPr>
        <w:rPr>
          <w:szCs w:val="20"/>
        </w:rPr>
      </w:pPr>
      <w:r w:rsidRPr="00293638">
        <w:rPr>
          <w:szCs w:val="20"/>
        </w:rPr>
        <w:t>The Renter Rights Service Program Guidelines (RRS Guidelines) define and describe the role and responsibilities of community agencies funded by Consumer Affairs Victoria (CAV) to provide rental support to private renters.</w:t>
      </w:r>
    </w:p>
    <w:p w14:paraId="72807F0F" w14:textId="62AF44C3" w:rsidR="003905A6" w:rsidRDefault="003905A6" w:rsidP="003905A6">
      <w:pPr>
        <w:rPr>
          <w:szCs w:val="20"/>
        </w:rPr>
      </w:pPr>
      <w:r w:rsidRPr="00293638">
        <w:rPr>
          <w:szCs w:val="20"/>
        </w:rPr>
        <w:t>The RRS Guidelines are the contractual service and reporting requirements of the Renter Rights Service (RRS) and form part of the terms and conditions of the funding agreement for delivery of the RRS to be entered by CAV and the agency (Funding</w:t>
      </w:r>
      <w:r w:rsidR="001F15B2" w:rsidRPr="00293638">
        <w:rPr>
          <w:rFonts w:ascii="Cambria" w:hAnsi="Cambria"/>
          <w:szCs w:val="20"/>
        </w:rPr>
        <w:t> </w:t>
      </w:r>
      <w:r w:rsidRPr="00293638">
        <w:rPr>
          <w:szCs w:val="20"/>
        </w:rPr>
        <w:t>Agreement).</w:t>
      </w:r>
    </w:p>
    <w:p w14:paraId="4A01DA9E" w14:textId="7D15A396" w:rsidR="00E82898" w:rsidRPr="00293638" w:rsidRDefault="00DF3926" w:rsidP="003905A6">
      <w:pPr>
        <w:rPr>
          <w:szCs w:val="20"/>
        </w:rPr>
      </w:pPr>
      <w:r w:rsidRPr="002E53BF">
        <w:rPr>
          <w:b/>
          <w:bCs/>
          <w:szCs w:val="20"/>
        </w:rPr>
        <w:t>Note:</w:t>
      </w:r>
      <w:r w:rsidRPr="00DF3926">
        <w:rPr>
          <w:szCs w:val="20"/>
        </w:rPr>
        <w:t xml:space="preserve"> All </w:t>
      </w:r>
      <w:proofErr w:type="gramStart"/>
      <w:r w:rsidRPr="00DF3926">
        <w:rPr>
          <w:szCs w:val="20"/>
        </w:rPr>
        <w:t>guidelines</w:t>
      </w:r>
      <w:proofErr w:type="gramEnd"/>
      <w:r w:rsidRPr="00DF3926">
        <w:rPr>
          <w:szCs w:val="20"/>
        </w:rPr>
        <w:t xml:space="preserve"> documents are available to download at </w:t>
      </w:r>
      <w:hyperlink r:id="rId20" w:history="1">
        <w:r w:rsidRPr="00892053">
          <w:rPr>
            <w:rStyle w:val="Hyperlink"/>
            <w:szCs w:val="20"/>
          </w:rPr>
          <w:t>consumer.vic.gov.au/renter-rights</w:t>
        </w:r>
      </w:hyperlink>
      <w:r w:rsidRPr="00DF3926">
        <w:rPr>
          <w:szCs w:val="20"/>
        </w:rPr>
        <w:t>.</w:t>
      </w:r>
    </w:p>
    <w:p w14:paraId="46975B76" w14:textId="77777777" w:rsidR="003905A6" w:rsidRPr="00293638" w:rsidRDefault="003905A6" w:rsidP="003905A6">
      <w:pPr>
        <w:rPr>
          <w:szCs w:val="20"/>
        </w:rPr>
      </w:pPr>
      <w:r w:rsidRPr="00293638">
        <w:rPr>
          <w:szCs w:val="20"/>
        </w:rPr>
        <w:t>The RRS Guidelines describe:</w:t>
      </w:r>
    </w:p>
    <w:p w14:paraId="05FE26D1" w14:textId="77777777" w:rsidR="003905A6" w:rsidRPr="00293638" w:rsidRDefault="003905A6" w:rsidP="003905A6">
      <w:pPr>
        <w:pStyle w:val="ListParagraph"/>
        <w:numPr>
          <w:ilvl w:val="0"/>
          <w:numId w:val="25"/>
        </w:numPr>
        <w:rPr>
          <w:szCs w:val="20"/>
        </w:rPr>
      </w:pPr>
      <w:r w:rsidRPr="00293638">
        <w:rPr>
          <w:szCs w:val="20"/>
        </w:rPr>
        <w:t>the purpose and operation of the RRS</w:t>
      </w:r>
    </w:p>
    <w:p w14:paraId="5107CCDC" w14:textId="77777777" w:rsidR="003905A6" w:rsidRPr="00293638" w:rsidRDefault="003905A6" w:rsidP="003905A6">
      <w:pPr>
        <w:pStyle w:val="ListParagraph"/>
        <w:numPr>
          <w:ilvl w:val="0"/>
          <w:numId w:val="25"/>
        </w:numPr>
        <w:rPr>
          <w:szCs w:val="20"/>
        </w:rPr>
      </w:pPr>
      <w:r w:rsidRPr="00293638">
        <w:rPr>
          <w:szCs w:val="20"/>
        </w:rPr>
        <w:t>RRS client eligibility and prioritisation</w:t>
      </w:r>
    </w:p>
    <w:p w14:paraId="0ABE4ACD" w14:textId="77777777" w:rsidR="003905A6" w:rsidRPr="00293638" w:rsidRDefault="003905A6" w:rsidP="003905A6">
      <w:pPr>
        <w:pStyle w:val="ListParagraph"/>
        <w:numPr>
          <w:ilvl w:val="0"/>
          <w:numId w:val="25"/>
        </w:numPr>
        <w:rPr>
          <w:szCs w:val="20"/>
        </w:rPr>
      </w:pPr>
      <w:r w:rsidRPr="00293638">
        <w:rPr>
          <w:szCs w:val="20"/>
        </w:rPr>
        <w:t>RRS service types</w:t>
      </w:r>
    </w:p>
    <w:p w14:paraId="7AD459CF" w14:textId="20DC6C71" w:rsidR="003905A6" w:rsidRPr="00293638" w:rsidRDefault="003905A6" w:rsidP="003905A6">
      <w:pPr>
        <w:pStyle w:val="ListParagraph"/>
        <w:numPr>
          <w:ilvl w:val="0"/>
          <w:numId w:val="25"/>
        </w:numPr>
        <w:rPr>
          <w:szCs w:val="20"/>
        </w:rPr>
      </w:pPr>
      <w:r w:rsidRPr="00293638">
        <w:rPr>
          <w:szCs w:val="20"/>
        </w:rPr>
        <w:t>Referrals</w:t>
      </w:r>
    </w:p>
    <w:p w14:paraId="513A8434" w14:textId="77777777" w:rsidR="003905A6" w:rsidRPr="00293638" w:rsidRDefault="003905A6" w:rsidP="003905A6">
      <w:pPr>
        <w:pStyle w:val="ListParagraph"/>
        <w:numPr>
          <w:ilvl w:val="0"/>
          <w:numId w:val="25"/>
        </w:numPr>
        <w:rPr>
          <w:szCs w:val="20"/>
        </w:rPr>
      </w:pPr>
      <w:r w:rsidRPr="00293638">
        <w:rPr>
          <w:szCs w:val="20"/>
        </w:rPr>
        <w:t>the role of RRS workers</w:t>
      </w:r>
    </w:p>
    <w:p w14:paraId="249605C1" w14:textId="77777777" w:rsidR="003905A6" w:rsidRPr="00293638" w:rsidRDefault="003905A6" w:rsidP="003905A6">
      <w:pPr>
        <w:pStyle w:val="ListParagraph"/>
        <w:numPr>
          <w:ilvl w:val="0"/>
          <w:numId w:val="25"/>
        </w:numPr>
        <w:rPr>
          <w:szCs w:val="20"/>
        </w:rPr>
      </w:pPr>
      <w:r w:rsidRPr="00293638">
        <w:rPr>
          <w:szCs w:val="20"/>
        </w:rPr>
        <w:t>professionalism of RRS workers</w:t>
      </w:r>
    </w:p>
    <w:p w14:paraId="1E913103" w14:textId="77777777" w:rsidR="003905A6" w:rsidRPr="00293638" w:rsidRDefault="003905A6" w:rsidP="003905A6">
      <w:pPr>
        <w:pStyle w:val="ListParagraph"/>
        <w:numPr>
          <w:ilvl w:val="0"/>
          <w:numId w:val="25"/>
        </w:numPr>
        <w:rPr>
          <w:szCs w:val="20"/>
        </w:rPr>
      </w:pPr>
      <w:r w:rsidRPr="00293638">
        <w:rPr>
          <w:szCs w:val="20"/>
        </w:rPr>
        <w:t>advice and assistance for RRS workers</w:t>
      </w:r>
    </w:p>
    <w:p w14:paraId="43B4F0AC" w14:textId="77777777" w:rsidR="003905A6" w:rsidRPr="00293638" w:rsidRDefault="003905A6" w:rsidP="003905A6">
      <w:pPr>
        <w:pStyle w:val="ListParagraph"/>
        <w:numPr>
          <w:ilvl w:val="0"/>
          <w:numId w:val="25"/>
        </w:numPr>
        <w:rPr>
          <w:szCs w:val="20"/>
        </w:rPr>
      </w:pPr>
      <w:r w:rsidRPr="00293638">
        <w:rPr>
          <w:szCs w:val="20"/>
        </w:rPr>
        <w:t>CAV’s program management</w:t>
      </w:r>
    </w:p>
    <w:p w14:paraId="2BC51058" w14:textId="77777777" w:rsidR="003905A6" w:rsidRPr="00293638" w:rsidRDefault="003905A6" w:rsidP="003905A6">
      <w:pPr>
        <w:pStyle w:val="ListParagraph"/>
        <w:numPr>
          <w:ilvl w:val="0"/>
          <w:numId w:val="25"/>
        </w:numPr>
        <w:rPr>
          <w:szCs w:val="20"/>
        </w:rPr>
      </w:pPr>
      <w:r w:rsidRPr="00293638">
        <w:rPr>
          <w:szCs w:val="20"/>
        </w:rPr>
        <w:t>RRS agency information responsibilities</w:t>
      </w:r>
    </w:p>
    <w:p w14:paraId="507DEF6B" w14:textId="77777777" w:rsidR="003905A6" w:rsidRPr="00293638" w:rsidRDefault="003905A6" w:rsidP="003905A6">
      <w:pPr>
        <w:pStyle w:val="ListParagraph"/>
        <w:numPr>
          <w:ilvl w:val="0"/>
          <w:numId w:val="25"/>
        </w:numPr>
        <w:rPr>
          <w:szCs w:val="20"/>
        </w:rPr>
      </w:pPr>
      <w:r w:rsidRPr="00293638">
        <w:rPr>
          <w:szCs w:val="20"/>
        </w:rPr>
        <w:t>reporting requirements</w:t>
      </w:r>
    </w:p>
    <w:p w14:paraId="13858BD3" w14:textId="567B3A71" w:rsidR="003905A6" w:rsidRPr="00293638" w:rsidRDefault="003905A6" w:rsidP="003905A6">
      <w:pPr>
        <w:pStyle w:val="ListParagraph"/>
        <w:numPr>
          <w:ilvl w:val="0"/>
          <w:numId w:val="25"/>
        </w:numPr>
        <w:rPr>
          <w:szCs w:val="20"/>
        </w:rPr>
      </w:pPr>
      <w:r w:rsidRPr="00293638">
        <w:rPr>
          <w:szCs w:val="20"/>
        </w:rPr>
        <w:t>payments and targets.</w:t>
      </w:r>
    </w:p>
    <w:p w14:paraId="0551DD6C" w14:textId="77777777" w:rsidR="003905A6" w:rsidRPr="00293638" w:rsidRDefault="003905A6" w:rsidP="003905A6">
      <w:pPr>
        <w:rPr>
          <w:szCs w:val="20"/>
        </w:rPr>
      </w:pPr>
    </w:p>
    <w:p w14:paraId="30A81B74" w14:textId="77777777" w:rsidR="003905A6" w:rsidRPr="00293638" w:rsidRDefault="003905A6" w:rsidP="003905A6">
      <w:pPr>
        <w:rPr>
          <w:szCs w:val="20"/>
        </w:rPr>
      </w:pPr>
      <w:r w:rsidRPr="00293638">
        <w:rPr>
          <w:szCs w:val="20"/>
        </w:rPr>
        <w:t>The RRS Guidelines may be updated by CAV periodically to reflect current service requirements and practices.</w:t>
      </w:r>
    </w:p>
    <w:p w14:paraId="3C31F2DA" w14:textId="77777777" w:rsidR="003905A6" w:rsidRPr="00293638" w:rsidRDefault="003905A6" w:rsidP="003905A6">
      <w:pPr>
        <w:rPr>
          <w:szCs w:val="20"/>
        </w:rPr>
      </w:pPr>
      <w:r w:rsidRPr="00293638">
        <w:rPr>
          <w:szCs w:val="20"/>
        </w:rPr>
        <w:t>CAV will notify agencies whenever the RRS Guidelines are revised and make the latest version available.</w:t>
      </w:r>
    </w:p>
    <w:p w14:paraId="633E7A7F" w14:textId="77777777" w:rsidR="003905A6" w:rsidRPr="00293638" w:rsidRDefault="003905A6" w:rsidP="003905A6">
      <w:pPr>
        <w:rPr>
          <w:szCs w:val="20"/>
        </w:rPr>
      </w:pPr>
      <w:r w:rsidRPr="00293638">
        <w:rPr>
          <w:szCs w:val="20"/>
        </w:rPr>
        <w:t>The RRS Guidelines should be read in association with:</w:t>
      </w:r>
    </w:p>
    <w:p w14:paraId="6905415D" w14:textId="77777777" w:rsidR="003905A6" w:rsidRPr="00293638" w:rsidRDefault="003905A6" w:rsidP="003905A6">
      <w:pPr>
        <w:pStyle w:val="ListParagraph"/>
        <w:numPr>
          <w:ilvl w:val="0"/>
          <w:numId w:val="26"/>
        </w:numPr>
        <w:rPr>
          <w:szCs w:val="20"/>
        </w:rPr>
      </w:pPr>
      <w:r w:rsidRPr="00293638">
        <w:rPr>
          <w:szCs w:val="20"/>
        </w:rPr>
        <w:t>the Funding Agreement</w:t>
      </w:r>
    </w:p>
    <w:p w14:paraId="4FC21EB3" w14:textId="77777777" w:rsidR="003905A6" w:rsidRPr="00293638" w:rsidRDefault="003905A6" w:rsidP="003905A6">
      <w:pPr>
        <w:pStyle w:val="ListParagraph"/>
        <w:numPr>
          <w:ilvl w:val="0"/>
          <w:numId w:val="26"/>
        </w:numPr>
        <w:rPr>
          <w:szCs w:val="20"/>
        </w:rPr>
      </w:pPr>
      <w:r w:rsidRPr="00293638">
        <w:rPr>
          <w:szCs w:val="20"/>
        </w:rPr>
        <w:t>The service delivery requirements listed in Table 1 on the following page</w:t>
      </w:r>
    </w:p>
    <w:p w14:paraId="78852F42" w14:textId="77777777" w:rsidR="0088450F" w:rsidRPr="0088450F" w:rsidRDefault="003905A6" w:rsidP="003905A6">
      <w:pPr>
        <w:pStyle w:val="ListParagraph"/>
        <w:numPr>
          <w:ilvl w:val="0"/>
          <w:numId w:val="26"/>
        </w:numPr>
      </w:pPr>
      <w:r w:rsidRPr="00293638">
        <w:rPr>
          <w:szCs w:val="20"/>
        </w:rPr>
        <w:t>The RSS Data Reporting requirements</w:t>
      </w:r>
    </w:p>
    <w:p w14:paraId="293B1A0E" w14:textId="017C91A6" w:rsidR="00D1499F" w:rsidRDefault="0088450F" w:rsidP="003905A6">
      <w:pPr>
        <w:pStyle w:val="ListParagraph"/>
        <w:numPr>
          <w:ilvl w:val="0"/>
          <w:numId w:val="26"/>
        </w:numPr>
      </w:pPr>
      <w:r w:rsidRPr="001B4452">
        <w:rPr>
          <w:szCs w:val="20"/>
        </w:rPr>
        <w:t>The Request for Service Guidelines</w:t>
      </w:r>
      <w:r w:rsidR="00A524CD" w:rsidRPr="001B4452">
        <w:rPr>
          <w:szCs w:val="20"/>
        </w:rPr>
        <w:t>.</w:t>
      </w:r>
      <w:r w:rsidR="00D1499F">
        <w:br w:type="page"/>
      </w:r>
    </w:p>
    <w:p w14:paraId="7C4B837F" w14:textId="77777777" w:rsidR="002F2AE0" w:rsidRDefault="002F2AE0" w:rsidP="00884737">
      <w:pPr>
        <w:pStyle w:val="Heading2"/>
        <w:sectPr w:rsidR="002F2AE0" w:rsidSect="000D0670">
          <w:type w:val="continuous"/>
          <w:pgSz w:w="11906" w:h="16838"/>
          <w:pgMar w:top="1366" w:right="1440" w:bottom="1440" w:left="1440" w:header="794" w:footer="709" w:gutter="0"/>
          <w:cols w:num="2" w:space="708"/>
          <w:docGrid w:linePitch="360"/>
        </w:sectPr>
      </w:pPr>
    </w:p>
    <w:p w14:paraId="383AE2AB" w14:textId="0B3BA746" w:rsidR="00D1499F" w:rsidRDefault="00884737" w:rsidP="00884737">
      <w:pPr>
        <w:pStyle w:val="Heading2"/>
      </w:pPr>
      <w:bookmarkStart w:id="3" w:name="_Toc219978470"/>
      <w:r w:rsidRPr="00884737">
        <w:lastRenderedPageBreak/>
        <w:t>Table 1: R</w:t>
      </w:r>
      <w:r w:rsidR="0011356F">
        <w:t>R</w:t>
      </w:r>
      <w:r w:rsidRPr="00884737">
        <w:t>S – Service delivery requirements</w:t>
      </w:r>
      <w:bookmarkEnd w:id="3"/>
    </w:p>
    <w:tbl>
      <w:tblPr>
        <w:tblStyle w:val="GridTable4-Accent1"/>
        <w:tblW w:w="0" w:type="auto"/>
        <w:tblLook w:val="04A0" w:firstRow="1" w:lastRow="0" w:firstColumn="1" w:lastColumn="0" w:noHBand="0" w:noVBand="1"/>
      </w:tblPr>
      <w:tblGrid>
        <w:gridCol w:w="704"/>
        <w:gridCol w:w="8312"/>
      </w:tblGrid>
      <w:tr w:rsidR="0051214D" w14:paraId="47D806DB" w14:textId="77777777" w:rsidTr="11828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BDD1207" w14:textId="2AD8A149" w:rsidR="0051214D" w:rsidRPr="00293638" w:rsidRDefault="007C245A" w:rsidP="002F2AE0">
            <w:pPr>
              <w:rPr>
                <w:szCs w:val="20"/>
              </w:rPr>
            </w:pPr>
            <w:r w:rsidRPr="00293638">
              <w:rPr>
                <w:szCs w:val="20"/>
              </w:rPr>
              <w:t>No.</w:t>
            </w:r>
          </w:p>
        </w:tc>
        <w:tc>
          <w:tcPr>
            <w:tcW w:w="8312" w:type="dxa"/>
          </w:tcPr>
          <w:p w14:paraId="4B0988F5" w14:textId="2D7DFF76" w:rsidR="0051214D" w:rsidRPr="00293638" w:rsidRDefault="007C245A" w:rsidP="002F2AE0">
            <w:pPr>
              <w:cnfStyle w:val="100000000000" w:firstRow="1" w:lastRow="0" w:firstColumn="0" w:lastColumn="0" w:oddVBand="0" w:evenVBand="0" w:oddHBand="0" w:evenHBand="0" w:firstRowFirstColumn="0" w:firstRowLastColumn="0" w:lastRowFirstColumn="0" w:lastRowLastColumn="0"/>
              <w:rPr>
                <w:szCs w:val="20"/>
              </w:rPr>
            </w:pPr>
            <w:r w:rsidRPr="00293638">
              <w:rPr>
                <w:szCs w:val="20"/>
              </w:rPr>
              <w:t>Service delivery requirement</w:t>
            </w:r>
          </w:p>
        </w:tc>
      </w:tr>
      <w:tr w:rsidR="00424753" w14:paraId="1A946DBD" w14:textId="77777777" w:rsidTr="11828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58BCFF5" w14:textId="33F76428" w:rsidR="00424753" w:rsidRPr="00293638" w:rsidRDefault="00424753" w:rsidP="00424753">
            <w:pPr>
              <w:rPr>
                <w:szCs w:val="20"/>
              </w:rPr>
            </w:pPr>
            <w:r w:rsidRPr="00293638">
              <w:rPr>
                <w:szCs w:val="20"/>
              </w:rPr>
              <w:t>1</w:t>
            </w:r>
          </w:p>
        </w:tc>
        <w:tc>
          <w:tcPr>
            <w:tcW w:w="8312" w:type="dxa"/>
          </w:tcPr>
          <w:p w14:paraId="1FB5C006" w14:textId="6DCE7359" w:rsidR="00424753" w:rsidRPr="00293638" w:rsidRDefault="00424753" w:rsidP="00424753">
            <w:pPr>
              <w:cnfStyle w:val="000000100000" w:firstRow="0" w:lastRow="0" w:firstColumn="0" w:lastColumn="0" w:oddVBand="0" w:evenVBand="0" w:oddHBand="1" w:evenHBand="0" w:firstRowFirstColumn="0" w:firstRowLastColumn="0" w:lastRowFirstColumn="0" w:lastRowLastColumn="0"/>
              <w:rPr>
                <w:szCs w:val="20"/>
              </w:rPr>
            </w:pPr>
            <w:r w:rsidRPr="00293638">
              <w:rPr>
                <w:szCs w:val="20"/>
              </w:rPr>
              <w:t xml:space="preserve">The </w:t>
            </w:r>
            <w:r w:rsidR="002932C6" w:rsidRPr="00293638">
              <w:rPr>
                <w:szCs w:val="20"/>
              </w:rPr>
              <w:t xml:space="preserve">agency must operate in accordance with the principles of practice </w:t>
            </w:r>
            <w:r w:rsidR="000758F7">
              <w:rPr>
                <w:szCs w:val="20"/>
              </w:rPr>
              <w:t>set out</w:t>
            </w:r>
            <w:r w:rsidR="002932C6" w:rsidRPr="00293638">
              <w:rPr>
                <w:szCs w:val="20"/>
              </w:rPr>
              <w:t xml:space="preserve"> in Section 2 of the RRS Guidelines</w:t>
            </w:r>
          </w:p>
        </w:tc>
      </w:tr>
      <w:tr w:rsidR="00424753" w14:paraId="182B06BB" w14:textId="77777777" w:rsidTr="11828DEC">
        <w:tc>
          <w:tcPr>
            <w:cnfStyle w:val="001000000000" w:firstRow="0" w:lastRow="0" w:firstColumn="1" w:lastColumn="0" w:oddVBand="0" w:evenVBand="0" w:oddHBand="0" w:evenHBand="0" w:firstRowFirstColumn="0" w:firstRowLastColumn="0" w:lastRowFirstColumn="0" w:lastRowLastColumn="0"/>
            <w:tcW w:w="704" w:type="dxa"/>
          </w:tcPr>
          <w:p w14:paraId="4E10412B" w14:textId="71D2BD95" w:rsidR="00424753" w:rsidRPr="00293638" w:rsidRDefault="00424753" w:rsidP="00424753">
            <w:pPr>
              <w:rPr>
                <w:szCs w:val="20"/>
              </w:rPr>
            </w:pPr>
            <w:r w:rsidRPr="00293638">
              <w:rPr>
                <w:szCs w:val="20"/>
              </w:rPr>
              <w:t>2</w:t>
            </w:r>
          </w:p>
        </w:tc>
        <w:tc>
          <w:tcPr>
            <w:tcW w:w="8312" w:type="dxa"/>
          </w:tcPr>
          <w:p w14:paraId="60A0E982" w14:textId="7BD0BF1A" w:rsidR="00424753" w:rsidRPr="00293638" w:rsidRDefault="002932C6" w:rsidP="00424753">
            <w:pPr>
              <w:cnfStyle w:val="000000000000" w:firstRow="0" w:lastRow="0" w:firstColumn="0" w:lastColumn="0" w:oddVBand="0" w:evenVBand="0" w:oddHBand="0" w:evenHBand="0" w:firstRowFirstColumn="0" w:firstRowLastColumn="0" w:lastRowFirstColumn="0" w:lastRowLastColumn="0"/>
              <w:rPr>
                <w:szCs w:val="20"/>
              </w:rPr>
            </w:pPr>
            <w:r w:rsidRPr="00293638">
              <w:rPr>
                <w:szCs w:val="20"/>
              </w:rPr>
              <w:t>The agency must use the client eligibility and prioritisation criteria set out in Section 3 of the RRS Guidelines</w:t>
            </w:r>
          </w:p>
        </w:tc>
      </w:tr>
      <w:tr w:rsidR="00424753" w14:paraId="60DA1DEE" w14:textId="77777777" w:rsidTr="11828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7C55832" w14:textId="2AC2CA82" w:rsidR="00424753" w:rsidRPr="00293638" w:rsidRDefault="00424753" w:rsidP="00424753">
            <w:pPr>
              <w:rPr>
                <w:szCs w:val="20"/>
              </w:rPr>
            </w:pPr>
            <w:r w:rsidRPr="00293638">
              <w:rPr>
                <w:szCs w:val="20"/>
              </w:rPr>
              <w:t>3</w:t>
            </w:r>
          </w:p>
        </w:tc>
        <w:tc>
          <w:tcPr>
            <w:tcW w:w="8312" w:type="dxa"/>
          </w:tcPr>
          <w:p w14:paraId="68D57AEF" w14:textId="055E05CF" w:rsidR="00424753" w:rsidRPr="00293638" w:rsidRDefault="00424753" w:rsidP="00424753">
            <w:pPr>
              <w:cnfStyle w:val="000000100000" w:firstRow="0" w:lastRow="0" w:firstColumn="0" w:lastColumn="0" w:oddVBand="0" w:evenVBand="0" w:oddHBand="1" w:evenHBand="0" w:firstRowFirstColumn="0" w:firstRowLastColumn="0" w:lastRowFirstColumn="0" w:lastRowLastColumn="0"/>
              <w:rPr>
                <w:szCs w:val="20"/>
              </w:rPr>
            </w:pPr>
            <w:r w:rsidRPr="00293638">
              <w:rPr>
                <w:szCs w:val="20"/>
              </w:rPr>
              <w:t xml:space="preserve">The </w:t>
            </w:r>
            <w:r w:rsidR="002932C6" w:rsidRPr="00293638">
              <w:rPr>
                <w:szCs w:val="20"/>
              </w:rPr>
              <w:t>agency must provide and report on services that comply with the service types set out in Section 4 of the RRS Guidelines.</w:t>
            </w:r>
          </w:p>
        </w:tc>
      </w:tr>
      <w:tr w:rsidR="00424753" w14:paraId="139FC0ED" w14:textId="77777777" w:rsidTr="11828DEC">
        <w:tc>
          <w:tcPr>
            <w:cnfStyle w:val="001000000000" w:firstRow="0" w:lastRow="0" w:firstColumn="1" w:lastColumn="0" w:oddVBand="0" w:evenVBand="0" w:oddHBand="0" w:evenHBand="0" w:firstRowFirstColumn="0" w:firstRowLastColumn="0" w:lastRowFirstColumn="0" w:lastRowLastColumn="0"/>
            <w:tcW w:w="704" w:type="dxa"/>
          </w:tcPr>
          <w:p w14:paraId="784D14F2" w14:textId="59A7428C" w:rsidR="00424753" w:rsidRPr="00293638" w:rsidRDefault="00424753" w:rsidP="00424753">
            <w:pPr>
              <w:rPr>
                <w:szCs w:val="20"/>
              </w:rPr>
            </w:pPr>
            <w:r w:rsidRPr="00293638">
              <w:rPr>
                <w:szCs w:val="20"/>
              </w:rPr>
              <w:t>4</w:t>
            </w:r>
          </w:p>
        </w:tc>
        <w:tc>
          <w:tcPr>
            <w:tcW w:w="8312" w:type="dxa"/>
          </w:tcPr>
          <w:p w14:paraId="40298352" w14:textId="0A2F7B2B" w:rsidR="00424753" w:rsidRPr="00293638" w:rsidRDefault="00424753" w:rsidP="00424753">
            <w:pPr>
              <w:cnfStyle w:val="000000000000" w:firstRow="0" w:lastRow="0" w:firstColumn="0" w:lastColumn="0" w:oddVBand="0" w:evenVBand="0" w:oddHBand="0" w:evenHBand="0" w:firstRowFirstColumn="0" w:firstRowLastColumn="0" w:lastRowFirstColumn="0" w:lastRowLastColumn="0"/>
              <w:rPr>
                <w:szCs w:val="20"/>
              </w:rPr>
            </w:pPr>
            <w:r w:rsidRPr="00293638">
              <w:rPr>
                <w:szCs w:val="20"/>
              </w:rPr>
              <w:t xml:space="preserve">The </w:t>
            </w:r>
            <w:r w:rsidR="002932C6" w:rsidRPr="00293638">
              <w:rPr>
                <w:szCs w:val="20"/>
              </w:rPr>
              <w:t>agency must comply with the referral requirements set out in Section 5 of the RRS Guidelines.</w:t>
            </w:r>
          </w:p>
        </w:tc>
      </w:tr>
      <w:tr w:rsidR="00424753" w14:paraId="1C4FF528" w14:textId="77777777" w:rsidTr="009D7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E1D4348" w14:textId="6195DF44" w:rsidR="00424753" w:rsidRPr="00293638" w:rsidRDefault="00E4060C" w:rsidP="00424753">
            <w:pPr>
              <w:rPr>
                <w:szCs w:val="20"/>
              </w:rPr>
            </w:pPr>
            <w:r w:rsidRPr="00293638">
              <w:rPr>
                <w:szCs w:val="20"/>
              </w:rPr>
              <w:t>5</w:t>
            </w:r>
          </w:p>
        </w:tc>
        <w:tc>
          <w:tcPr>
            <w:tcW w:w="8312" w:type="dxa"/>
          </w:tcPr>
          <w:p w14:paraId="13AAD8E8" w14:textId="241669BB" w:rsidR="00424753" w:rsidRPr="00293638" w:rsidRDefault="00424753" w:rsidP="00424753">
            <w:pPr>
              <w:cnfStyle w:val="000000100000" w:firstRow="0" w:lastRow="0" w:firstColumn="0" w:lastColumn="0" w:oddVBand="0" w:evenVBand="0" w:oddHBand="1" w:evenHBand="0" w:firstRowFirstColumn="0" w:firstRowLastColumn="0" w:lastRowFirstColumn="0" w:lastRowLastColumn="0"/>
              <w:rPr>
                <w:szCs w:val="20"/>
              </w:rPr>
            </w:pPr>
            <w:r w:rsidRPr="00293638">
              <w:rPr>
                <w:szCs w:val="20"/>
              </w:rPr>
              <w:t xml:space="preserve">The </w:t>
            </w:r>
            <w:r w:rsidR="002932C6" w:rsidRPr="00293638">
              <w:rPr>
                <w:szCs w:val="20"/>
              </w:rPr>
              <w:t>agency must comply with the professional development and supervision requirements set out in Section 6 of the RRS Guidelines.</w:t>
            </w:r>
          </w:p>
        </w:tc>
      </w:tr>
      <w:tr w:rsidR="00B028ED" w14:paraId="1D67FCCE" w14:textId="77777777" w:rsidTr="11828DEC">
        <w:tc>
          <w:tcPr>
            <w:cnfStyle w:val="001000000000" w:firstRow="0" w:lastRow="0" w:firstColumn="1" w:lastColumn="0" w:oddVBand="0" w:evenVBand="0" w:oddHBand="0" w:evenHBand="0" w:firstRowFirstColumn="0" w:firstRowLastColumn="0" w:lastRowFirstColumn="0" w:lastRowLastColumn="0"/>
            <w:tcW w:w="704" w:type="dxa"/>
          </w:tcPr>
          <w:p w14:paraId="44B5F109" w14:textId="432C5BF5" w:rsidR="00B028ED" w:rsidRPr="00293638" w:rsidRDefault="00E4060C" w:rsidP="00424753">
            <w:pPr>
              <w:rPr>
                <w:szCs w:val="20"/>
              </w:rPr>
            </w:pPr>
            <w:r w:rsidRPr="00293638">
              <w:rPr>
                <w:szCs w:val="20"/>
              </w:rPr>
              <w:t>6</w:t>
            </w:r>
          </w:p>
        </w:tc>
        <w:tc>
          <w:tcPr>
            <w:tcW w:w="8312" w:type="dxa"/>
          </w:tcPr>
          <w:p w14:paraId="12ECB1A7" w14:textId="2F6CDF3D" w:rsidR="00B028ED" w:rsidRPr="00293638" w:rsidRDefault="00486BC1" w:rsidP="00424753">
            <w:pPr>
              <w:cnfStyle w:val="000000000000" w:firstRow="0" w:lastRow="0" w:firstColumn="0" w:lastColumn="0" w:oddVBand="0" w:evenVBand="0" w:oddHBand="0" w:evenHBand="0" w:firstRowFirstColumn="0" w:firstRowLastColumn="0" w:lastRowFirstColumn="0" w:lastRowLastColumn="0"/>
              <w:rPr>
                <w:szCs w:val="20"/>
              </w:rPr>
            </w:pPr>
            <w:r w:rsidRPr="00293638">
              <w:rPr>
                <w:szCs w:val="20"/>
              </w:rPr>
              <w:t xml:space="preserve">The agency </w:t>
            </w:r>
            <w:r w:rsidR="00CA55EC" w:rsidRPr="00293638">
              <w:rPr>
                <w:szCs w:val="20"/>
              </w:rPr>
              <w:t>is to promote RRS worker supports set out in Section 7 of the RRS Guidelines</w:t>
            </w:r>
            <w:r w:rsidR="00DC5F03" w:rsidRPr="00293638">
              <w:rPr>
                <w:szCs w:val="20"/>
              </w:rPr>
              <w:t>.</w:t>
            </w:r>
          </w:p>
        </w:tc>
      </w:tr>
      <w:tr w:rsidR="009617C7" w14:paraId="097CE133" w14:textId="77777777" w:rsidTr="009D7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22D567D" w14:textId="4A761C19" w:rsidR="009617C7" w:rsidRPr="00293638" w:rsidRDefault="00E4060C" w:rsidP="00424753">
            <w:pPr>
              <w:rPr>
                <w:szCs w:val="20"/>
              </w:rPr>
            </w:pPr>
            <w:r w:rsidRPr="00293638">
              <w:rPr>
                <w:szCs w:val="20"/>
              </w:rPr>
              <w:t>7</w:t>
            </w:r>
          </w:p>
        </w:tc>
        <w:tc>
          <w:tcPr>
            <w:tcW w:w="8312" w:type="dxa"/>
          </w:tcPr>
          <w:p w14:paraId="705BB6B3" w14:textId="71501B7C" w:rsidR="009617C7" w:rsidRPr="00293638" w:rsidRDefault="009617C7" w:rsidP="00424753">
            <w:pPr>
              <w:cnfStyle w:val="000000100000" w:firstRow="0" w:lastRow="0" w:firstColumn="0" w:lastColumn="0" w:oddVBand="0" w:evenVBand="0" w:oddHBand="1" w:evenHBand="0" w:firstRowFirstColumn="0" w:firstRowLastColumn="0" w:lastRowFirstColumn="0" w:lastRowLastColumn="0"/>
              <w:rPr>
                <w:szCs w:val="20"/>
              </w:rPr>
            </w:pPr>
            <w:r w:rsidRPr="00293638">
              <w:rPr>
                <w:szCs w:val="20"/>
              </w:rPr>
              <w:t xml:space="preserve">The agency must comply with the </w:t>
            </w:r>
            <w:r w:rsidR="000B0969" w:rsidRPr="00293638">
              <w:rPr>
                <w:szCs w:val="20"/>
              </w:rPr>
              <w:t xml:space="preserve">program management </w:t>
            </w:r>
            <w:r w:rsidR="00DC5F03" w:rsidRPr="00293638">
              <w:rPr>
                <w:szCs w:val="20"/>
              </w:rPr>
              <w:t xml:space="preserve">requirements set out in Section 8 of the RRS Guidelines. </w:t>
            </w:r>
          </w:p>
        </w:tc>
      </w:tr>
      <w:tr w:rsidR="008956BA" w14:paraId="5667C4E8" w14:textId="77777777" w:rsidTr="11828DEC">
        <w:tc>
          <w:tcPr>
            <w:cnfStyle w:val="001000000000" w:firstRow="0" w:lastRow="0" w:firstColumn="1" w:lastColumn="0" w:oddVBand="0" w:evenVBand="0" w:oddHBand="0" w:evenHBand="0" w:firstRowFirstColumn="0" w:firstRowLastColumn="0" w:lastRowFirstColumn="0" w:lastRowLastColumn="0"/>
            <w:tcW w:w="704" w:type="dxa"/>
          </w:tcPr>
          <w:p w14:paraId="077D8685" w14:textId="20892A08" w:rsidR="008956BA" w:rsidRPr="00293638" w:rsidRDefault="00E4060C" w:rsidP="00424753">
            <w:pPr>
              <w:rPr>
                <w:szCs w:val="20"/>
              </w:rPr>
            </w:pPr>
            <w:r w:rsidRPr="00293638">
              <w:rPr>
                <w:szCs w:val="20"/>
              </w:rPr>
              <w:t>8</w:t>
            </w:r>
          </w:p>
        </w:tc>
        <w:tc>
          <w:tcPr>
            <w:tcW w:w="8312" w:type="dxa"/>
          </w:tcPr>
          <w:p w14:paraId="759E5675" w14:textId="351BB0EA" w:rsidR="008956BA" w:rsidRPr="00293638" w:rsidRDefault="002932C6" w:rsidP="00424753">
            <w:pPr>
              <w:cnfStyle w:val="000000000000" w:firstRow="0" w:lastRow="0" w:firstColumn="0" w:lastColumn="0" w:oddVBand="0" w:evenVBand="0" w:oddHBand="0" w:evenHBand="0" w:firstRowFirstColumn="0" w:firstRowLastColumn="0" w:lastRowFirstColumn="0" w:lastRowLastColumn="0"/>
              <w:rPr>
                <w:szCs w:val="20"/>
              </w:rPr>
            </w:pPr>
            <w:r w:rsidRPr="00293638">
              <w:rPr>
                <w:szCs w:val="20"/>
              </w:rPr>
              <w:t xml:space="preserve">The agency must comply with the reporting requirements </w:t>
            </w:r>
            <w:r w:rsidR="003E1AE1" w:rsidRPr="00293638">
              <w:rPr>
                <w:szCs w:val="20"/>
              </w:rPr>
              <w:t>as set out in Section 9 of the RRS Guidelines.</w:t>
            </w:r>
          </w:p>
        </w:tc>
      </w:tr>
      <w:tr w:rsidR="008956BA" w14:paraId="526C682F" w14:textId="77777777" w:rsidTr="009D7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BBF6A28" w14:textId="5BD0EB44" w:rsidR="008956BA" w:rsidRPr="00293638" w:rsidRDefault="00E4060C" w:rsidP="00424753">
            <w:pPr>
              <w:rPr>
                <w:szCs w:val="20"/>
              </w:rPr>
            </w:pPr>
            <w:r w:rsidRPr="00293638">
              <w:rPr>
                <w:szCs w:val="20"/>
              </w:rPr>
              <w:t>9</w:t>
            </w:r>
          </w:p>
        </w:tc>
        <w:tc>
          <w:tcPr>
            <w:tcW w:w="8312" w:type="dxa"/>
          </w:tcPr>
          <w:p w14:paraId="79587AD0" w14:textId="77A39A37" w:rsidR="008956BA" w:rsidRPr="00293638" w:rsidRDefault="003E1AE1" w:rsidP="00424753">
            <w:pPr>
              <w:cnfStyle w:val="000000100000" w:firstRow="0" w:lastRow="0" w:firstColumn="0" w:lastColumn="0" w:oddVBand="0" w:evenVBand="0" w:oddHBand="1" w:evenHBand="0" w:firstRowFirstColumn="0" w:firstRowLastColumn="0" w:lastRowFirstColumn="0" w:lastRowLastColumn="0"/>
              <w:rPr>
                <w:szCs w:val="20"/>
              </w:rPr>
            </w:pPr>
            <w:r w:rsidRPr="00293638">
              <w:rPr>
                <w:szCs w:val="20"/>
              </w:rPr>
              <w:t>The agency must report on service delivery in accordance with Section 10 of the RRS Guidelines, including the delivery of 1,301 hours of service by each full-time equivalent RRS worker per year.</w:t>
            </w:r>
          </w:p>
        </w:tc>
      </w:tr>
    </w:tbl>
    <w:p w14:paraId="091AF471" w14:textId="77777777" w:rsidR="002F2AE0" w:rsidRPr="00293638" w:rsidRDefault="002F2AE0" w:rsidP="002F2AE0">
      <w:pPr>
        <w:rPr>
          <w:szCs w:val="20"/>
        </w:rPr>
      </w:pPr>
    </w:p>
    <w:p w14:paraId="4020946B" w14:textId="77777777" w:rsidR="003655B4" w:rsidRPr="00293638" w:rsidRDefault="003655B4" w:rsidP="002F2AE0">
      <w:pPr>
        <w:rPr>
          <w:szCs w:val="20"/>
        </w:rPr>
        <w:sectPr w:rsidR="003655B4" w:rsidRPr="00293638" w:rsidSect="000D0670">
          <w:type w:val="continuous"/>
          <w:pgSz w:w="11906" w:h="16838"/>
          <w:pgMar w:top="1366" w:right="1440" w:bottom="1440" w:left="1440" w:header="794" w:footer="709" w:gutter="0"/>
          <w:cols w:space="708"/>
          <w:docGrid w:linePitch="360"/>
        </w:sectPr>
      </w:pPr>
    </w:p>
    <w:p w14:paraId="0782EC2D" w14:textId="77777777" w:rsidR="000D0670" w:rsidRDefault="000D0670" w:rsidP="007D6A05">
      <w:pPr>
        <w:pStyle w:val="Heading2"/>
        <w:sectPr w:rsidR="000D0670" w:rsidSect="000D0670">
          <w:type w:val="continuous"/>
          <w:pgSz w:w="11906" w:h="16838"/>
          <w:pgMar w:top="1366" w:right="1440" w:bottom="1440" w:left="1440" w:header="794" w:footer="709" w:gutter="0"/>
          <w:cols w:num="2" w:space="708"/>
          <w:docGrid w:linePitch="360"/>
        </w:sectPr>
      </w:pPr>
    </w:p>
    <w:p w14:paraId="29C6946A" w14:textId="445B5CDF" w:rsidR="006B178A" w:rsidRPr="001D38BD" w:rsidRDefault="00DB0A39" w:rsidP="006B178A">
      <w:pPr>
        <w:pStyle w:val="Heading1"/>
      </w:pPr>
      <w:bookmarkStart w:id="4" w:name="_Toc219978471"/>
      <w:r>
        <w:lastRenderedPageBreak/>
        <w:t xml:space="preserve">2. </w:t>
      </w:r>
      <w:r w:rsidR="006B178A">
        <w:t xml:space="preserve">Introduction to the </w:t>
      </w:r>
      <w:r w:rsidR="00424753">
        <w:t>R</w:t>
      </w:r>
      <w:r w:rsidR="003E1AE1">
        <w:t>R</w:t>
      </w:r>
      <w:r w:rsidR="00424753">
        <w:t>S</w:t>
      </w:r>
      <w:bookmarkEnd w:id="4"/>
    </w:p>
    <w:p w14:paraId="4238770F" w14:textId="77777777" w:rsidR="006B178A" w:rsidRDefault="006B178A" w:rsidP="006B178A">
      <w:pPr>
        <w:pStyle w:val="Heading2"/>
      </w:pPr>
      <w:bookmarkStart w:id="5" w:name="_Toc218781386"/>
      <w:bookmarkStart w:id="6" w:name="_Toc219978472"/>
      <w:r>
        <w:t>Overview</w:t>
      </w:r>
      <w:bookmarkEnd w:id="5"/>
      <w:bookmarkEnd w:id="6"/>
    </w:p>
    <w:p w14:paraId="0B3C4F0C" w14:textId="650AA2F0" w:rsidR="006B178A" w:rsidRPr="00293638" w:rsidRDefault="006B178A" w:rsidP="006B178A">
      <w:pPr>
        <w:rPr>
          <w:szCs w:val="20"/>
        </w:rPr>
      </w:pPr>
      <w:r w:rsidRPr="00293638">
        <w:rPr>
          <w:szCs w:val="20"/>
        </w:rPr>
        <w:t xml:space="preserve">The Victorian Renter Rights Program supports disadvantaged and vulnerable renters and older people most at risk of </w:t>
      </w:r>
      <w:r w:rsidR="00A30480">
        <w:rPr>
          <w:szCs w:val="20"/>
        </w:rPr>
        <w:t>renting</w:t>
      </w:r>
      <w:r w:rsidRPr="00293638">
        <w:rPr>
          <w:szCs w:val="20"/>
        </w:rPr>
        <w:t xml:space="preserve"> issues. There are four components:</w:t>
      </w:r>
    </w:p>
    <w:p w14:paraId="23B1359C" w14:textId="77777777" w:rsidR="006B178A" w:rsidRPr="00293638" w:rsidRDefault="006B178A" w:rsidP="006B178A">
      <w:pPr>
        <w:pStyle w:val="ListParagraph"/>
        <w:numPr>
          <w:ilvl w:val="0"/>
          <w:numId w:val="7"/>
        </w:numPr>
        <w:rPr>
          <w:szCs w:val="20"/>
        </w:rPr>
      </w:pPr>
      <w:r w:rsidRPr="00293638">
        <w:rPr>
          <w:szCs w:val="20"/>
        </w:rPr>
        <w:t>Renter Rights Service (RRS)</w:t>
      </w:r>
    </w:p>
    <w:p w14:paraId="606268A1" w14:textId="77777777" w:rsidR="006B178A" w:rsidRPr="00293638" w:rsidRDefault="006B178A" w:rsidP="006B178A">
      <w:pPr>
        <w:pStyle w:val="ListParagraph"/>
        <w:numPr>
          <w:ilvl w:val="0"/>
          <w:numId w:val="7"/>
        </w:numPr>
        <w:rPr>
          <w:szCs w:val="20"/>
        </w:rPr>
      </w:pPr>
      <w:r w:rsidRPr="00293638">
        <w:rPr>
          <w:szCs w:val="20"/>
        </w:rPr>
        <w:t>Renter Central Service (RCS)</w:t>
      </w:r>
    </w:p>
    <w:p w14:paraId="3A54C2DA" w14:textId="77777777" w:rsidR="006B178A" w:rsidRPr="00293638" w:rsidRDefault="006B178A" w:rsidP="006B178A">
      <w:pPr>
        <w:pStyle w:val="ListParagraph"/>
        <w:numPr>
          <w:ilvl w:val="0"/>
          <w:numId w:val="7"/>
        </w:numPr>
        <w:rPr>
          <w:szCs w:val="20"/>
        </w:rPr>
      </w:pPr>
      <w:r w:rsidRPr="00293638">
        <w:rPr>
          <w:szCs w:val="20"/>
        </w:rPr>
        <w:t xml:space="preserve">Older Persons Housing Rights Service (OPHRS) </w:t>
      </w:r>
    </w:p>
    <w:p w14:paraId="60C40148" w14:textId="77777777" w:rsidR="006B178A" w:rsidRPr="00293638" w:rsidRDefault="006B178A" w:rsidP="006B178A">
      <w:pPr>
        <w:pStyle w:val="ListParagraph"/>
        <w:numPr>
          <w:ilvl w:val="0"/>
          <w:numId w:val="7"/>
        </w:numPr>
        <w:rPr>
          <w:szCs w:val="20"/>
        </w:rPr>
      </w:pPr>
      <w:r w:rsidRPr="00293638">
        <w:rPr>
          <w:szCs w:val="20"/>
        </w:rPr>
        <w:t>Victorian Renters Helpline (VRH)</w:t>
      </w:r>
    </w:p>
    <w:p w14:paraId="7926F9A2" w14:textId="17F09E9B" w:rsidR="00211555" w:rsidRPr="00293638" w:rsidRDefault="00925423" w:rsidP="00925423">
      <w:pPr>
        <w:rPr>
          <w:szCs w:val="20"/>
        </w:rPr>
      </w:pPr>
      <w:r w:rsidRPr="00293638">
        <w:rPr>
          <w:szCs w:val="20"/>
        </w:rPr>
        <w:t xml:space="preserve">The RRS provides </w:t>
      </w:r>
      <w:r w:rsidR="00B81C06" w:rsidRPr="00293638">
        <w:rPr>
          <w:szCs w:val="20"/>
        </w:rPr>
        <w:t xml:space="preserve">local, </w:t>
      </w:r>
      <w:r w:rsidRPr="00293638">
        <w:rPr>
          <w:szCs w:val="20"/>
        </w:rPr>
        <w:t xml:space="preserve">place-based services across </w:t>
      </w:r>
      <w:r w:rsidR="00B81C06" w:rsidRPr="00293638">
        <w:rPr>
          <w:szCs w:val="20"/>
        </w:rPr>
        <w:t xml:space="preserve">Victoria, ensuring that renters </w:t>
      </w:r>
      <w:r w:rsidR="00FB16A4" w:rsidRPr="00293638">
        <w:rPr>
          <w:szCs w:val="20"/>
        </w:rPr>
        <w:t xml:space="preserve">can access </w:t>
      </w:r>
      <w:r w:rsidR="00B71222" w:rsidRPr="00293638">
        <w:rPr>
          <w:szCs w:val="20"/>
        </w:rPr>
        <w:t xml:space="preserve">advocacy support services </w:t>
      </w:r>
      <w:r w:rsidR="00211555" w:rsidRPr="00293638">
        <w:rPr>
          <w:szCs w:val="20"/>
        </w:rPr>
        <w:t>to resolve issues in their renting arrangement.</w:t>
      </w:r>
    </w:p>
    <w:p w14:paraId="2BEE3C08" w14:textId="06C05A26" w:rsidR="00925423" w:rsidRPr="00293638" w:rsidRDefault="00211555" w:rsidP="00925423">
      <w:pPr>
        <w:rPr>
          <w:szCs w:val="20"/>
        </w:rPr>
      </w:pPr>
      <w:r w:rsidRPr="00293638">
        <w:rPr>
          <w:szCs w:val="20"/>
        </w:rPr>
        <w:t xml:space="preserve">Resources are allocated </w:t>
      </w:r>
      <w:r w:rsidR="00BE2BEF" w:rsidRPr="00293638">
        <w:rPr>
          <w:szCs w:val="20"/>
        </w:rPr>
        <w:t xml:space="preserve">across the state </w:t>
      </w:r>
      <w:r w:rsidR="00F37366" w:rsidRPr="00293638">
        <w:rPr>
          <w:szCs w:val="20"/>
        </w:rPr>
        <w:t xml:space="preserve">through </w:t>
      </w:r>
      <w:r w:rsidR="00925423" w:rsidRPr="00293638">
        <w:rPr>
          <w:szCs w:val="20"/>
        </w:rPr>
        <w:t xml:space="preserve">17 service areas and </w:t>
      </w:r>
      <w:r w:rsidR="00BE2BEF" w:rsidRPr="00293638">
        <w:rPr>
          <w:szCs w:val="20"/>
        </w:rPr>
        <w:t xml:space="preserve">are delivered </w:t>
      </w:r>
      <w:r w:rsidR="009760DA" w:rsidRPr="00293638">
        <w:rPr>
          <w:szCs w:val="20"/>
        </w:rPr>
        <w:t>face-to-face or remotely</w:t>
      </w:r>
      <w:r w:rsidR="00925423" w:rsidRPr="00293638">
        <w:rPr>
          <w:szCs w:val="20"/>
        </w:rPr>
        <w:t>.</w:t>
      </w:r>
    </w:p>
    <w:p w14:paraId="63F8D8A9" w14:textId="798DCFD6" w:rsidR="006B178A" w:rsidRPr="00293638" w:rsidRDefault="00925423" w:rsidP="00925423">
      <w:pPr>
        <w:rPr>
          <w:szCs w:val="20"/>
        </w:rPr>
      </w:pPr>
      <w:r w:rsidRPr="00293638">
        <w:rPr>
          <w:szCs w:val="20"/>
        </w:rPr>
        <w:t xml:space="preserve">For the table listing the service areas, see </w:t>
      </w:r>
      <w:r w:rsidRPr="00293638">
        <w:rPr>
          <w:b/>
          <w:szCs w:val="20"/>
        </w:rPr>
        <w:t>Appendix 1.</w:t>
      </w:r>
      <w:r w:rsidR="006B178A" w:rsidRPr="00293638">
        <w:rPr>
          <w:szCs w:val="20"/>
        </w:rPr>
        <w:br w:type="column"/>
      </w:r>
      <w:bookmarkStart w:id="7" w:name="_Toc218781387"/>
      <w:r w:rsidR="006B178A" w:rsidRPr="00293638">
        <w:rPr>
          <w:rStyle w:val="Heading2Char"/>
          <w:sz w:val="20"/>
          <w:szCs w:val="20"/>
        </w:rPr>
        <w:t>The VRRP’s objective</w:t>
      </w:r>
      <w:bookmarkEnd w:id="7"/>
    </w:p>
    <w:p w14:paraId="5C9CA4DC" w14:textId="77777777" w:rsidR="006B178A" w:rsidRPr="00293638" w:rsidRDefault="006B178A" w:rsidP="006B178A">
      <w:pPr>
        <w:rPr>
          <w:szCs w:val="20"/>
        </w:rPr>
      </w:pPr>
      <w:r w:rsidRPr="00293638">
        <w:rPr>
          <w:szCs w:val="20"/>
        </w:rPr>
        <w:t xml:space="preserve">The objective of the VRRP is to keep Victorians in safe and secure housing. </w:t>
      </w:r>
    </w:p>
    <w:p w14:paraId="006D611F" w14:textId="77777777" w:rsidR="006B178A" w:rsidRPr="00293638" w:rsidRDefault="006B178A" w:rsidP="006B178A">
      <w:pPr>
        <w:rPr>
          <w:szCs w:val="20"/>
        </w:rPr>
      </w:pPr>
    </w:p>
    <w:p w14:paraId="7F338387" w14:textId="56B46332" w:rsidR="006B178A" w:rsidRDefault="00182115" w:rsidP="006B178A">
      <w:pPr>
        <w:pStyle w:val="Heading2"/>
      </w:pPr>
      <w:bookmarkStart w:id="8" w:name="_Toc218781388"/>
      <w:bookmarkStart w:id="9" w:name="_Toc219978473"/>
      <w:r>
        <w:t>RRS</w:t>
      </w:r>
      <w:r w:rsidR="006B178A">
        <w:t xml:space="preserve"> service model</w:t>
      </w:r>
      <w:bookmarkEnd w:id="8"/>
      <w:bookmarkEnd w:id="9"/>
    </w:p>
    <w:p w14:paraId="45F2CA23" w14:textId="1C21C57E" w:rsidR="00011EEA" w:rsidRPr="00293638" w:rsidRDefault="00011EEA" w:rsidP="00011EEA">
      <w:pPr>
        <w:rPr>
          <w:b/>
          <w:szCs w:val="20"/>
        </w:rPr>
      </w:pPr>
      <w:r w:rsidRPr="00293638">
        <w:rPr>
          <w:szCs w:val="20"/>
        </w:rPr>
        <w:t>The service model outlines client eligibility and prioritisation of casework to assist agencies to provide consistent services and support to renters.</w:t>
      </w:r>
    </w:p>
    <w:p w14:paraId="6D4A39CB" w14:textId="77777777" w:rsidR="00515944" w:rsidRPr="00293638" w:rsidRDefault="00515944" w:rsidP="009F5817">
      <w:pPr>
        <w:rPr>
          <w:b/>
          <w:szCs w:val="20"/>
        </w:rPr>
      </w:pPr>
      <w:r w:rsidRPr="00293638">
        <w:rPr>
          <w:szCs w:val="20"/>
        </w:rPr>
        <w:t>The RRS service model is designed to complement and strengthen existing practices within agencies and is based on five principles of practice as detailed in Table 2.</w:t>
      </w:r>
    </w:p>
    <w:p w14:paraId="5398182E" w14:textId="77777777" w:rsidR="00515944" w:rsidRPr="00293638" w:rsidRDefault="00515944" w:rsidP="009F5817">
      <w:pPr>
        <w:rPr>
          <w:b/>
          <w:szCs w:val="20"/>
        </w:rPr>
      </w:pPr>
      <w:r w:rsidRPr="00293638">
        <w:rPr>
          <w:szCs w:val="20"/>
        </w:rPr>
        <w:t>The RRS service model details the decision points and introduces the following four client focused services:</w:t>
      </w:r>
    </w:p>
    <w:p w14:paraId="0CE48B3C" w14:textId="2BC8F668" w:rsidR="00515944" w:rsidRPr="00293638" w:rsidRDefault="00CB7B63" w:rsidP="00F15387">
      <w:pPr>
        <w:pStyle w:val="ListParagraph"/>
        <w:numPr>
          <w:ilvl w:val="0"/>
          <w:numId w:val="38"/>
        </w:numPr>
        <w:rPr>
          <w:b/>
          <w:szCs w:val="20"/>
        </w:rPr>
      </w:pPr>
      <w:r w:rsidRPr="00293638">
        <w:rPr>
          <w:szCs w:val="20"/>
        </w:rPr>
        <w:t>e</w:t>
      </w:r>
      <w:r w:rsidR="00515944" w:rsidRPr="00293638">
        <w:rPr>
          <w:szCs w:val="20"/>
        </w:rPr>
        <w:t>arly intervention support through intake and triage</w:t>
      </w:r>
    </w:p>
    <w:p w14:paraId="36BE2D34" w14:textId="037CE1FC" w:rsidR="00515944" w:rsidRPr="00293638" w:rsidRDefault="00515944" w:rsidP="00F15387">
      <w:pPr>
        <w:pStyle w:val="ListParagraph"/>
        <w:numPr>
          <w:ilvl w:val="0"/>
          <w:numId w:val="38"/>
        </w:numPr>
        <w:rPr>
          <w:b/>
          <w:szCs w:val="20"/>
        </w:rPr>
      </w:pPr>
      <w:r w:rsidRPr="00293638">
        <w:rPr>
          <w:szCs w:val="20"/>
        </w:rPr>
        <w:t>information and referral to other agencies or support services</w:t>
      </w:r>
    </w:p>
    <w:p w14:paraId="38D8E468" w14:textId="45E0B6C0" w:rsidR="00515944" w:rsidRPr="00293638" w:rsidRDefault="00515944" w:rsidP="00F15387">
      <w:pPr>
        <w:pStyle w:val="ListParagraph"/>
        <w:numPr>
          <w:ilvl w:val="0"/>
          <w:numId w:val="38"/>
        </w:numPr>
        <w:rPr>
          <w:b/>
          <w:szCs w:val="20"/>
        </w:rPr>
      </w:pPr>
      <w:r w:rsidRPr="00293638">
        <w:rPr>
          <w:szCs w:val="20"/>
        </w:rPr>
        <w:t>negotiation and advocacy</w:t>
      </w:r>
    </w:p>
    <w:p w14:paraId="73BF2C51" w14:textId="3BC8BCC6" w:rsidR="00515944" w:rsidRPr="00293638" w:rsidRDefault="00515944" w:rsidP="00F15387">
      <w:pPr>
        <w:pStyle w:val="ListParagraph"/>
        <w:numPr>
          <w:ilvl w:val="0"/>
          <w:numId w:val="38"/>
        </w:numPr>
        <w:rPr>
          <w:b/>
          <w:szCs w:val="20"/>
        </w:rPr>
      </w:pPr>
      <w:r w:rsidRPr="00293638">
        <w:rPr>
          <w:szCs w:val="20"/>
        </w:rPr>
        <w:t xml:space="preserve">assistance with </w:t>
      </w:r>
      <w:r w:rsidR="006954F5" w:rsidRPr="00293638">
        <w:rPr>
          <w:szCs w:val="20"/>
        </w:rPr>
        <w:t xml:space="preserve">tribunal </w:t>
      </w:r>
      <w:r w:rsidRPr="00293638">
        <w:rPr>
          <w:szCs w:val="20"/>
        </w:rPr>
        <w:t>hearings</w:t>
      </w:r>
      <w:r w:rsidR="00231365" w:rsidRPr="00293638">
        <w:rPr>
          <w:szCs w:val="20"/>
        </w:rPr>
        <w:t xml:space="preserve"> and </w:t>
      </w:r>
      <w:r w:rsidR="007A745B" w:rsidRPr="00293638">
        <w:rPr>
          <w:szCs w:val="20"/>
        </w:rPr>
        <w:t>appropriate</w:t>
      </w:r>
      <w:r w:rsidR="00231365" w:rsidRPr="00293638">
        <w:rPr>
          <w:szCs w:val="20"/>
        </w:rPr>
        <w:t xml:space="preserve"> dispute resolution</w:t>
      </w:r>
      <w:r w:rsidR="007A745B" w:rsidRPr="00293638">
        <w:rPr>
          <w:szCs w:val="20"/>
        </w:rPr>
        <w:t xml:space="preserve"> processes</w:t>
      </w:r>
      <w:r w:rsidRPr="00293638">
        <w:rPr>
          <w:b/>
          <w:szCs w:val="20"/>
        </w:rPr>
        <w:t>.</w:t>
      </w:r>
    </w:p>
    <w:p w14:paraId="081404A8" w14:textId="6C8CE560" w:rsidR="00515944" w:rsidRPr="00293638" w:rsidRDefault="00515944" w:rsidP="009F5817">
      <w:pPr>
        <w:rPr>
          <w:b/>
          <w:szCs w:val="20"/>
        </w:rPr>
      </w:pPr>
      <w:r w:rsidRPr="00293638">
        <w:rPr>
          <w:szCs w:val="20"/>
        </w:rPr>
        <w:t xml:space="preserve">Services will be provided remotely and face-to-face, subject to the preference of the </w:t>
      </w:r>
      <w:r w:rsidR="00231365" w:rsidRPr="00293638">
        <w:rPr>
          <w:szCs w:val="20"/>
        </w:rPr>
        <w:t xml:space="preserve">renter </w:t>
      </w:r>
      <w:r w:rsidRPr="00293638">
        <w:rPr>
          <w:szCs w:val="20"/>
        </w:rPr>
        <w:t>and capacity of the service provider.</w:t>
      </w:r>
    </w:p>
    <w:p w14:paraId="52D8C9BE" w14:textId="77777777" w:rsidR="00497227" w:rsidRDefault="00D159D2" w:rsidP="00497227">
      <w:pPr>
        <w:pStyle w:val="Heading2"/>
        <w:rPr>
          <w:rFonts w:eastAsiaTheme="minorHAnsi" w:cstheme="minorBidi"/>
          <w:b w:val="0"/>
          <w:color w:val="auto"/>
          <w:sz w:val="20"/>
          <w:szCs w:val="21"/>
        </w:rPr>
        <w:sectPr w:rsidR="00497227" w:rsidSect="006B178A">
          <w:pgSz w:w="11906" w:h="16838"/>
          <w:pgMar w:top="1366" w:right="1440" w:bottom="1440" w:left="1440" w:header="794" w:footer="709" w:gutter="0"/>
          <w:cols w:num="2" w:space="708"/>
          <w:docGrid w:linePitch="360"/>
        </w:sectPr>
      </w:pPr>
      <w:r>
        <w:rPr>
          <w:rFonts w:eastAsiaTheme="minorHAnsi" w:cstheme="minorBidi"/>
          <w:b w:val="0"/>
          <w:color w:val="auto"/>
          <w:sz w:val="20"/>
          <w:szCs w:val="21"/>
        </w:rPr>
        <w:br w:type="column"/>
      </w:r>
    </w:p>
    <w:p w14:paraId="3E38A3C9" w14:textId="4FBDF739" w:rsidR="005C5916" w:rsidRPr="005C5916" w:rsidRDefault="005C5916" w:rsidP="00CE174C">
      <w:pPr>
        <w:pStyle w:val="Heading2"/>
      </w:pPr>
      <w:bookmarkStart w:id="10" w:name="_Toc219978474"/>
      <w:r w:rsidRPr="005C5916">
        <w:t>Table 2</w:t>
      </w:r>
      <w:r w:rsidR="000115A3">
        <w:t>:</w:t>
      </w:r>
      <w:r w:rsidRPr="005C5916">
        <w:t xml:space="preserve"> Principles of practice for </w:t>
      </w:r>
      <w:r w:rsidR="006C7FC0">
        <w:t>RRS</w:t>
      </w:r>
      <w:bookmarkEnd w:id="10"/>
      <w:r w:rsidRPr="005C5916">
        <w:rPr>
          <w:rFonts w:ascii="Cambria" w:hAnsi="Cambria" w:cs="Cambria"/>
        </w:rPr>
        <w:t> </w:t>
      </w:r>
    </w:p>
    <w:tbl>
      <w:tblPr>
        <w:tblStyle w:val="GridTable4-Accent1"/>
        <w:tblW w:w="9435" w:type="dxa"/>
        <w:tblLayout w:type="fixed"/>
        <w:tblLook w:val="04A0" w:firstRow="1" w:lastRow="0" w:firstColumn="1" w:lastColumn="0" w:noHBand="0" w:noVBand="1"/>
      </w:tblPr>
      <w:tblGrid>
        <w:gridCol w:w="1652"/>
        <w:gridCol w:w="2594"/>
        <w:gridCol w:w="2594"/>
        <w:gridCol w:w="2595"/>
      </w:tblGrid>
      <w:tr w:rsidR="00033E9C" w:rsidRPr="00E745F2" w14:paraId="0E0951F1" w14:textId="4F823D7E" w:rsidTr="003B4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tcPr>
          <w:p w14:paraId="6CBBAA3F" w14:textId="77777777" w:rsidR="00033E9C" w:rsidRPr="006475B8" w:rsidRDefault="00033E9C" w:rsidP="00033E9C">
            <w:pPr>
              <w:pStyle w:val="paragraph"/>
              <w:spacing w:before="0" w:beforeAutospacing="0" w:after="0" w:afterAutospacing="0"/>
              <w:textAlignment w:val="baseline"/>
              <w:rPr>
                <w:rFonts w:asciiTheme="minorHAnsi" w:hAnsiTheme="minorHAnsi" w:cs="Segoe UI"/>
                <w:color w:val="FFFFFF"/>
                <w:sz w:val="20"/>
                <w:szCs w:val="20"/>
              </w:rPr>
            </w:pPr>
            <w:r w:rsidRPr="006475B8">
              <w:rPr>
                <w:rStyle w:val="eop"/>
                <w:rFonts w:ascii="Cambria" w:eastAsiaTheme="majorEastAsia" w:hAnsi="Cambria" w:cs="Cambria"/>
                <w:color w:val="FFFFFF"/>
                <w:sz w:val="20"/>
                <w:szCs w:val="20"/>
              </w:rPr>
              <w:t> </w:t>
            </w:r>
          </w:p>
          <w:p w14:paraId="372D6370" w14:textId="767F229A" w:rsidR="00033E9C" w:rsidRPr="006475B8" w:rsidRDefault="00033E9C" w:rsidP="00033E9C">
            <w:pPr>
              <w:rPr>
                <w:rFonts w:asciiTheme="minorHAnsi" w:hAnsiTheme="minorHAnsi"/>
                <w:szCs w:val="20"/>
              </w:rPr>
            </w:pPr>
            <w:r w:rsidRPr="006475B8">
              <w:rPr>
                <w:rStyle w:val="normaltextrun"/>
                <w:rFonts w:asciiTheme="minorHAnsi" w:hAnsiTheme="minorHAnsi" w:cs="Segoe UI"/>
                <w:color w:val="FFFFFF"/>
                <w:szCs w:val="20"/>
              </w:rPr>
              <w:t>Principle</w:t>
            </w:r>
            <w:r w:rsidRPr="006475B8">
              <w:rPr>
                <w:rStyle w:val="eop"/>
                <w:rFonts w:ascii="Cambria" w:hAnsi="Cambria" w:cs="Cambria"/>
                <w:color w:val="FFFFFF"/>
                <w:szCs w:val="20"/>
              </w:rPr>
              <w:t> </w:t>
            </w:r>
          </w:p>
        </w:tc>
        <w:tc>
          <w:tcPr>
            <w:tcW w:w="2594" w:type="dxa"/>
          </w:tcPr>
          <w:p w14:paraId="151484EF" w14:textId="77777777" w:rsidR="00033E9C" w:rsidRPr="006475B8" w:rsidRDefault="00033E9C" w:rsidP="00033E9C">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FFFFFF"/>
                <w:sz w:val="20"/>
                <w:szCs w:val="20"/>
              </w:rPr>
            </w:pPr>
            <w:r w:rsidRPr="006475B8">
              <w:rPr>
                <w:rStyle w:val="eop"/>
                <w:rFonts w:ascii="Cambria" w:eastAsiaTheme="majorEastAsia" w:hAnsi="Cambria" w:cs="Cambria"/>
                <w:color w:val="FFFFFF"/>
                <w:sz w:val="20"/>
                <w:szCs w:val="20"/>
              </w:rPr>
              <w:t> </w:t>
            </w:r>
          </w:p>
          <w:p w14:paraId="634CA2AA" w14:textId="4F3C9034" w:rsidR="00033E9C" w:rsidRPr="006475B8" w:rsidRDefault="00033E9C" w:rsidP="00033E9C">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rPr>
            </w:pPr>
            <w:r w:rsidRPr="006475B8">
              <w:rPr>
                <w:rStyle w:val="normaltextrun"/>
                <w:rFonts w:asciiTheme="minorHAnsi" w:hAnsiTheme="minorHAnsi" w:cs="Segoe UI"/>
                <w:color w:val="FFFFFF"/>
                <w:szCs w:val="20"/>
              </w:rPr>
              <w:t>Clients</w:t>
            </w:r>
            <w:r w:rsidRPr="006475B8">
              <w:rPr>
                <w:rStyle w:val="eop"/>
                <w:rFonts w:ascii="Cambria" w:hAnsi="Cambria" w:cs="Cambria"/>
                <w:color w:val="FFFFFF"/>
                <w:szCs w:val="20"/>
              </w:rPr>
              <w:t> </w:t>
            </w:r>
          </w:p>
        </w:tc>
        <w:tc>
          <w:tcPr>
            <w:tcW w:w="2594" w:type="dxa"/>
          </w:tcPr>
          <w:p w14:paraId="6174EA63" w14:textId="77777777" w:rsidR="00033E9C" w:rsidRPr="006475B8" w:rsidRDefault="00033E9C" w:rsidP="00033E9C">
            <w:pPr>
              <w:pStyle w:val="paragraph"/>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FFFFFF"/>
                <w:sz w:val="20"/>
                <w:szCs w:val="20"/>
              </w:rPr>
            </w:pPr>
            <w:r w:rsidRPr="006475B8">
              <w:rPr>
                <w:rStyle w:val="normaltextrun"/>
                <w:rFonts w:asciiTheme="minorHAnsi" w:eastAsiaTheme="majorEastAsia" w:hAnsiTheme="minorHAnsi" w:cs="Segoe UI"/>
                <w:color w:val="FFFFFF"/>
                <w:sz w:val="20"/>
                <w:szCs w:val="20"/>
              </w:rPr>
              <w:t>Outcome</w:t>
            </w:r>
            <w:r w:rsidRPr="006475B8">
              <w:rPr>
                <w:rStyle w:val="eop"/>
                <w:rFonts w:ascii="Cambria" w:eastAsiaTheme="majorEastAsia" w:hAnsi="Cambria" w:cs="Cambria"/>
                <w:color w:val="FFFFFF"/>
                <w:sz w:val="20"/>
                <w:szCs w:val="20"/>
              </w:rPr>
              <w:t> </w:t>
            </w:r>
          </w:p>
          <w:p w14:paraId="527CA5C2" w14:textId="5D50CD73" w:rsidR="00033E9C" w:rsidRPr="006475B8" w:rsidRDefault="00033E9C" w:rsidP="00033E9C">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rPr>
            </w:pPr>
            <w:r w:rsidRPr="006475B8">
              <w:rPr>
                <w:rStyle w:val="normaltextrun"/>
                <w:rFonts w:asciiTheme="minorHAnsi" w:hAnsiTheme="minorHAnsi" w:cs="Segoe UI"/>
                <w:color w:val="FFFFFF"/>
                <w:szCs w:val="20"/>
              </w:rPr>
              <w:t>Service Provider</w:t>
            </w:r>
            <w:r w:rsidRPr="006475B8">
              <w:rPr>
                <w:rStyle w:val="eop"/>
                <w:rFonts w:ascii="Cambria" w:hAnsi="Cambria" w:cs="Cambria"/>
                <w:color w:val="FFFFFF"/>
                <w:szCs w:val="20"/>
              </w:rPr>
              <w:t> </w:t>
            </w:r>
          </w:p>
        </w:tc>
        <w:tc>
          <w:tcPr>
            <w:tcW w:w="2595" w:type="dxa"/>
          </w:tcPr>
          <w:p w14:paraId="7FE6ADC8" w14:textId="77777777" w:rsidR="00033E9C" w:rsidRPr="006475B8" w:rsidRDefault="00033E9C" w:rsidP="00033E9C">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FFFFFF"/>
                <w:sz w:val="20"/>
                <w:szCs w:val="20"/>
              </w:rPr>
            </w:pPr>
            <w:r w:rsidRPr="006475B8">
              <w:rPr>
                <w:rStyle w:val="eop"/>
                <w:rFonts w:ascii="Cambria" w:eastAsiaTheme="majorEastAsia" w:hAnsi="Cambria" w:cs="Cambria"/>
                <w:color w:val="FFFFFF"/>
                <w:sz w:val="20"/>
                <w:szCs w:val="20"/>
              </w:rPr>
              <w:t> </w:t>
            </w:r>
          </w:p>
          <w:p w14:paraId="527DE968" w14:textId="4FA5DF45" w:rsidR="00033E9C" w:rsidRPr="006475B8" w:rsidRDefault="00033E9C" w:rsidP="00033E9C">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rPr>
            </w:pPr>
            <w:r w:rsidRPr="006475B8">
              <w:rPr>
                <w:rStyle w:val="normaltextrun"/>
                <w:rFonts w:asciiTheme="minorHAnsi" w:hAnsiTheme="minorHAnsi" w:cs="Segoe UI"/>
                <w:color w:val="FFFFFF"/>
                <w:szCs w:val="20"/>
              </w:rPr>
              <w:t>Consumer Affairs Victoria</w:t>
            </w:r>
            <w:r w:rsidRPr="006475B8">
              <w:rPr>
                <w:rStyle w:val="eop"/>
                <w:rFonts w:ascii="Cambria" w:hAnsi="Cambria" w:cs="Cambria"/>
                <w:color w:val="FFFFFF"/>
                <w:szCs w:val="20"/>
              </w:rPr>
              <w:t> </w:t>
            </w:r>
          </w:p>
        </w:tc>
      </w:tr>
      <w:tr w:rsidR="00033E9C" w:rsidRPr="00E745F2" w14:paraId="48A999EE" w14:textId="69B867A4" w:rsidTr="00070D57">
        <w:trPr>
          <w:cnfStyle w:val="000000100000" w:firstRow="0" w:lastRow="0" w:firstColumn="0" w:lastColumn="0" w:oddVBand="0" w:evenVBand="0" w:oddHBand="1" w:evenHBand="0" w:firstRowFirstColumn="0" w:firstRowLastColumn="0" w:lastRowFirstColumn="0" w:lastRowLastColumn="0"/>
          <w:trHeight w:val="1213"/>
        </w:trPr>
        <w:tc>
          <w:tcPr>
            <w:cnfStyle w:val="001000000000" w:firstRow="0" w:lastRow="0" w:firstColumn="1" w:lastColumn="0" w:oddVBand="0" w:evenVBand="0" w:oddHBand="0" w:evenHBand="0" w:firstRowFirstColumn="0" w:firstRowLastColumn="0" w:lastRowFirstColumn="0" w:lastRowLastColumn="0"/>
            <w:tcW w:w="1652" w:type="dxa"/>
          </w:tcPr>
          <w:p w14:paraId="16993989" w14:textId="455B88C7" w:rsidR="00033E9C" w:rsidRPr="00E745F2" w:rsidRDefault="00033E9C" w:rsidP="00033E9C">
            <w:pPr>
              <w:rPr>
                <w:rFonts w:asciiTheme="minorHAnsi" w:hAnsiTheme="minorHAnsi"/>
                <w:szCs w:val="20"/>
              </w:rPr>
            </w:pPr>
            <w:r w:rsidRPr="00E745F2">
              <w:rPr>
                <w:rStyle w:val="normaltextrun"/>
                <w:rFonts w:asciiTheme="minorHAnsi" w:hAnsiTheme="minorHAnsi" w:cs="Segoe UI"/>
                <w:szCs w:val="20"/>
              </w:rPr>
              <w:t>Accessibility</w:t>
            </w:r>
            <w:r w:rsidRPr="00E745F2">
              <w:rPr>
                <w:rStyle w:val="eop"/>
                <w:rFonts w:ascii="Cambria" w:hAnsi="Cambria" w:cs="Cambria"/>
                <w:szCs w:val="20"/>
              </w:rPr>
              <w:t> </w:t>
            </w:r>
          </w:p>
        </w:tc>
        <w:tc>
          <w:tcPr>
            <w:tcW w:w="2594" w:type="dxa"/>
          </w:tcPr>
          <w:p w14:paraId="0F40EBFA" w14:textId="5409977C" w:rsidR="00033E9C" w:rsidRPr="00E745F2" w:rsidRDefault="00033E9C" w:rsidP="00033E9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t xml:space="preserve">I can talk to someone at the </w:t>
            </w:r>
            <w:r w:rsidR="00057E28">
              <w:rPr>
                <w:rStyle w:val="normaltextrun"/>
                <w:rFonts w:asciiTheme="minorHAnsi" w:hAnsiTheme="minorHAnsi" w:cs="Segoe UI"/>
                <w:szCs w:val="20"/>
              </w:rPr>
              <w:t>RRS</w:t>
            </w:r>
            <w:r w:rsidRPr="00E745F2">
              <w:rPr>
                <w:rStyle w:val="normaltextrun"/>
                <w:rFonts w:asciiTheme="minorHAnsi" w:hAnsiTheme="minorHAnsi" w:cs="Segoe UI"/>
                <w:szCs w:val="20"/>
              </w:rPr>
              <w:t xml:space="preserve"> within a reasonable time.</w:t>
            </w:r>
            <w:r w:rsidRPr="00E745F2">
              <w:rPr>
                <w:rStyle w:val="eop"/>
                <w:rFonts w:ascii="Cambria" w:hAnsi="Cambria" w:cs="Cambria"/>
                <w:szCs w:val="20"/>
              </w:rPr>
              <w:t> </w:t>
            </w:r>
          </w:p>
        </w:tc>
        <w:tc>
          <w:tcPr>
            <w:tcW w:w="2594" w:type="dxa"/>
          </w:tcPr>
          <w:p w14:paraId="1AC1D2F1" w14:textId="50B35EC3" w:rsidR="00033E9C" w:rsidRPr="00E745F2" w:rsidRDefault="00033E9C" w:rsidP="00033E9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t>We are empowered to respond to the communities we serve.</w:t>
            </w:r>
            <w:r w:rsidRPr="00E745F2">
              <w:rPr>
                <w:rStyle w:val="eop"/>
                <w:rFonts w:ascii="Cambria" w:hAnsi="Cambria" w:cs="Cambria"/>
                <w:szCs w:val="20"/>
              </w:rPr>
              <w:t> </w:t>
            </w:r>
          </w:p>
        </w:tc>
        <w:tc>
          <w:tcPr>
            <w:tcW w:w="2595" w:type="dxa"/>
          </w:tcPr>
          <w:p w14:paraId="626CF57D" w14:textId="14BFE4D8" w:rsidR="00033E9C" w:rsidRPr="00E745F2" w:rsidRDefault="00033E9C" w:rsidP="00033E9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45CAC95E">
              <w:rPr>
                <w:rStyle w:val="normaltextrun"/>
                <w:rFonts w:asciiTheme="minorHAnsi" w:hAnsiTheme="minorHAnsi" w:cs="Segoe UI"/>
              </w:rPr>
              <w:t xml:space="preserve">We are confident that </w:t>
            </w:r>
            <w:r w:rsidR="000762BC" w:rsidRPr="45CAC95E">
              <w:rPr>
                <w:rStyle w:val="normaltextrun"/>
                <w:rFonts w:asciiTheme="minorHAnsi" w:hAnsiTheme="minorHAnsi" w:cs="Segoe UI"/>
              </w:rPr>
              <w:t xml:space="preserve">vulnerable and </w:t>
            </w:r>
            <w:r w:rsidRPr="45CAC95E">
              <w:rPr>
                <w:rStyle w:val="normaltextrun"/>
                <w:rFonts w:asciiTheme="minorHAnsi" w:hAnsiTheme="minorHAnsi" w:cs="Segoe UI"/>
              </w:rPr>
              <w:t xml:space="preserve">disadvantaged </w:t>
            </w:r>
            <w:r w:rsidR="00862224" w:rsidRPr="45CAC95E">
              <w:rPr>
                <w:rStyle w:val="normaltextrun"/>
                <w:rFonts w:asciiTheme="minorHAnsi" w:hAnsiTheme="minorHAnsi" w:cs="Segoe UI"/>
              </w:rPr>
              <w:t>renters</w:t>
            </w:r>
            <w:r w:rsidRPr="45CAC95E">
              <w:rPr>
                <w:rStyle w:val="normaltextrun"/>
                <w:rFonts w:ascii="Cambria" w:hAnsi="Cambria" w:cs="Cambria"/>
              </w:rPr>
              <w:t> </w:t>
            </w:r>
            <w:r w:rsidR="004C4F09" w:rsidRPr="45CAC95E">
              <w:rPr>
                <w:rStyle w:val="normaltextrun"/>
                <w:rFonts w:asciiTheme="minorHAnsi" w:hAnsiTheme="minorHAnsi" w:cs="Segoe UI"/>
              </w:rPr>
              <w:t>can</w:t>
            </w:r>
            <w:r w:rsidRPr="45CAC95E">
              <w:rPr>
                <w:rStyle w:val="normaltextrun"/>
                <w:rFonts w:ascii="Cambria" w:hAnsi="Cambria" w:cs="Cambria"/>
              </w:rPr>
              <w:t> </w:t>
            </w:r>
            <w:r w:rsidRPr="45CAC95E">
              <w:rPr>
                <w:rStyle w:val="normaltextrun"/>
                <w:rFonts w:asciiTheme="minorHAnsi" w:hAnsiTheme="minorHAnsi" w:cs="Segoe UI"/>
              </w:rPr>
              <w:t>access support services.</w:t>
            </w:r>
            <w:r w:rsidRPr="45CAC95E">
              <w:rPr>
                <w:rStyle w:val="eop"/>
                <w:rFonts w:ascii="Cambria" w:hAnsi="Cambria" w:cs="Cambria"/>
              </w:rPr>
              <w:t> </w:t>
            </w:r>
          </w:p>
        </w:tc>
      </w:tr>
      <w:tr w:rsidR="00033E9C" w:rsidRPr="00E745F2" w14:paraId="4A91D719" w14:textId="2F3B9C5D" w:rsidTr="003B43C8">
        <w:tc>
          <w:tcPr>
            <w:cnfStyle w:val="001000000000" w:firstRow="0" w:lastRow="0" w:firstColumn="1" w:lastColumn="0" w:oddVBand="0" w:evenVBand="0" w:oddHBand="0" w:evenHBand="0" w:firstRowFirstColumn="0" w:firstRowLastColumn="0" w:lastRowFirstColumn="0" w:lastRowLastColumn="0"/>
            <w:tcW w:w="1652" w:type="dxa"/>
          </w:tcPr>
          <w:p w14:paraId="2D831D93" w14:textId="2A6CB200" w:rsidR="00033E9C" w:rsidRPr="00E745F2" w:rsidRDefault="00033E9C" w:rsidP="00033E9C">
            <w:pPr>
              <w:rPr>
                <w:rFonts w:asciiTheme="minorHAnsi" w:hAnsiTheme="minorHAnsi"/>
                <w:szCs w:val="20"/>
              </w:rPr>
            </w:pPr>
            <w:r w:rsidRPr="00E745F2">
              <w:rPr>
                <w:rStyle w:val="normaltextrun"/>
                <w:rFonts w:asciiTheme="minorHAnsi" w:hAnsiTheme="minorHAnsi" w:cs="Segoe UI"/>
                <w:szCs w:val="20"/>
              </w:rPr>
              <w:t>Consistency</w:t>
            </w:r>
            <w:r w:rsidRPr="00E745F2">
              <w:rPr>
                <w:rStyle w:val="eop"/>
                <w:rFonts w:ascii="Cambria" w:hAnsi="Cambria" w:cs="Cambria"/>
                <w:szCs w:val="20"/>
              </w:rPr>
              <w:t> </w:t>
            </w:r>
          </w:p>
        </w:tc>
        <w:tc>
          <w:tcPr>
            <w:tcW w:w="2594" w:type="dxa"/>
          </w:tcPr>
          <w:p w14:paraId="1A124947" w14:textId="26F56771" w:rsidR="00033E9C" w:rsidRPr="00E745F2" w:rsidRDefault="00033E9C" w:rsidP="00033E9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t>I can expect the same level of service no matter who I first</w:t>
            </w:r>
            <w:r w:rsidRPr="00E745F2">
              <w:rPr>
                <w:rStyle w:val="normaltextrun"/>
                <w:rFonts w:ascii="Cambria" w:hAnsi="Cambria" w:cs="Cambria"/>
                <w:szCs w:val="20"/>
              </w:rPr>
              <w:t> </w:t>
            </w:r>
            <w:proofErr w:type="gramStart"/>
            <w:r w:rsidRPr="00E745F2">
              <w:rPr>
                <w:rStyle w:val="normaltextrun"/>
                <w:rFonts w:asciiTheme="minorHAnsi" w:hAnsiTheme="minorHAnsi" w:cs="Segoe UI"/>
                <w:szCs w:val="20"/>
              </w:rPr>
              <w:t>make contact with</w:t>
            </w:r>
            <w:proofErr w:type="gramEnd"/>
            <w:r w:rsidRPr="00E745F2">
              <w:rPr>
                <w:rStyle w:val="normaltextrun"/>
                <w:rFonts w:asciiTheme="minorHAnsi" w:hAnsiTheme="minorHAnsi" w:cs="Segoe UI"/>
                <w:szCs w:val="20"/>
              </w:rPr>
              <w:t>.</w:t>
            </w:r>
            <w:r w:rsidRPr="00E745F2">
              <w:rPr>
                <w:rStyle w:val="eop"/>
                <w:rFonts w:ascii="Cambria" w:hAnsi="Cambria" w:cs="Cambria"/>
                <w:szCs w:val="20"/>
              </w:rPr>
              <w:t> </w:t>
            </w:r>
          </w:p>
        </w:tc>
        <w:tc>
          <w:tcPr>
            <w:tcW w:w="2594" w:type="dxa"/>
          </w:tcPr>
          <w:p w14:paraId="2F8E31CB" w14:textId="77777777" w:rsidR="00033E9C" w:rsidRPr="00E745F2" w:rsidRDefault="00033E9C" w:rsidP="00033E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t>We have a clear understanding of CAV’s expectations of the nature and extent of services we will provide.</w:t>
            </w:r>
            <w:r w:rsidRPr="00E745F2">
              <w:rPr>
                <w:rStyle w:val="eop"/>
                <w:rFonts w:ascii="Cambria" w:eastAsiaTheme="majorEastAsia" w:hAnsi="Cambria" w:cs="Cambria"/>
                <w:sz w:val="20"/>
                <w:szCs w:val="20"/>
              </w:rPr>
              <w:t> </w:t>
            </w:r>
          </w:p>
          <w:p w14:paraId="5D6E8547" w14:textId="7D19071E" w:rsidR="00033E9C" w:rsidRPr="00E745F2" w:rsidRDefault="00033E9C" w:rsidP="00033E9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t>We work collaboratively and in partnership with other service providers.</w:t>
            </w:r>
            <w:r w:rsidRPr="00E745F2">
              <w:rPr>
                <w:rStyle w:val="eop"/>
                <w:rFonts w:ascii="Cambria" w:hAnsi="Cambria" w:cs="Cambria"/>
                <w:szCs w:val="20"/>
              </w:rPr>
              <w:t> </w:t>
            </w:r>
          </w:p>
        </w:tc>
        <w:tc>
          <w:tcPr>
            <w:tcW w:w="2595" w:type="dxa"/>
          </w:tcPr>
          <w:p w14:paraId="443309F3" w14:textId="453D2F8C" w:rsidR="00033E9C" w:rsidRPr="00E745F2" w:rsidRDefault="00033E9C" w:rsidP="00033E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t>We are confident that there is</w:t>
            </w:r>
            <w:r w:rsidRPr="00E745F2">
              <w:rPr>
                <w:rStyle w:val="normaltextrun"/>
                <w:rFonts w:ascii="Cambria" w:eastAsiaTheme="majorEastAsia" w:hAnsi="Cambria" w:cs="Cambria"/>
                <w:sz w:val="20"/>
                <w:szCs w:val="20"/>
              </w:rPr>
              <w:t> </w:t>
            </w:r>
            <w:r w:rsidRPr="00E745F2">
              <w:rPr>
                <w:rStyle w:val="normaltextrun"/>
                <w:rFonts w:asciiTheme="minorHAnsi" w:eastAsiaTheme="majorEastAsia" w:hAnsiTheme="minorHAnsi" w:cs="Segoe UI"/>
                <w:sz w:val="20"/>
                <w:szCs w:val="20"/>
              </w:rPr>
              <w:t>reasonably consistent</w:t>
            </w:r>
            <w:r w:rsidRPr="00E745F2">
              <w:rPr>
                <w:rStyle w:val="normaltextrun"/>
                <w:rFonts w:ascii="Cambria" w:eastAsiaTheme="majorEastAsia" w:hAnsi="Cambria" w:cs="Cambria"/>
                <w:sz w:val="20"/>
                <w:szCs w:val="20"/>
              </w:rPr>
              <w:t> </w:t>
            </w:r>
            <w:r w:rsidRPr="00E745F2">
              <w:rPr>
                <w:rStyle w:val="normaltextrun"/>
                <w:rFonts w:asciiTheme="minorHAnsi" w:eastAsiaTheme="majorEastAsia" w:hAnsiTheme="minorHAnsi" w:cs="Segoe UI"/>
                <w:sz w:val="20"/>
                <w:szCs w:val="20"/>
              </w:rPr>
              <w:t>service experience for clients.</w:t>
            </w:r>
            <w:r w:rsidRPr="00E745F2">
              <w:rPr>
                <w:rStyle w:val="eop"/>
                <w:rFonts w:ascii="Cambria" w:eastAsiaTheme="majorEastAsia" w:hAnsi="Cambria" w:cs="Cambria"/>
                <w:sz w:val="20"/>
                <w:szCs w:val="20"/>
              </w:rPr>
              <w:t> </w:t>
            </w:r>
          </w:p>
          <w:p w14:paraId="1CEA763A" w14:textId="75119973" w:rsidR="00033E9C" w:rsidRPr="00E745F2" w:rsidRDefault="00033E9C" w:rsidP="00033E9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t>We are confident that the resources we provide are being appropriately used.</w:t>
            </w:r>
            <w:r w:rsidRPr="00E745F2">
              <w:rPr>
                <w:rStyle w:val="eop"/>
                <w:rFonts w:ascii="Cambria" w:hAnsi="Cambria" w:cs="Cambria"/>
                <w:szCs w:val="20"/>
              </w:rPr>
              <w:t> </w:t>
            </w:r>
          </w:p>
        </w:tc>
      </w:tr>
      <w:tr w:rsidR="00033E9C" w:rsidRPr="00E745F2" w14:paraId="2469D2F5" w14:textId="1FE90959" w:rsidTr="003B4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tcPr>
          <w:p w14:paraId="57F5BDA9" w14:textId="7E2C8797" w:rsidR="00033E9C" w:rsidRPr="00E745F2" w:rsidRDefault="00033E9C" w:rsidP="00033E9C">
            <w:pPr>
              <w:rPr>
                <w:rFonts w:asciiTheme="minorHAnsi" w:hAnsiTheme="minorHAnsi"/>
                <w:szCs w:val="20"/>
              </w:rPr>
            </w:pPr>
            <w:r w:rsidRPr="00E745F2">
              <w:rPr>
                <w:rStyle w:val="normaltextrun"/>
                <w:rFonts w:asciiTheme="minorHAnsi" w:hAnsiTheme="minorHAnsi" w:cs="Segoe UI"/>
                <w:szCs w:val="20"/>
              </w:rPr>
              <w:t>Quality</w:t>
            </w:r>
            <w:r w:rsidRPr="00E745F2">
              <w:rPr>
                <w:rStyle w:val="eop"/>
                <w:rFonts w:ascii="Cambria" w:hAnsi="Cambria" w:cs="Cambria"/>
                <w:szCs w:val="20"/>
              </w:rPr>
              <w:t> </w:t>
            </w:r>
          </w:p>
        </w:tc>
        <w:tc>
          <w:tcPr>
            <w:tcW w:w="2594" w:type="dxa"/>
          </w:tcPr>
          <w:p w14:paraId="0D5AA565" w14:textId="20BAE7F8" w:rsidR="00033E9C" w:rsidRPr="00E745F2" w:rsidRDefault="00033E9C" w:rsidP="00033E9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t xml:space="preserve">I will have a clear understanding of what the </w:t>
            </w:r>
            <w:r w:rsidR="00057E28">
              <w:rPr>
                <w:rStyle w:val="normaltextrun"/>
                <w:rFonts w:asciiTheme="minorHAnsi" w:eastAsiaTheme="majorEastAsia" w:hAnsiTheme="minorHAnsi" w:cs="Segoe UI"/>
                <w:sz w:val="20"/>
                <w:szCs w:val="20"/>
              </w:rPr>
              <w:t>RRS</w:t>
            </w:r>
            <w:r w:rsidRPr="00E745F2">
              <w:rPr>
                <w:rStyle w:val="normaltextrun"/>
                <w:rFonts w:asciiTheme="minorHAnsi" w:eastAsiaTheme="majorEastAsia" w:hAnsiTheme="minorHAnsi" w:cs="Segoe UI"/>
                <w:sz w:val="20"/>
                <w:szCs w:val="20"/>
              </w:rPr>
              <w:t xml:space="preserve"> worker will do, and what </w:t>
            </w:r>
            <w:r w:rsidR="006A1B59">
              <w:rPr>
                <w:rStyle w:val="normaltextrun"/>
                <w:rFonts w:asciiTheme="minorHAnsi" w:eastAsiaTheme="majorEastAsia" w:hAnsiTheme="minorHAnsi" w:cs="Segoe UI"/>
                <w:sz w:val="20"/>
                <w:szCs w:val="20"/>
              </w:rPr>
              <w:t>my rights and responsibilities are</w:t>
            </w:r>
            <w:r w:rsidRPr="00E745F2">
              <w:rPr>
                <w:rStyle w:val="normaltextrun"/>
                <w:rFonts w:asciiTheme="minorHAnsi" w:eastAsiaTheme="majorEastAsia" w:hAnsiTheme="minorHAnsi" w:cs="Segoe UI"/>
                <w:sz w:val="20"/>
                <w:szCs w:val="20"/>
              </w:rPr>
              <w:t>.</w:t>
            </w:r>
            <w:r w:rsidRPr="00E745F2">
              <w:rPr>
                <w:rStyle w:val="eop"/>
                <w:rFonts w:ascii="Cambria" w:eastAsiaTheme="majorEastAsia" w:hAnsi="Cambria" w:cs="Cambria"/>
                <w:sz w:val="20"/>
                <w:szCs w:val="20"/>
              </w:rPr>
              <w:t> </w:t>
            </w:r>
          </w:p>
          <w:p w14:paraId="6987B8C7" w14:textId="3D61E318" w:rsidR="00033E9C" w:rsidRPr="00E745F2" w:rsidRDefault="00033E9C" w:rsidP="00033E9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t xml:space="preserve">I </w:t>
            </w:r>
            <w:r w:rsidR="00915D2E">
              <w:rPr>
                <w:rStyle w:val="normaltextrun"/>
                <w:rFonts w:asciiTheme="minorHAnsi" w:eastAsiaTheme="majorEastAsia" w:hAnsiTheme="minorHAnsi" w:cs="Segoe UI"/>
                <w:sz w:val="20"/>
                <w:szCs w:val="20"/>
              </w:rPr>
              <w:t xml:space="preserve">do </w:t>
            </w:r>
            <w:r w:rsidRPr="00E745F2">
              <w:rPr>
                <w:rStyle w:val="normaltextrun"/>
                <w:rFonts w:asciiTheme="minorHAnsi" w:eastAsiaTheme="majorEastAsia" w:hAnsiTheme="minorHAnsi" w:cs="Segoe UI"/>
                <w:sz w:val="20"/>
                <w:szCs w:val="20"/>
              </w:rPr>
              <w:t>not feel judged.</w:t>
            </w:r>
            <w:r w:rsidRPr="00E745F2">
              <w:rPr>
                <w:rStyle w:val="eop"/>
                <w:rFonts w:ascii="Cambria" w:eastAsiaTheme="majorEastAsia" w:hAnsi="Cambria" w:cs="Cambria"/>
                <w:sz w:val="20"/>
                <w:szCs w:val="20"/>
              </w:rPr>
              <w:t> </w:t>
            </w:r>
          </w:p>
          <w:p w14:paraId="0979E599" w14:textId="34FB3ECD" w:rsidR="00033E9C" w:rsidRPr="00E745F2" w:rsidRDefault="00033E9C" w:rsidP="00033E9C">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45CAC95E">
              <w:rPr>
                <w:rStyle w:val="normaltextrun"/>
                <w:rFonts w:asciiTheme="minorHAnsi" w:hAnsiTheme="minorHAnsi" w:cs="Segoe UI"/>
              </w:rPr>
              <w:t xml:space="preserve">I can </w:t>
            </w:r>
            <w:r w:rsidR="006D6D17" w:rsidRPr="45CAC95E">
              <w:rPr>
                <w:rStyle w:val="normaltextrun"/>
                <w:rFonts w:asciiTheme="minorHAnsi" w:hAnsiTheme="minorHAnsi" w:cs="Segoe UI"/>
              </w:rPr>
              <w:t>trust the advice and support provided</w:t>
            </w:r>
            <w:r w:rsidR="004E7753" w:rsidRPr="45CAC95E">
              <w:rPr>
                <w:rStyle w:val="normaltextrun"/>
                <w:rFonts w:asciiTheme="minorHAnsi" w:hAnsiTheme="minorHAnsi" w:cs="Segoe UI"/>
              </w:rPr>
              <w:t>, and I will feel culturally safe</w:t>
            </w:r>
            <w:r w:rsidR="60CB19FF" w:rsidRPr="45CAC95E">
              <w:rPr>
                <w:rStyle w:val="normaltextrun"/>
                <w:rFonts w:asciiTheme="minorHAnsi" w:hAnsiTheme="minorHAnsi" w:cs="Segoe UI"/>
              </w:rPr>
              <w:t>.</w:t>
            </w:r>
          </w:p>
        </w:tc>
        <w:tc>
          <w:tcPr>
            <w:tcW w:w="2594" w:type="dxa"/>
          </w:tcPr>
          <w:p w14:paraId="2AC041A1" w14:textId="77777777" w:rsidR="00033E9C" w:rsidRPr="00E745F2" w:rsidRDefault="00033E9C" w:rsidP="00033E9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t>We have qualified staff who are supported</w:t>
            </w:r>
            <w:r w:rsidRPr="00E745F2">
              <w:rPr>
                <w:rStyle w:val="eop"/>
                <w:rFonts w:ascii="Cambria" w:eastAsiaTheme="majorEastAsia" w:hAnsi="Cambria" w:cs="Cambria"/>
                <w:sz w:val="20"/>
                <w:szCs w:val="20"/>
              </w:rPr>
              <w:t> </w:t>
            </w:r>
          </w:p>
          <w:p w14:paraId="2CA29083" w14:textId="77777777" w:rsidR="00033E9C" w:rsidRPr="00E745F2" w:rsidRDefault="00033E9C" w:rsidP="00033E9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t>to</w:t>
            </w:r>
            <w:r w:rsidRPr="00E745F2">
              <w:rPr>
                <w:rStyle w:val="normaltextrun"/>
                <w:rFonts w:ascii="Cambria" w:eastAsiaTheme="majorEastAsia" w:hAnsi="Cambria" w:cs="Cambria"/>
                <w:sz w:val="20"/>
                <w:szCs w:val="20"/>
              </w:rPr>
              <w:t> </w:t>
            </w:r>
            <w:r w:rsidRPr="00E745F2">
              <w:rPr>
                <w:rStyle w:val="normaltextrun"/>
                <w:rFonts w:asciiTheme="minorHAnsi" w:eastAsiaTheme="majorEastAsia" w:hAnsiTheme="minorHAnsi" w:cs="Segoe UI"/>
                <w:sz w:val="20"/>
                <w:szCs w:val="20"/>
              </w:rPr>
              <w:t>maintain</w:t>
            </w:r>
            <w:r w:rsidRPr="00E745F2">
              <w:rPr>
                <w:rStyle w:val="normaltextrun"/>
                <w:rFonts w:ascii="Cambria" w:eastAsiaTheme="majorEastAsia" w:hAnsi="Cambria" w:cs="Cambria"/>
                <w:sz w:val="20"/>
                <w:szCs w:val="20"/>
              </w:rPr>
              <w:t> </w:t>
            </w:r>
            <w:r w:rsidRPr="00E745F2">
              <w:rPr>
                <w:rStyle w:val="normaltextrun"/>
                <w:rFonts w:asciiTheme="minorHAnsi" w:eastAsiaTheme="majorEastAsia" w:hAnsiTheme="minorHAnsi" w:cs="Segoe UI"/>
                <w:sz w:val="20"/>
                <w:szCs w:val="20"/>
              </w:rPr>
              <w:t>and improve their skills through professional development.</w:t>
            </w:r>
            <w:r w:rsidRPr="00E745F2">
              <w:rPr>
                <w:rStyle w:val="eop"/>
                <w:rFonts w:ascii="Cambria" w:eastAsiaTheme="majorEastAsia" w:hAnsi="Cambria" w:cs="Cambria"/>
                <w:sz w:val="20"/>
                <w:szCs w:val="20"/>
              </w:rPr>
              <w:t> </w:t>
            </w:r>
          </w:p>
          <w:p w14:paraId="738EAEF4" w14:textId="77777777" w:rsidR="00033E9C" w:rsidRPr="00E745F2" w:rsidRDefault="00033E9C" w:rsidP="00033E9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t>We provide a culturally safe space for all people facing hardship.</w:t>
            </w:r>
            <w:r w:rsidRPr="00E745F2">
              <w:rPr>
                <w:rStyle w:val="eop"/>
                <w:rFonts w:ascii="Cambria" w:eastAsiaTheme="majorEastAsia" w:hAnsi="Cambria" w:cs="Cambria"/>
                <w:sz w:val="20"/>
                <w:szCs w:val="20"/>
              </w:rPr>
              <w:t> </w:t>
            </w:r>
          </w:p>
          <w:p w14:paraId="663C6DB9" w14:textId="43DABDC7" w:rsidR="00033E9C" w:rsidRPr="00E745F2" w:rsidRDefault="00033E9C" w:rsidP="00033E9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t>We use best practice processes and tools to guide our practice.</w:t>
            </w:r>
            <w:r w:rsidRPr="00E745F2">
              <w:rPr>
                <w:rStyle w:val="eop"/>
                <w:rFonts w:ascii="Cambria" w:hAnsi="Cambria" w:cs="Cambria"/>
                <w:szCs w:val="20"/>
              </w:rPr>
              <w:t> </w:t>
            </w:r>
          </w:p>
        </w:tc>
        <w:tc>
          <w:tcPr>
            <w:tcW w:w="2595" w:type="dxa"/>
          </w:tcPr>
          <w:p w14:paraId="4A187146" w14:textId="68643E8E" w:rsidR="00033E9C" w:rsidRPr="00E745F2" w:rsidRDefault="00033E9C" w:rsidP="00033E9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t>We are confident that the services we fund are of</w:t>
            </w:r>
            <w:r w:rsidRPr="00E745F2">
              <w:rPr>
                <w:rStyle w:val="normaltextrun"/>
                <w:rFonts w:ascii="Cambria" w:hAnsi="Cambria" w:cs="Cambria"/>
                <w:szCs w:val="20"/>
              </w:rPr>
              <w:t> </w:t>
            </w:r>
            <w:r w:rsidRPr="00E745F2">
              <w:rPr>
                <w:rStyle w:val="normaltextrun"/>
                <w:rFonts w:asciiTheme="minorHAnsi" w:hAnsiTheme="minorHAnsi" w:cs="Segoe UI"/>
                <w:szCs w:val="20"/>
              </w:rPr>
              <w:t>good quality</w:t>
            </w:r>
            <w:r w:rsidR="00D32DF0">
              <w:rPr>
                <w:rStyle w:val="normaltextrun"/>
                <w:rFonts w:asciiTheme="minorHAnsi" w:hAnsiTheme="minorHAnsi" w:cs="Segoe UI"/>
                <w:szCs w:val="20"/>
              </w:rPr>
              <w:t>,</w:t>
            </w:r>
            <w:r w:rsidR="00D32DF0">
              <w:rPr>
                <w:rStyle w:val="normaltextrun"/>
                <w:rFonts w:cs="Segoe UI"/>
                <w:szCs w:val="20"/>
              </w:rPr>
              <w:t xml:space="preserve"> culturally safe</w:t>
            </w:r>
            <w:r w:rsidRPr="00E745F2">
              <w:rPr>
                <w:rStyle w:val="normaltextrun"/>
                <w:rFonts w:ascii="Cambria" w:hAnsi="Cambria" w:cs="Cambria"/>
                <w:szCs w:val="20"/>
              </w:rPr>
              <w:t> </w:t>
            </w:r>
            <w:r w:rsidRPr="00E745F2">
              <w:rPr>
                <w:rStyle w:val="normaltextrun"/>
                <w:rFonts w:asciiTheme="minorHAnsi" w:hAnsiTheme="minorHAnsi" w:cs="Segoe UI"/>
                <w:szCs w:val="20"/>
              </w:rPr>
              <w:t>and competently delivered.</w:t>
            </w:r>
            <w:r w:rsidRPr="00E745F2">
              <w:rPr>
                <w:rStyle w:val="eop"/>
                <w:rFonts w:ascii="Cambria" w:hAnsi="Cambria" w:cs="Cambria"/>
                <w:szCs w:val="20"/>
              </w:rPr>
              <w:t> </w:t>
            </w:r>
          </w:p>
        </w:tc>
      </w:tr>
      <w:tr w:rsidR="00033E9C" w:rsidRPr="00E745F2" w14:paraId="364AD054" w14:textId="5BF59AEA" w:rsidTr="003B43C8">
        <w:tc>
          <w:tcPr>
            <w:cnfStyle w:val="001000000000" w:firstRow="0" w:lastRow="0" w:firstColumn="1" w:lastColumn="0" w:oddVBand="0" w:evenVBand="0" w:oddHBand="0" w:evenHBand="0" w:firstRowFirstColumn="0" w:firstRowLastColumn="0" w:lastRowFirstColumn="0" w:lastRowLastColumn="0"/>
            <w:tcW w:w="1652" w:type="dxa"/>
          </w:tcPr>
          <w:p w14:paraId="0ACED993" w14:textId="664EC910" w:rsidR="00033E9C" w:rsidRPr="00E745F2" w:rsidRDefault="00033E9C" w:rsidP="00033E9C">
            <w:pPr>
              <w:rPr>
                <w:rFonts w:asciiTheme="minorHAnsi" w:hAnsiTheme="minorHAnsi"/>
                <w:szCs w:val="20"/>
              </w:rPr>
            </w:pPr>
            <w:r w:rsidRPr="00E745F2">
              <w:rPr>
                <w:rStyle w:val="normaltextrun"/>
                <w:rFonts w:asciiTheme="minorHAnsi" w:hAnsiTheme="minorHAnsi" w:cs="Segoe UI"/>
                <w:szCs w:val="20"/>
              </w:rPr>
              <w:t>Efficiency</w:t>
            </w:r>
            <w:r w:rsidRPr="00E745F2">
              <w:rPr>
                <w:rStyle w:val="eop"/>
                <w:rFonts w:ascii="Cambria" w:hAnsi="Cambria" w:cs="Cambria"/>
                <w:szCs w:val="20"/>
              </w:rPr>
              <w:t> </w:t>
            </w:r>
          </w:p>
        </w:tc>
        <w:tc>
          <w:tcPr>
            <w:tcW w:w="2594" w:type="dxa"/>
          </w:tcPr>
          <w:p w14:paraId="414E8559" w14:textId="3CF59BEB" w:rsidR="00352ED4" w:rsidRDefault="00033E9C" w:rsidP="00033E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Segoe UI"/>
                <w:sz w:val="20"/>
                <w:szCs w:val="20"/>
              </w:rPr>
            </w:pPr>
            <w:r w:rsidRPr="00E745F2">
              <w:rPr>
                <w:rStyle w:val="normaltextrun"/>
                <w:rFonts w:asciiTheme="minorHAnsi" w:eastAsiaTheme="majorEastAsia" w:hAnsiTheme="minorHAnsi" w:cs="Segoe UI"/>
                <w:sz w:val="20"/>
                <w:szCs w:val="20"/>
              </w:rPr>
              <w:t>I get directed to a service that can</w:t>
            </w:r>
            <w:r w:rsidR="00A907C2">
              <w:rPr>
                <w:rStyle w:val="normaltextrun"/>
                <w:rFonts w:asciiTheme="minorHAnsi" w:eastAsiaTheme="majorEastAsia" w:hAnsiTheme="minorHAnsi" w:cs="Segoe UI"/>
                <w:sz w:val="20"/>
                <w:szCs w:val="20"/>
              </w:rPr>
              <w:t>:</w:t>
            </w:r>
          </w:p>
          <w:p w14:paraId="5FF5A689" w14:textId="25F2DA35" w:rsidR="00B7344E" w:rsidRPr="00B7344E" w:rsidRDefault="00D22DB2" w:rsidP="00CE174C">
            <w:pPr>
              <w:pStyle w:val="paragraph"/>
              <w:numPr>
                <w:ilvl w:val="0"/>
                <w:numId w:val="39"/>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inorHAnsi" w:hAnsiTheme="minorHAnsi" w:cs="Segoe UI"/>
                <w:kern w:val="2"/>
                <w:sz w:val="20"/>
                <w:szCs w:val="20"/>
                <w:lang w:eastAsia="en-US"/>
                <w14:ligatures w14:val="standardContextual"/>
              </w:rPr>
            </w:pPr>
            <w:r>
              <w:rPr>
                <w:rStyle w:val="normaltextrun"/>
                <w:rFonts w:asciiTheme="minorHAnsi" w:eastAsiaTheme="majorEastAsia" w:hAnsiTheme="minorHAnsi" w:cs="Segoe UI"/>
                <w:sz w:val="20"/>
                <w:szCs w:val="20"/>
              </w:rPr>
              <w:t>h</w:t>
            </w:r>
            <w:r w:rsidR="00033E9C" w:rsidRPr="00E745F2">
              <w:rPr>
                <w:rStyle w:val="normaltextrun"/>
                <w:rFonts w:asciiTheme="minorHAnsi" w:eastAsiaTheme="majorEastAsia" w:hAnsiTheme="minorHAnsi" w:cs="Segoe UI"/>
                <w:sz w:val="20"/>
                <w:szCs w:val="20"/>
              </w:rPr>
              <w:t xml:space="preserve">elp me as quickly as possible without having to </w:t>
            </w:r>
            <w:r w:rsidR="00CE6649">
              <w:rPr>
                <w:rStyle w:val="normaltextrun"/>
                <w:rFonts w:asciiTheme="minorHAnsi" w:eastAsiaTheme="majorEastAsia" w:hAnsiTheme="minorHAnsi" w:cs="Segoe UI"/>
                <w:sz w:val="20"/>
                <w:szCs w:val="20"/>
              </w:rPr>
              <w:t>unnecessarily retell my story</w:t>
            </w:r>
            <w:r w:rsidR="00033E9C" w:rsidRPr="00E745F2">
              <w:rPr>
                <w:rStyle w:val="normaltextrun"/>
                <w:rFonts w:asciiTheme="minorHAnsi" w:eastAsiaTheme="majorEastAsia" w:hAnsiTheme="minorHAnsi" w:cs="Segoe UI"/>
                <w:sz w:val="20"/>
                <w:szCs w:val="20"/>
              </w:rPr>
              <w:t>, and</w:t>
            </w:r>
            <w:r w:rsidR="00033E9C" w:rsidRPr="00E745F2">
              <w:rPr>
                <w:rStyle w:val="eop"/>
                <w:rFonts w:ascii="Cambria" w:eastAsiaTheme="majorEastAsia" w:hAnsi="Cambria" w:cs="Cambria"/>
                <w:sz w:val="20"/>
                <w:szCs w:val="20"/>
              </w:rPr>
              <w:t> </w:t>
            </w:r>
          </w:p>
          <w:p w14:paraId="3C7D8457" w14:textId="6C05915F" w:rsidR="00033E9C" w:rsidRPr="00B7344E" w:rsidRDefault="00033E9C" w:rsidP="00CE174C">
            <w:pPr>
              <w:pStyle w:val="paragraph"/>
              <w:numPr>
                <w:ilvl w:val="0"/>
                <w:numId w:val="39"/>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B7344E">
              <w:rPr>
                <w:rStyle w:val="normaltextrun"/>
                <w:rFonts w:asciiTheme="minorHAnsi" w:eastAsiaTheme="majorEastAsia" w:hAnsiTheme="minorHAnsi" w:cs="Segoe UI"/>
                <w:sz w:val="20"/>
                <w:szCs w:val="20"/>
              </w:rPr>
              <w:t>If I</w:t>
            </w:r>
            <w:r w:rsidRPr="00B7344E">
              <w:rPr>
                <w:rStyle w:val="normaltextrun"/>
                <w:rFonts w:ascii="Cambria" w:eastAsiaTheme="majorEastAsia" w:hAnsi="Cambria" w:cs="Cambria"/>
                <w:sz w:val="20"/>
                <w:szCs w:val="20"/>
              </w:rPr>
              <w:t> </w:t>
            </w:r>
            <w:r w:rsidRPr="00B7344E" w:rsidDel="00C50E96">
              <w:rPr>
                <w:rStyle w:val="normaltextrun"/>
                <w:rFonts w:asciiTheme="minorHAnsi" w:eastAsiaTheme="majorEastAsia" w:hAnsiTheme="minorHAnsi" w:cs="Segoe UI"/>
                <w:sz w:val="20"/>
                <w:szCs w:val="20"/>
              </w:rPr>
              <w:t xml:space="preserve">am </w:t>
            </w:r>
            <w:r w:rsidR="00C50E96">
              <w:rPr>
                <w:rStyle w:val="normaltextrun"/>
                <w:rFonts w:asciiTheme="minorHAnsi" w:eastAsiaTheme="majorEastAsia" w:hAnsiTheme="minorHAnsi" w:cs="Segoe UI"/>
                <w:sz w:val="20"/>
                <w:szCs w:val="20"/>
              </w:rPr>
              <w:t>un</w:t>
            </w:r>
            <w:r w:rsidRPr="00B7344E">
              <w:rPr>
                <w:rStyle w:val="normaltextrun"/>
                <w:rFonts w:asciiTheme="minorHAnsi" w:eastAsiaTheme="majorEastAsia" w:hAnsiTheme="minorHAnsi" w:cs="Segoe UI"/>
                <w:sz w:val="20"/>
                <w:szCs w:val="20"/>
              </w:rPr>
              <w:t>able to</w:t>
            </w:r>
            <w:r w:rsidRPr="00B7344E">
              <w:rPr>
                <w:rStyle w:val="normaltextrun"/>
                <w:rFonts w:ascii="Cambria" w:eastAsiaTheme="majorEastAsia" w:hAnsi="Cambria" w:cs="Cambria"/>
                <w:sz w:val="20"/>
                <w:szCs w:val="20"/>
              </w:rPr>
              <w:t> </w:t>
            </w:r>
            <w:r w:rsidRPr="00B7344E">
              <w:rPr>
                <w:rStyle w:val="normaltextrun"/>
                <w:rFonts w:asciiTheme="minorHAnsi" w:eastAsiaTheme="majorEastAsia" w:hAnsiTheme="minorHAnsi" w:cs="Segoe UI"/>
                <w:sz w:val="20"/>
                <w:szCs w:val="20"/>
              </w:rPr>
              <w:t xml:space="preserve">get help from </w:t>
            </w:r>
            <w:r w:rsidR="00057E28">
              <w:rPr>
                <w:rStyle w:val="normaltextrun"/>
                <w:rFonts w:asciiTheme="minorHAnsi" w:eastAsiaTheme="majorEastAsia" w:hAnsiTheme="minorHAnsi" w:cs="Segoe UI"/>
                <w:sz w:val="20"/>
                <w:szCs w:val="20"/>
              </w:rPr>
              <w:t>RRS</w:t>
            </w:r>
            <w:r w:rsidRPr="00B7344E">
              <w:rPr>
                <w:rStyle w:val="normaltextrun"/>
                <w:rFonts w:asciiTheme="minorHAnsi" w:eastAsiaTheme="majorEastAsia" w:hAnsiTheme="minorHAnsi" w:cs="Segoe UI"/>
                <w:sz w:val="20"/>
                <w:szCs w:val="20"/>
              </w:rPr>
              <w:t>,</w:t>
            </w:r>
            <w:r w:rsidRPr="00B7344E">
              <w:rPr>
                <w:rStyle w:val="normaltextrun"/>
                <w:rFonts w:ascii="Cambria" w:eastAsiaTheme="majorEastAsia" w:hAnsi="Cambria" w:cs="Cambria"/>
                <w:sz w:val="20"/>
                <w:szCs w:val="20"/>
              </w:rPr>
              <w:t> </w:t>
            </w:r>
            <w:r w:rsidRPr="00B7344E">
              <w:rPr>
                <w:rStyle w:val="normaltextrun"/>
                <w:rFonts w:asciiTheme="minorHAnsi" w:eastAsiaTheme="majorEastAsia" w:hAnsiTheme="minorHAnsi" w:cs="Segoe UI"/>
                <w:sz w:val="20"/>
                <w:szCs w:val="20"/>
              </w:rPr>
              <w:t>they will tell me this as soon as possible.</w:t>
            </w:r>
            <w:r w:rsidRPr="00B7344E">
              <w:rPr>
                <w:rStyle w:val="eop"/>
                <w:rFonts w:ascii="Cambria" w:eastAsiaTheme="majorEastAsia" w:hAnsi="Cambria" w:cs="Cambria"/>
                <w:sz w:val="20"/>
                <w:szCs w:val="20"/>
              </w:rPr>
              <w:t> </w:t>
            </w:r>
          </w:p>
        </w:tc>
        <w:tc>
          <w:tcPr>
            <w:tcW w:w="2594" w:type="dxa"/>
          </w:tcPr>
          <w:p w14:paraId="6919DAAC" w14:textId="30C07756" w:rsidR="00033E9C" w:rsidRPr="00A907C2" w:rsidRDefault="0034368A" w:rsidP="00A907C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0"/>
                <w:szCs w:val="20"/>
              </w:rPr>
            </w:pPr>
            <w:r w:rsidRPr="0034368A">
              <w:rPr>
                <w:rFonts w:asciiTheme="minorHAnsi" w:eastAsiaTheme="majorEastAsia" w:hAnsiTheme="minorHAnsi" w:cs="Segoe UI"/>
                <w:sz w:val="20"/>
                <w:szCs w:val="20"/>
              </w:rPr>
              <w:t xml:space="preserve">We </w:t>
            </w:r>
            <w:r w:rsidR="00565969">
              <w:rPr>
                <w:rFonts w:asciiTheme="minorHAnsi" w:eastAsiaTheme="majorEastAsia" w:hAnsiTheme="minorHAnsi" w:cs="Segoe UI"/>
                <w:sz w:val="20"/>
                <w:szCs w:val="20"/>
              </w:rPr>
              <w:t>provide clients with</w:t>
            </w:r>
            <w:r w:rsidRPr="0034368A">
              <w:rPr>
                <w:rFonts w:asciiTheme="minorHAnsi" w:eastAsiaTheme="majorEastAsia" w:hAnsiTheme="minorHAnsi" w:cs="Segoe UI"/>
                <w:sz w:val="20"/>
                <w:szCs w:val="20"/>
              </w:rPr>
              <w:t xml:space="preserve"> the </w:t>
            </w:r>
            <w:r w:rsidR="004F0DA8">
              <w:rPr>
                <w:rFonts w:asciiTheme="minorHAnsi" w:eastAsiaTheme="majorEastAsia" w:hAnsiTheme="minorHAnsi" w:cs="Segoe UI"/>
                <w:sz w:val="20"/>
                <w:szCs w:val="20"/>
              </w:rPr>
              <w:t>least intensive</w:t>
            </w:r>
            <w:r w:rsidRPr="0034368A">
              <w:rPr>
                <w:rFonts w:asciiTheme="minorHAnsi" w:eastAsiaTheme="majorEastAsia" w:hAnsiTheme="minorHAnsi" w:cs="Segoe UI"/>
                <w:sz w:val="20"/>
                <w:szCs w:val="20"/>
              </w:rPr>
              <w:t xml:space="preserve"> service</w:t>
            </w:r>
            <w:r w:rsidR="00254AA2">
              <w:rPr>
                <w:rFonts w:asciiTheme="minorHAnsi" w:eastAsiaTheme="majorEastAsia" w:hAnsiTheme="minorHAnsi" w:cs="Segoe UI"/>
                <w:sz w:val="20"/>
                <w:szCs w:val="20"/>
              </w:rPr>
              <w:t xml:space="preserve"> required</w:t>
            </w:r>
            <w:r w:rsidRPr="0034368A">
              <w:rPr>
                <w:rFonts w:asciiTheme="minorHAnsi" w:eastAsiaTheme="majorEastAsia" w:hAnsiTheme="minorHAnsi" w:cs="Segoe UI"/>
                <w:sz w:val="20"/>
                <w:szCs w:val="20"/>
              </w:rPr>
              <w:t xml:space="preserve"> to meet their needs</w:t>
            </w:r>
            <w:r w:rsidR="007D159C">
              <w:rPr>
                <w:rFonts w:asciiTheme="minorHAnsi" w:eastAsiaTheme="majorEastAsia" w:hAnsiTheme="minorHAnsi" w:cs="Segoe UI"/>
                <w:sz w:val="20"/>
                <w:szCs w:val="20"/>
              </w:rPr>
              <w:t>, so we can meet the needs of as many as possible.</w:t>
            </w:r>
            <w:r>
              <w:rPr>
                <w:rStyle w:val="normaltextrun"/>
                <w:rFonts w:asciiTheme="minorHAnsi" w:eastAsiaTheme="majorEastAsia" w:hAnsiTheme="minorHAnsi" w:cs="Segoe UI"/>
                <w:sz w:val="20"/>
                <w:szCs w:val="20"/>
              </w:rPr>
              <w:br/>
            </w:r>
            <w:r w:rsidR="00033E9C" w:rsidRPr="00A907C2">
              <w:rPr>
                <w:rFonts w:asciiTheme="minorHAnsi" w:eastAsiaTheme="majorEastAsia" w:hAnsiTheme="minorHAnsi"/>
                <w:sz w:val="20"/>
                <w:szCs w:val="20"/>
              </w:rPr>
              <w:t>Our reporting demonstrate</w:t>
            </w:r>
            <w:r w:rsidR="00D60E7D" w:rsidRPr="00A907C2">
              <w:rPr>
                <w:rFonts w:asciiTheme="minorHAnsi" w:eastAsiaTheme="majorEastAsia" w:hAnsiTheme="minorHAnsi"/>
                <w:sz w:val="20"/>
                <w:szCs w:val="20"/>
              </w:rPr>
              <w:t>s</w:t>
            </w:r>
            <w:r w:rsidR="00033E9C" w:rsidRPr="00A907C2">
              <w:rPr>
                <w:rFonts w:ascii="Cambria" w:eastAsiaTheme="majorEastAsia" w:hAnsi="Cambria" w:cs="Cambria"/>
                <w:sz w:val="20"/>
                <w:szCs w:val="20"/>
              </w:rPr>
              <w:t> </w:t>
            </w:r>
            <w:r w:rsidR="00033E9C" w:rsidRPr="00A907C2">
              <w:rPr>
                <w:rFonts w:asciiTheme="minorHAnsi" w:eastAsiaTheme="majorEastAsia" w:hAnsiTheme="minorHAnsi"/>
                <w:sz w:val="20"/>
                <w:szCs w:val="20"/>
              </w:rPr>
              <w:t>accountability</w:t>
            </w:r>
            <w:r w:rsidR="00160B10" w:rsidRPr="00A907C2">
              <w:rPr>
                <w:rFonts w:asciiTheme="minorHAnsi" w:eastAsiaTheme="majorEastAsia" w:hAnsiTheme="minorHAnsi"/>
                <w:sz w:val="20"/>
                <w:szCs w:val="20"/>
              </w:rPr>
              <w:t xml:space="preserve"> </w:t>
            </w:r>
            <w:r w:rsidR="00160B10" w:rsidRPr="00A907C2">
              <w:rPr>
                <w:rFonts w:asciiTheme="minorHAnsi" w:eastAsiaTheme="majorEastAsia" w:hAnsiTheme="minorHAnsi" w:cs="Segoe UI"/>
                <w:sz w:val="20"/>
                <w:szCs w:val="20"/>
              </w:rPr>
              <w:t>for</w:t>
            </w:r>
            <w:r w:rsidR="00F90120" w:rsidRPr="00A907C2">
              <w:rPr>
                <w:rFonts w:asciiTheme="minorHAnsi" w:eastAsiaTheme="majorEastAsia" w:hAnsiTheme="minorHAnsi" w:cs="Segoe UI"/>
                <w:sz w:val="20"/>
                <w:szCs w:val="20"/>
              </w:rPr>
              <w:t xml:space="preserve"> our service</w:t>
            </w:r>
            <w:r w:rsidR="00DB0A76" w:rsidRPr="00A907C2">
              <w:rPr>
                <w:rFonts w:asciiTheme="minorHAnsi" w:eastAsiaTheme="majorEastAsia" w:hAnsiTheme="minorHAnsi" w:cs="Segoe UI"/>
                <w:sz w:val="20"/>
                <w:szCs w:val="20"/>
              </w:rPr>
              <w:t xml:space="preserve"> delivery</w:t>
            </w:r>
            <w:r w:rsidR="00BC1FB9" w:rsidRPr="00A907C2">
              <w:rPr>
                <w:rFonts w:asciiTheme="minorHAnsi" w:eastAsiaTheme="majorEastAsia" w:hAnsiTheme="minorHAnsi" w:cs="Segoe UI"/>
                <w:sz w:val="20"/>
                <w:szCs w:val="20"/>
              </w:rPr>
              <w:t xml:space="preserve"> and </w:t>
            </w:r>
            <w:r w:rsidR="006A316D" w:rsidRPr="00A907C2">
              <w:rPr>
                <w:rFonts w:asciiTheme="minorHAnsi" w:eastAsiaTheme="majorEastAsia" w:hAnsiTheme="minorHAnsi" w:cs="Segoe UI"/>
                <w:sz w:val="20"/>
                <w:szCs w:val="20"/>
              </w:rPr>
              <w:t>the way we</w:t>
            </w:r>
            <w:r w:rsidR="00BC1FB9" w:rsidRPr="00A907C2">
              <w:rPr>
                <w:rFonts w:asciiTheme="minorHAnsi" w:eastAsiaTheme="majorEastAsia" w:hAnsiTheme="minorHAnsi" w:cs="Segoe UI"/>
                <w:sz w:val="20"/>
                <w:szCs w:val="20"/>
              </w:rPr>
              <w:t xml:space="preserve"> use public funding</w:t>
            </w:r>
            <w:r w:rsidR="00DB0A76" w:rsidRPr="00A907C2">
              <w:rPr>
                <w:rFonts w:asciiTheme="minorHAnsi" w:eastAsiaTheme="majorEastAsia" w:hAnsiTheme="minorHAnsi" w:cs="Segoe UI"/>
                <w:sz w:val="20"/>
                <w:szCs w:val="20"/>
              </w:rPr>
              <w:t>.</w:t>
            </w:r>
            <w:r w:rsidR="00033E9C" w:rsidRPr="00A907C2">
              <w:rPr>
                <w:rFonts w:eastAsiaTheme="majorEastAsia"/>
                <w:sz w:val="20"/>
              </w:rPr>
              <w:t xml:space="preserve"> </w:t>
            </w:r>
          </w:p>
        </w:tc>
        <w:tc>
          <w:tcPr>
            <w:tcW w:w="2595" w:type="dxa"/>
          </w:tcPr>
          <w:p w14:paraId="7844EC6E" w14:textId="1EED8384" w:rsidR="00033E9C" w:rsidRPr="00E745F2" w:rsidRDefault="00033E9C" w:rsidP="00033E9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t>We are confident that the funding we provide is used efficiently</w:t>
            </w:r>
            <w:r w:rsidR="00451073">
              <w:rPr>
                <w:rStyle w:val="normaltextrun"/>
                <w:rFonts w:asciiTheme="minorHAnsi" w:hAnsiTheme="minorHAnsi" w:cs="Segoe UI"/>
                <w:szCs w:val="20"/>
              </w:rPr>
              <w:t>.</w:t>
            </w:r>
            <w:r w:rsidRPr="00E745F2">
              <w:rPr>
                <w:rStyle w:val="eop"/>
                <w:rFonts w:ascii="Cambria" w:hAnsi="Cambria" w:cs="Cambria"/>
                <w:szCs w:val="20"/>
              </w:rPr>
              <w:t> </w:t>
            </w:r>
          </w:p>
        </w:tc>
      </w:tr>
      <w:tr w:rsidR="00033E9C" w:rsidRPr="00E745F2" w14:paraId="0F98BDB8" w14:textId="5CF0FDC1" w:rsidTr="003B4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tcPr>
          <w:p w14:paraId="6F26EE5F" w14:textId="3B06830E" w:rsidR="00033E9C" w:rsidRPr="00E745F2" w:rsidRDefault="00033E9C" w:rsidP="00033E9C">
            <w:pPr>
              <w:rPr>
                <w:rFonts w:asciiTheme="minorHAnsi" w:hAnsiTheme="minorHAnsi"/>
                <w:szCs w:val="20"/>
              </w:rPr>
            </w:pPr>
            <w:r w:rsidRPr="00E745F2">
              <w:rPr>
                <w:rStyle w:val="normaltextrun"/>
                <w:rFonts w:asciiTheme="minorHAnsi" w:hAnsiTheme="minorHAnsi" w:cs="Segoe UI"/>
                <w:szCs w:val="20"/>
              </w:rPr>
              <w:t>Empowerment</w:t>
            </w:r>
            <w:r w:rsidRPr="00E745F2">
              <w:rPr>
                <w:rStyle w:val="eop"/>
                <w:rFonts w:ascii="Cambria" w:hAnsi="Cambria" w:cs="Cambria"/>
                <w:szCs w:val="20"/>
              </w:rPr>
              <w:t> </w:t>
            </w:r>
          </w:p>
        </w:tc>
        <w:tc>
          <w:tcPr>
            <w:tcW w:w="2594" w:type="dxa"/>
          </w:tcPr>
          <w:p w14:paraId="0BA037CC" w14:textId="77777777" w:rsidR="00033E9C" w:rsidRPr="00E745F2" w:rsidRDefault="00033E9C" w:rsidP="00033E9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t>I will be supported to play whatever role I can to solve my own problems.</w:t>
            </w:r>
            <w:r w:rsidRPr="00E745F2">
              <w:rPr>
                <w:rStyle w:val="eop"/>
                <w:rFonts w:ascii="Cambria" w:eastAsiaTheme="majorEastAsia" w:hAnsi="Cambria" w:cs="Cambria"/>
                <w:sz w:val="20"/>
                <w:szCs w:val="20"/>
              </w:rPr>
              <w:t> </w:t>
            </w:r>
          </w:p>
          <w:p w14:paraId="439393C5" w14:textId="55436B16" w:rsidR="00033E9C" w:rsidRPr="00E745F2" w:rsidRDefault="00033E9C" w:rsidP="00033E9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lastRenderedPageBreak/>
              <w:t xml:space="preserve">I will be better able to deal with </w:t>
            </w:r>
            <w:r w:rsidR="00455E7F" w:rsidRPr="00293638">
              <w:rPr>
                <w:rStyle w:val="normaltextrun"/>
                <w:rFonts w:asciiTheme="minorHAnsi" w:hAnsiTheme="minorHAnsi" w:cs="Segoe UI"/>
                <w:szCs w:val="20"/>
              </w:rPr>
              <w:t>renting</w:t>
            </w:r>
            <w:r w:rsidR="00455E7F">
              <w:rPr>
                <w:rStyle w:val="normaltextrun"/>
                <w:rFonts w:asciiTheme="minorHAnsi" w:hAnsiTheme="minorHAnsi" w:cs="Segoe UI"/>
                <w:szCs w:val="20"/>
              </w:rPr>
              <w:t xml:space="preserve"> issues</w:t>
            </w:r>
            <w:r w:rsidRPr="00E745F2">
              <w:rPr>
                <w:rStyle w:val="normaltextrun"/>
                <w:rFonts w:asciiTheme="minorHAnsi" w:hAnsiTheme="minorHAnsi" w:cs="Segoe UI"/>
                <w:szCs w:val="20"/>
              </w:rPr>
              <w:t xml:space="preserve"> if they arise again.</w:t>
            </w:r>
            <w:r w:rsidRPr="00E745F2">
              <w:rPr>
                <w:rStyle w:val="eop"/>
                <w:rFonts w:ascii="Cambria" w:hAnsi="Cambria" w:cs="Cambria"/>
                <w:szCs w:val="20"/>
              </w:rPr>
              <w:t> </w:t>
            </w:r>
          </w:p>
        </w:tc>
        <w:tc>
          <w:tcPr>
            <w:tcW w:w="2594" w:type="dxa"/>
          </w:tcPr>
          <w:p w14:paraId="5B7949E4" w14:textId="77777777" w:rsidR="00033E9C" w:rsidRPr="00E745F2" w:rsidRDefault="00033E9C" w:rsidP="00033E9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lastRenderedPageBreak/>
              <w:t>We can work in a way that suits our context and fits with other services our organisation delivers.</w:t>
            </w:r>
            <w:r w:rsidRPr="00E745F2">
              <w:rPr>
                <w:rStyle w:val="eop"/>
                <w:rFonts w:ascii="Cambria" w:eastAsiaTheme="majorEastAsia" w:hAnsi="Cambria" w:cs="Cambria"/>
                <w:sz w:val="20"/>
                <w:szCs w:val="20"/>
              </w:rPr>
              <w:t> </w:t>
            </w:r>
          </w:p>
          <w:p w14:paraId="5378F363" w14:textId="57149DAC" w:rsidR="00033E9C" w:rsidRPr="00E745F2" w:rsidRDefault="00033E9C" w:rsidP="00033E9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lastRenderedPageBreak/>
              <w:t>We are supported to trial innovative ways of delivering services to address broader systemic problems.</w:t>
            </w:r>
            <w:r w:rsidRPr="00E745F2">
              <w:rPr>
                <w:rStyle w:val="eop"/>
                <w:rFonts w:ascii="Cambria" w:hAnsi="Cambria" w:cs="Cambria"/>
                <w:szCs w:val="20"/>
              </w:rPr>
              <w:t> </w:t>
            </w:r>
          </w:p>
        </w:tc>
        <w:tc>
          <w:tcPr>
            <w:tcW w:w="2595" w:type="dxa"/>
          </w:tcPr>
          <w:p w14:paraId="2443BB64" w14:textId="4CF1B443" w:rsidR="00033E9C" w:rsidRPr="00E745F2" w:rsidRDefault="00033E9C" w:rsidP="00033E9C">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745F2">
              <w:rPr>
                <w:rStyle w:val="normaltextrun"/>
                <w:rFonts w:asciiTheme="minorHAnsi" w:hAnsiTheme="minorHAnsi" w:cs="Segoe UI"/>
                <w:szCs w:val="20"/>
              </w:rPr>
              <w:lastRenderedPageBreak/>
              <w:t>We are confident that funded organisations provide improved outcomes for clients and the community.</w:t>
            </w:r>
            <w:r w:rsidRPr="00E745F2">
              <w:rPr>
                <w:rStyle w:val="eop"/>
                <w:rFonts w:ascii="Cambria" w:hAnsi="Cambria" w:cs="Cambria"/>
                <w:szCs w:val="20"/>
              </w:rPr>
              <w:t> </w:t>
            </w:r>
          </w:p>
        </w:tc>
      </w:tr>
      <w:tr w:rsidR="00EC718E" w:rsidRPr="00E745F2" w14:paraId="605D86A1" w14:textId="77777777" w:rsidTr="003B43C8">
        <w:tc>
          <w:tcPr>
            <w:cnfStyle w:val="001000000000" w:firstRow="0" w:lastRow="0" w:firstColumn="1" w:lastColumn="0" w:oddVBand="0" w:evenVBand="0" w:oddHBand="0" w:evenHBand="0" w:firstRowFirstColumn="0" w:firstRowLastColumn="0" w:lastRowFirstColumn="0" w:lastRowLastColumn="0"/>
            <w:tcW w:w="1652" w:type="dxa"/>
          </w:tcPr>
          <w:p w14:paraId="4EEDE083" w14:textId="63444CC7" w:rsidR="00EC718E" w:rsidRPr="00E745F2" w:rsidRDefault="00EC718E" w:rsidP="00033E9C">
            <w:pPr>
              <w:rPr>
                <w:rStyle w:val="normaltextrun"/>
                <w:rFonts w:asciiTheme="minorHAnsi" w:hAnsiTheme="minorHAnsi" w:cs="Segoe UI"/>
                <w:szCs w:val="20"/>
              </w:rPr>
            </w:pPr>
            <w:r>
              <w:rPr>
                <w:rStyle w:val="normaltextrun"/>
                <w:rFonts w:asciiTheme="minorHAnsi" w:hAnsiTheme="minorHAnsi" w:cs="Segoe UI"/>
                <w:szCs w:val="20"/>
              </w:rPr>
              <w:t>Integration</w:t>
            </w:r>
          </w:p>
        </w:tc>
        <w:tc>
          <w:tcPr>
            <w:tcW w:w="2594" w:type="dxa"/>
          </w:tcPr>
          <w:p w14:paraId="16CAD630" w14:textId="4BE28D5E" w:rsidR="00EC718E" w:rsidRPr="00E745F2" w:rsidRDefault="0049715F" w:rsidP="00033E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Segoe UI"/>
                <w:sz w:val="20"/>
                <w:szCs w:val="20"/>
              </w:rPr>
            </w:pPr>
            <w:r>
              <w:rPr>
                <w:rStyle w:val="normaltextrun"/>
                <w:rFonts w:asciiTheme="minorHAnsi" w:eastAsiaTheme="majorEastAsia" w:hAnsiTheme="minorHAnsi" w:cs="Segoe UI"/>
                <w:sz w:val="20"/>
                <w:szCs w:val="20"/>
              </w:rPr>
              <w:t xml:space="preserve">I </w:t>
            </w:r>
            <w:r w:rsidR="00FB21E5">
              <w:rPr>
                <w:rStyle w:val="normaltextrun"/>
                <w:rFonts w:asciiTheme="minorHAnsi" w:eastAsiaTheme="majorEastAsia" w:hAnsiTheme="minorHAnsi" w:cs="Segoe UI"/>
                <w:sz w:val="20"/>
                <w:szCs w:val="20"/>
              </w:rPr>
              <w:t xml:space="preserve">will be </w:t>
            </w:r>
            <w:r w:rsidR="00C0335B">
              <w:rPr>
                <w:rStyle w:val="normaltextrun"/>
                <w:rFonts w:asciiTheme="minorHAnsi" w:eastAsiaTheme="majorEastAsia" w:hAnsiTheme="minorHAnsi" w:cs="Segoe UI"/>
                <w:sz w:val="20"/>
                <w:szCs w:val="20"/>
              </w:rPr>
              <w:t>supported to work with</w:t>
            </w:r>
            <w:r w:rsidR="00FB21E5">
              <w:rPr>
                <w:rStyle w:val="normaltextrun"/>
                <w:rFonts w:asciiTheme="minorHAnsi" w:eastAsiaTheme="majorEastAsia" w:hAnsiTheme="minorHAnsi" w:cs="Segoe UI"/>
                <w:sz w:val="20"/>
                <w:szCs w:val="20"/>
              </w:rPr>
              <w:t xml:space="preserve"> other services </w:t>
            </w:r>
            <w:r w:rsidR="00B07CC8">
              <w:rPr>
                <w:rStyle w:val="normaltextrun"/>
                <w:rFonts w:asciiTheme="minorHAnsi" w:eastAsiaTheme="majorEastAsia" w:hAnsiTheme="minorHAnsi" w:cs="Segoe UI"/>
                <w:sz w:val="20"/>
                <w:szCs w:val="20"/>
              </w:rPr>
              <w:t xml:space="preserve">and programs </w:t>
            </w:r>
            <w:r w:rsidR="00FB21E5">
              <w:rPr>
                <w:rStyle w:val="normaltextrun"/>
                <w:rFonts w:asciiTheme="minorHAnsi" w:eastAsiaTheme="majorEastAsia" w:hAnsiTheme="minorHAnsi" w:cs="Segoe UI"/>
                <w:sz w:val="20"/>
                <w:szCs w:val="20"/>
              </w:rPr>
              <w:t xml:space="preserve">which </w:t>
            </w:r>
            <w:r w:rsidR="003441CA">
              <w:rPr>
                <w:rStyle w:val="normaltextrun"/>
                <w:rFonts w:asciiTheme="minorHAnsi" w:eastAsiaTheme="majorEastAsia" w:hAnsiTheme="minorHAnsi" w:cs="Segoe UI"/>
                <w:sz w:val="20"/>
                <w:szCs w:val="20"/>
              </w:rPr>
              <w:t xml:space="preserve">can </w:t>
            </w:r>
            <w:r w:rsidR="00D46239">
              <w:rPr>
                <w:rStyle w:val="normaltextrun"/>
                <w:rFonts w:asciiTheme="minorHAnsi" w:eastAsiaTheme="majorEastAsia" w:hAnsiTheme="minorHAnsi" w:cs="Segoe UI"/>
                <w:sz w:val="20"/>
                <w:szCs w:val="20"/>
              </w:rPr>
              <w:t>benefit me and I am eligible for.</w:t>
            </w:r>
          </w:p>
        </w:tc>
        <w:tc>
          <w:tcPr>
            <w:tcW w:w="2594" w:type="dxa"/>
          </w:tcPr>
          <w:p w14:paraId="7E87A5AF" w14:textId="20FD93A0" w:rsidR="00EC718E" w:rsidRPr="00E745F2" w:rsidRDefault="00C63F16" w:rsidP="00033E9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Segoe UI"/>
                <w:sz w:val="20"/>
                <w:szCs w:val="20"/>
              </w:rPr>
            </w:pPr>
            <w:r>
              <w:rPr>
                <w:rStyle w:val="normaltextrun"/>
                <w:rFonts w:asciiTheme="minorHAnsi" w:eastAsiaTheme="majorEastAsia" w:hAnsiTheme="minorHAnsi" w:cs="Segoe UI"/>
                <w:sz w:val="20"/>
                <w:szCs w:val="20"/>
              </w:rPr>
              <w:t xml:space="preserve">We </w:t>
            </w:r>
            <w:r w:rsidR="00D716C3">
              <w:rPr>
                <w:rStyle w:val="normaltextrun"/>
                <w:rFonts w:asciiTheme="minorHAnsi" w:eastAsiaTheme="majorEastAsia" w:hAnsiTheme="minorHAnsi" w:cs="Segoe UI"/>
                <w:sz w:val="20"/>
                <w:szCs w:val="20"/>
              </w:rPr>
              <w:t xml:space="preserve">provide clients with an integrated </w:t>
            </w:r>
            <w:r w:rsidR="00B44E9C">
              <w:rPr>
                <w:rStyle w:val="normaltextrun"/>
                <w:rFonts w:asciiTheme="minorHAnsi" w:eastAsiaTheme="majorEastAsia" w:hAnsiTheme="minorHAnsi" w:cs="Segoe UI"/>
                <w:sz w:val="20"/>
                <w:szCs w:val="20"/>
              </w:rPr>
              <w:t xml:space="preserve">service model </w:t>
            </w:r>
            <w:r w:rsidR="00B41019">
              <w:rPr>
                <w:rStyle w:val="normaltextrun"/>
                <w:rFonts w:asciiTheme="minorHAnsi" w:eastAsiaTheme="majorEastAsia" w:hAnsiTheme="minorHAnsi" w:cs="Segoe UI"/>
                <w:sz w:val="20"/>
                <w:szCs w:val="20"/>
              </w:rPr>
              <w:t>with other support services, including linkages to other organisations and complementary programs.</w:t>
            </w:r>
          </w:p>
        </w:tc>
        <w:tc>
          <w:tcPr>
            <w:tcW w:w="2595" w:type="dxa"/>
          </w:tcPr>
          <w:p w14:paraId="34EC17E5" w14:textId="2BF772E9" w:rsidR="00EC718E" w:rsidRPr="00E745F2" w:rsidRDefault="00B20BE2" w:rsidP="00033E9C">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Segoe UI"/>
                <w:szCs w:val="20"/>
              </w:rPr>
            </w:pPr>
            <w:r>
              <w:rPr>
                <w:rStyle w:val="normaltextrun"/>
                <w:rFonts w:asciiTheme="minorHAnsi" w:hAnsiTheme="minorHAnsi" w:cs="Segoe UI"/>
                <w:szCs w:val="20"/>
              </w:rPr>
              <w:t>We are confident th</w:t>
            </w:r>
            <w:r w:rsidR="0079597C">
              <w:rPr>
                <w:rStyle w:val="normaltextrun"/>
                <w:rFonts w:asciiTheme="minorHAnsi" w:hAnsiTheme="minorHAnsi" w:cs="Segoe UI"/>
                <w:szCs w:val="20"/>
              </w:rPr>
              <w:t>at</w:t>
            </w:r>
            <w:r>
              <w:rPr>
                <w:rStyle w:val="normaltextrun"/>
                <w:rFonts w:asciiTheme="minorHAnsi" w:hAnsiTheme="minorHAnsi" w:cs="Segoe UI"/>
                <w:szCs w:val="20"/>
              </w:rPr>
              <w:t xml:space="preserve"> </w:t>
            </w:r>
            <w:r w:rsidR="00BA7B57">
              <w:rPr>
                <w:rStyle w:val="normaltextrun"/>
                <w:rFonts w:asciiTheme="minorHAnsi" w:hAnsiTheme="minorHAnsi" w:cs="Segoe UI"/>
                <w:szCs w:val="20"/>
              </w:rPr>
              <w:t>funded organisations have connections, partnerships and capacity to integrate with other support services</w:t>
            </w:r>
            <w:r w:rsidR="00B07CC8">
              <w:rPr>
                <w:rStyle w:val="normaltextrun"/>
                <w:rFonts w:asciiTheme="minorHAnsi" w:hAnsiTheme="minorHAnsi" w:cs="Segoe UI"/>
                <w:szCs w:val="20"/>
              </w:rPr>
              <w:t xml:space="preserve"> and programs</w:t>
            </w:r>
            <w:r w:rsidR="00BA7B57">
              <w:rPr>
                <w:rStyle w:val="normaltextrun"/>
                <w:rFonts w:asciiTheme="minorHAnsi" w:hAnsiTheme="minorHAnsi" w:cs="Segoe UI"/>
                <w:szCs w:val="20"/>
              </w:rPr>
              <w:t>.</w:t>
            </w:r>
          </w:p>
        </w:tc>
      </w:tr>
    </w:tbl>
    <w:p w14:paraId="1E11AE35" w14:textId="4BCE4FCA" w:rsidR="00497227" w:rsidRDefault="00497227" w:rsidP="00515944">
      <w:pPr>
        <w:pStyle w:val="Heading1"/>
        <w:rPr>
          <w:rFonts w:eastAsiaTheme="minorHAnsi" w:cstheme="minorBidi"/>
          <w:b w:val="0"/>
          <w:bCs w:val="0"/>
          <w:color w:val="auto"/>
          <w:sz w:val="20"/>
          <w:szCs w:val="21"/>
        </w:rPr>
        <w:sectPr w:rsidR="00497227" w:rsidSect="00BB3140">
          <w:type w:val="continuous"/>
          <w:pgSz w:w="11906" w:h="16838"/>
          <w:pgMar w:top="1366" w:right="1440" w:bottom="1440" w:left="1440" w:header="794" w:footer="709" w:gutter="0"/>
          <w:cols w:space="708"/>
          <w:docGrid w:linePitch="360"/>
        </w:sectPr>
      </w:pPr>
    </w:p>
    <w:p w14:paraId="463F3B0C" w14:textId="0438A365" w:rsidR="006B178A" w:rsidRDefault="00D159D2" w:rsidP="00515944">
      <w:pPr>
        <w:pStyle w:val="Heading1"/>
      </w:pPr>
      <w:r>
        <w:rPr>
          <w:rFonts w:eastAsiaTheme="minorHAnsi" w:cstheme="minorBidi"/>
          <w:b w:val="0"/>
          <w:bCs w:val="0"/>
          <w:color w:val="auto"/>
          <w:sz w:val="20"/>
          <w:szCs w:val="21"/>
        </w:rPr>
        <w:br w:type="column"/>
      </w:r>
      <w:r w:rsidR="006B178A">
        <w:br w:type="column"/>
      </w:r>
      <w:bookmarkStart w:id="11" w:name="_Toc218781389"/>
      <w:bookmarkStart w:id="12" w:name="_Toc219978475"/>
      <w:r w:rsidR="006B178A">
        <w:lastRenderedPageBreak/>
        <w:t xml:space="preserve">3. </w:t>
      </w:r>
      <w:bookmarkEnd w:id="11"/>
      <w:r>
        <w:t>Client eligibility and prioritisation</w:t>
      </w:r>
      <w:bookmarkEnd w:id="12"/>
    </w:p>
    <w:p w14:paraId="113BC337" w14:textId="10D97DF8" w:rsidR="009004B0" w:rsidRPr="00293638" w:rsidRDefault="009004B0" w:rsidP="009004B0">
      <w:pPr>
        <w:pStyle w:val="BodyText"/>
        <w:spacing w:before="120" w:line="228" w:lineRule="auto"/>
        <w:ind w:left="113"/>
        <w:rPr>
          <w:sz w:val="20"/>
          <w:szCs w:val="20"/>
          <w:lang w:val="en-AU"/>
        </w:rPr>
      </w:pPr>
      <w:r w:rsidRPr="00293638">
        <w:rPr>
          <w:color w:val="231F20"/>
          <w:sz w:val="20"/>
          <w:szCs w:val="20"/>
          <w:lang w:val="en-AU"/>
        </w:rPr>
        <w:t xml:space="preserve">RRS services assist Victorians who have a rental agreement under the </w:t>
      </w:r>
      <w:r w:rsidRPr="00293638">
        <w:rPr>
          <w:i/>
          <w:color w:val="231F20"/>
          <w:sz w:val="20"/>
          <w:szCs w:val="20"/>
          <w:lang w:val="en-AU"/>
        </w:rPr>
        <w:t>Residential Tenancies Act 1997</w:t>
      </w:r>
      <w:r w:rsidR="00316CC7">
        <w:rPr>
          <w:i/>
          <w:color w:val="231F20"/>
          <w:sz w:val="20"/>
          <w:szCs w:val="20"/>
          <w:lang w:val="en-AU"/>
        </w:rPr>
        <w:t xml:space="preserve"> </w:t>
      </w:r>
      <w:r w:rsidR="00316CC7">
        <w:rPr>
          <w:iCs/>
          <w:color w:val="231F20"/>
          <w:sz w:val="20"/>
          <w:szCs w:val="20"/>
          <w:lang w:val="en-AU"/>
        </w:rPr>
        <w:t>(RTA)</w:t>
      </w:r>
      <w:r w:rsidRPr="00293638">
        <w:rPr>
          <w:color w:val="231F20"/>
          <w:sz w:val="20"/>
          <w:szCs w:val="20"/>
          <w:lang w:val="en-AU"/>
        </w:rPr>
        <w:t>.</w:t>
      </w:r>
      <w:r w:rsidRPr="00293638">
        <w:rPr>
          <w:color w:val="231F20"/>
          <w:w w:val="85"/>
          <w:sz w:val="20"/>
          <w:szCs w:val="20"/>
          <w:lang w:val="en-AU"/>
        </w:rPr>
        <w:t xml:space="preserve"> </w:t>
      </w:r>
      <w:r w:rsidRPr="00293638">
        <w:rPr>
          <w:color w:val="231F20"/>
          <w:sz w:val="20"/>
          <w:szCs w:val="20"/>
          <w:lang w:val="en-AU"/>
        </w:rPr>
        <w:t>The term ‘renter’ refers to:</w:t>
      </w:r>
    </w:p>
    <w:p w14:paraId="3CBCD498" w14:textId="77777777" w:rsidR="009004B0" w:rsidRPr="00293638" w:rsidRDefault="009004B0" w:rsidP="009004B0">
      <w:pPr>
        <w:pStyle w:val="ListParagraph"/>
        <w:widowControl w:val="0"/>
        <w:numPr>
          <w:ilvl w:val="0"/>
          <w:numId w:val="27"/>
        </w:numPr>
        <w:tabs>
          <w:tab w:val="left" w:pos="341"/>
        </w:tabs>
        <w:autoSpaceDE w:val="0"/>
        <w:autoSpaceDN w:val="0"/>
        <w:spacing w:before="128" w:after="0" w:line="240" w:lineRule="auto"/>
        <w:contextualSpacing w:val="0"/>
        <w:rPr>
          <w:szCs w:val="20"/>
        </w:rPr>
      </w:pPr>
      <w:r w:rsidRPr="00293638">
        <w:rPr>
          <w:color w:val="231F20"/>
          <w:szCs w:val="20"/>
        </w:rPr>
        <w:t>renters with private rental</w:t>
      </w:r>
      <w:r w:rsidRPr="00293638">
        <w:rPr>
          <w:color w:val="231F20"/>
          <w:spacing w:val="-21"/>
          <w:szCs w:val="20"/>
        </w:rPr>
        <w:t xml:space="preserve"> </w:t>
      </w:r>
      <w:r w:rsidRPr="00293638">
        <w:rPr>
          <w:color w:val="231F20"/>
          <w:szCs w:val="20"/>
        </w:rPr>
        <w:t>agreements</w:t>
      </w:r>
    </w:p>
    <w:p w14:paraId="3334AD3A" w14:textId="77777777" w:rsidR="009004B0" w:rsidRPr="00293638" w:rsidRDefault="009004B0" w:rsidP="009004B0">
      <w:pPr>
        <w:pStyle w:val="ListParagraph"/>
        <w:widowControl w:val="0"/>
        <w:numPr>
          <w:ilvl w:val="0"/>
          <w:numId w:val="27"/>
        </w:numPr>
        <w:tabs>
          <w:tab w:val="left" w:pos="341"/>
        </w:tabs>
        <w:autoSpaceDE w:val="0"/>
        <w:autoSpaceDN w:val="0"/>
        <w:spacing w:before="28" w:after="0" w:line="240" w:lineRule="auto"/>
        <w:contextualSpacing w:val="0"/>
        <w:rPr>
          <w:szCs w:val="20"/>
        </w:rPr>
      </w:pPr>
      <w:r w:rsidRPr="00293638">
        <w:rPr>
          <w:color w:val="231F20"/>
          <w:szCs w:val="20"/>
        </w:rPr>
        <w:t>rooming house</w:t>
      </w:r>
      <w:r w:rsidRPr="00293638">
        <w:rPr>
          <w:color w:val="231F20"/>
          <w:spacing w:val="-8"/>
          <w:szCs w:val="20"/>
        </w:rPr>
        <w:t xml:space="preserve"> </w:t>
      </w:r>
      <w:r w:rsidRPr="00293638">
        <w:rPr>
          <w:color w:val="231F20"/>
          <w:szCs w:val="20"/>
        </w:rPr>
        <w:t>residents</w:t>
      </w:r>
    </w:p>
    <w:p w14:paraId="06E65407" w14:textId="5C9057BB" w:rsidR="009004B0" w:rsidRPr="00293638" w:rsidRDefault="009004B0" w:rsidP="009004B0">
      <w:pPr>
        <w:pStyle w:val="ListParagraph"/>
        <w:widowControl w:val="0"/>
        <w:numPr>
          <w:ilvl w:val="0"/>
          <w:numId w:val="27"/>
        </w:numPr>
        <w:tabs>
          <w:tab w:val="left" w:pos="341"/>
        </w:tabs>
        <w:autoSpaceDE w:val="0"/>
        <w:autoSpaceDN w:val="0"/>
        <w:spacing w:before="28" w:after="0" w:line="240" w:lineRule="auto"/>
        <w:contextualSpacing w:val="0"/>
        <w:rPr>
          <w:szCs w:val="20"/>
        </w:rPr>
      </w:pPr>
      <w:r w:rsidRPr="00293638">
        <w:rPr>
          <w:color w:val="231F20"/>
          <w:szCs w:val="20"/>
        </w:rPr>
        <w:t>residential</w:t>
      </w:r>
      <w:r w:rsidRPr="00293638">
        <w:rPr>
          <w:color w:val="231F20"/>
          <w:spacing w:val="-7"/>
          <w:szCs w:val="20"/>
        </w:rPr>
        <w:t xml:space="preserve"> </w:t>
      </w:r>
      <w:r w:rsidRPr="00293638">
        <w:rPr>
          <w:color w:val="231F20"/>
          <w:szCs w:val="20"/>
        </w:rPr>
        <w:t>and</w:t>
      </w:r>
      <w:r w:rsidRPr="00293638">
        <w:rPr>
          <w:color w:val="231F20"/>
          <w:spacing w:val="-7"/>
          <w:szCs w:val="20"/>
        </w:rPr>
        <w:t xml:space="preserve"> </w:t>
      </w:r>
      <w:r w:rsidRPr="00293638">
        <w:rPr>
          <w:color w:val="231F20"/>
          <w:szCs w:val="20"/>
        </w:rPr>
        <w:t>caravan</w:t>
      </w:r>
      <w:r w:rsidRPr="00293638">
        <w:rPr>
          <w:color w:val="231F20"/>
          <w:spacing w:val="-7"/>
          <w:szCs w:val="20"/>
        </w:rPr>
        <w:t xml:space="preserve"> </w:t>
      </w:r>
      <w:r w:rsidRPr="00293638">
        <w:rPr>
          <w:color w:val="231F20"/>
          <w:szCs w:val="20"/>
        </w:rPr>
        <w:t>park</w:t>
      </w:r>
      <w:r w:rsidRPr="00293638">
        <w:rPr>
          <w:color w:val="231F20"/>
          <w:spacing w:val="-7"/>
          <w:szCs w:val="20"/>
        </w:rPr>
        <w:t xml:space="preserve"> </w:t>
      </w:r>
      <w:r w:rsidRPr="00293638">
        <w:rPr>
          <w:color w:val="231F20"/>
          <w:szCs w:val="20"/>
        </w:rPr>
        <w:t>residents</w:t>
      </w:r>
      <w:r w:rsidRPr="00293638">
        <w:rPr>
          <w:color w:val="231F20"/>
          <w:spacing w:val="-33"/>
          <w:szCs w:val="20"/>
        </w:rPr>
        <w:t>.</w:t>
      </w:r>
    </w:p>
    <w:p w14:paraId="4D324EBC" w14:textId="77777777" w:rsidR="009004B0" w:rsidRPr="00FF0361" w:rsidRDefault="009004B0" w:rsidP="009004B0">
      <w:pPr>
        <w:pStyle w:val="BodyText"/>
        <w:spacing w:before="5"/>
        <w:rPr>
          <w:sz w:val="17"/>
          <w:lang w:val="en-AU"/>
        </w:rPr>
      </w:pPr>
    </w:p>
    <w:p w14:paraId="1E0352FF" w14:textId="11052639" w:rsidR="009004B0" w:rsidRPr="009004B0" w:rsidRDefault="009004B0" w:rsidP="009004B0">
      <w:pPr>
        <w:pStyle w:val="Heading2"/>
      </w:pPr>
      <w:bookmarkStart w:id="13" w:name="_Toc218246491"/>
      <w:bookmarkStart w:id="14" w:name="_Toc219978476"/>
      <w:r w:rsidRPr="009004B0">
        <w:t>Eligible clients</w:t>
      </w:r>
      <w:bookmarkEnd w:id="13"/>
      <w:bookmarkEnd w:id="14"/>
    </w:p>
    <w:p w14:paraId="0093CC2B" w14:textId="77777777" w:rsidR="009004B0" w:rsidRPr="00293638" w:rsidRDefault="009004B0" w:rsidP="009004B0">
      <w:pPr>
        <w:pStyle w:val="BodyText"/>
        <w:spacing w:before="124" w:line="228" w:lineRule="auto"/>
        <w:ind w:left="113" w:right="183"/>
        <w:rPr>
          <w:color w:val="231F20"/>
          <w:sz w:val="20"/>
          <w:szCs w:val="20"/>
          <w:lang w:val="en-AU"/>
        </w:rPr>
      </w:pPr>
      <w:r w:rsidRPr="00293638">
        <w:rPr>
          <w:color w:val="231F20"/>
          <w:spacing w:val="-10"/>
          <w:sz w:val="20"/>
          <w:szCs w:val="20"/>
          <w:lang w:val="en-AU"/>
        </w:rPr>
        <w:t xml:space="preserve">To </w:t>
      </w:r>
      <w:r w:rsidRPr="00293638">
        <w:rPr>
          <w:color w:val="231F20"/>
          <w:sz w:val="20"/>
          <w:szCs w:val="20"/>
          <w:lang w:val="en-AU"/>
        </w:rPr>
        <w:t xml:space="preserve">be eligible for </w:t>
      </w:r>
      <w:r w:rsidRPr="00293638">
        <w:rPr>
          <w:color w:val="231F20"/>
          <w:spacing w:val="-4"/>
          <w:sz w:val="20"/>
          <w:szCs w:val="20"/>
          <w:lang w:val="en-AU"/>
        </w:rPr>
        <w:t xml:space="preserve">RRS </w:t>
      </w:r>
      <w:r w:rsidRPr="00293638">
        <w:rPr>
          <w:color w:val="231F20"/>
          <w:sz w:val="20"/>
          <w:szCs w:val="20"/>
          <w:lang w:val="en-AU"/>
        </w:rPr>
        <w:t>services, renters must be:</w:t>
      </w:r>
    </w:p>
    <w:p w14:paraId="0EB4278D" w14:textId="54276F52" w:rsidR="009004B0" w:rsidRPr="00293638" w:rsidRDefault="009004B0" w:rsidP="0011654E">
      <w:pPr>
        <w:pStyle w:val="BodyText"/>
        <w:numPr>
          <w:ilvl w:val="0"/>
          <w:numId w:val="28"/>
        </w:numPr>
        <w:spacing w:before="124" w:line="228" w:lineRule="auto"/>
        <w:ind w:right="183"/>
        <w:rPr>
          <w:sz w:val="20"/>
          <w:szCs w:val="20"/>
          <w:lang w:val="en-AU"/>
        </w:rPr>
      </w:pPr>
      <w:r w:rsidRPr="00293638">
        <w:rPr>
          <w:color w:val="231F20"/>
          <w:sz w:val="20"/>
          <w:szCs w:val="20"/>
          <w:lang w:val="en-AU"/>
        </w:rPr>
        <w:t>financially disadvantaged, or</w:t>
      </w:r>
    </w:p>
    <w:p w14:paraId="112143B1" w14:textId="5F8FBDE4" w:rsidR="0011654E" w:rsidRPr="00293638" w:rsidRDefault="0011654E" w:rsidP="0011654E">
      <w:pPr>
        <w:pStyle w:val="BodyText"/>
        <w:numPr>
          <w:ilvl w:val="0"/>
          <w:numId w:val="28"/>
        </w:numPr>
        <w:spacing w:before="124" w:line="228" w:lineRule="auto"/>
        <w:ind w:right="183"/>
        <w:rPr>
          <w:sz w:val="20"/>
          <w:szCs w:val="20"/>
          <w:lang w:val="en-AU"/>
        </w:rPr>
      </w:pPr>
      <w:r w:rsidRPr="00293638">
        <w:rPr>
          <w:color w:val="231F20"/>
          <w:sz w:val="20"/>
          <w:szCs w:val="20"/>
          <w:lang w:val="en-AU"/>
        </w:rPr>
        <w:t>experiencing family violence, or</w:t>
      </w:r>
    </w:p>
    <w:p w14:paraId="305E04B8" w14:textId="77777777" w:rsidR="009004B0" w:rsidRPr="00293638" w:rsidRDefault="009004B0" w:rsidP="009004B0">
      <w:pPr>
        <w:pStyle w:val="BodyText"/>
        <w:numPr>
          <w:ilvl w:val="0"/>
          <w:numId w:val="28"/>
        </w:numPr>
        <w:spacing w:before="124" w:line="228" w:lineRule="auto"/>
        <w:ind w:right="183"/>
        <w:rPr>
          <w:sz w:val="20"/>
          <w:szCs w:val="20"/>
          <w:lang w:val="en-AU"/>
        </w:rPr>
      </w:pPr>
      <w:r w:rsidRPr="00293638">
        <w:rPr>
          <w:color w:val="231F20"/>
          <w:sz w:val="20"/>
          <w:szCs w:val="20"/>
          <w:lang w:val="en-AU"/>
        </w:rPr>
        <w:t>at risk of losing their housing.</w:t>
      </w:r>
    </w:p>
    <w:p w14:paraId="21E7DF09" w14:textId="77777777" w:rsidR="009004B0" w:rsidRPr="00293638" w:rsidRDefault="009004B0" w:rsidP="009004B0">
      <w:pPr>
        <w:pStyle w:val="BodyText"/>
        <w:spacing w:before="124" w:line="228" w:lineRule="auto"/>
        <w:ind w:left="113" w:right="183"/>
        <w:rPr>
          <w:sz w:val="20"/>
          <w:szCs w:val="20"/>
          <w:lang w:val="en-AU"/>
        </w:rPr>
      </w:pPr>
      <w:r w:rsidRPr="00293638">
        <w:rPr>
          <w:color w:val="231F20"/>
          <w:sz w:val="20"/>
          <w:szCs w:val="20"/>
          <w:lang w:val="en-AU"/>
        </w:rPr>
        <w:t>Clients who are financially disadvantaged or experiencing family violence should be prioritised over those who are at risk and not yet at crisis point. For further details, please see the prioritisation section below.</w:t>
      </w:r>
    </w:p>
    <w:p w14:paraId="57642E17" w14:textId="2A467B7D" w:rsidR="009004B0" w:rsidRPr="00293638" w:rsidRDefault="009B4C54" w:rsidP="009004B0">
      <w:pPr>
        <w:pStyle w:val="BodyText"/>
        <w:spacing w:before="101" w:line="228" w:lineRule="auto"/>
        <w:ind w:left="113" w:right="436"/>
        <w:rPr>
          <w:sz w:val="20"/>
          <w:szCs w:val="20"/>
          <w:lang w:val="en-AU"/>
        </w:rPr>
      </w:pPr>
      <w:r w:rsidRPr="00293638">
        <w:rPr>
          <w:color w:val="231F20"/>
          <w:spacing w:val="-3"/>
          <w:sz w:val="20"/>
          <w:szCs w:val="20"/>
          <w:lang w:val="en-AU"/>
        </w:rPr>
        <w:t>R</w:t>
      </w:r>
      <w:r w:rsidR="009004B0" w:rsidRPr="00293638">
        <w:rPr>
          <w:color w:val="231F20"/>
          <w:spacing w:val="-3"/>
          <w:sz w:val="20"/>
          <w:szCs w:val="20"/>
          <w:lang w:val="en-AU"/>
        </w:rPr>
        <w:t xml:space="preserve">enters </w:t>
      </w:r>
      <w:r w:rsidR="009004B0" w:rsidRPr="00293638">
        <w:rPr>
          <w:color w:val="231F20"/>
          <w:sz w:val="20"/>
          <w:szCs w:val="20"/>
          <w:lang w:val="en-AU"/>
        </w:rPr>
        <w:t xml:space="preserve">who </w:t>
      </w:r>
      <w:r w:rsidR="009004B0" w:rsidRPr="00293638">
        <w:rPr>
          <w:color w:val="231F20"/>
          <w:spacing w:val="-3"/>
          <w:sz w:val="20"/>
          <w:szCs w:val="20"/>
          <w:lang w:val="en-AU"/>
        </w:rPr>
        <w:t xml:space="preserve">are </w:t>
      </w:r>
      <w:r w:rsidR="009004B0" w:rsidRPr="00293638">
        <w:rPr>
          <w:color w:val="231F20"/>
          <w:sz w:val="20"/>
          <w:szCs w:val="20"/>
          <w:lang w:val="en-AU"/>
        </w:rPr>
        <w:t xml:space="preserve">not </w:t>
      </w:r>
      <w:r w:rsidRPr="00293638">
        <w:rPr>
          <w:color w:val="231F20"/>
          <w:sz w:val="20"/>
          <w:szCs w:val="20"/>
          <w:lang w:val="en-AU"/>
        </w:rPr>
        <w:t>otherwise</w:t>
      </w:r>
      <w:r w:rsidR="009004B0" w:rsidRPr="00293638">
        <w:rPr>
          <w:color w:val="231F20"/>
          <w:sz w:val="20"/>
          <w:szCs w:val="20"/>
          <w:lang w:val="en-AU"/>
        </w:rPr>
        <w:t xml:space="preserve"> eligible to receive RRS services are entitled </w:t>
      </w:r>
      <w:r w:rsidR="009004B0" w:rsidRPr="00293638">
        <w:rPr>
          <w:color w:val="231F20"/>
          <w:spacing w:val="-3"/>
          <w:sz w:val="20"/>
          <w:szCs w:val="20"/>
          <w:lang w:val="en-AU"/>
        </w:rPr>
        <w:t xml:space="preserve">to receive </w:t>
      </w:r>
      <w:r w:rsidR="009004B0" w:rsidRPr="00293638">
        <w:rPr>
          <w:color w:val="231F20"/>
          <w:sz w:val="20"/>
          <w:szCs w:val="20"/>
          <w:lang w:val="en-AU"/>
        </w:rPr>
        <w:t xml:space="preserve">up </w:t>
      </w:r>
      <w:r w:rsidR="009004B0" w:rsidRPr="00293638">
        <w:rPr>
          <w:color w:val="231F20"/>
          <w:spacing w:val="-3"/>
          <w:sz w:val="20"/>
          <w:szCs w:val="20"/>
          <w:lang w:val="en-AU"/>
        </w:rPr>
        <w:t xml:space="preserve">to </w:t>
      </w:r>
      <w:r w:rsidR="009004B0" w:rsidRPr="00293638">
        <w:rPr>
          <w:color w:val="231F20"/>
          <w:sz w:val="20"/>
          <w:szCs w:val="20"/>
          <w:lang w:val="en-AU"/>
        </w:rPr>
        <w:t>one-hour of information and referral</w:t>
      </w:r>
      <w:r w:rsidR="00B90B4D" w:rsidRPr="00293638">
        <w:rPr>
          <w:color w:val="231F20"/>
          <w:sz w:val="20"/>
          <w:szCs w:val="20"/>
          <w:lang w:val="en-AU"/>
        </w:rPr>
        <w:t xml:space="preserve"> support</w:t>
      </w:r>
      <w:r w:rsidR="009004B0" w:rsidRPr="00293638">
        <w:rPr>
          <w:color w:val="231F20"/>
          <w:sz w:val="20"/>
          <w:szCs w:val="20"/>
          <w:lang w:val="en-AU"/>
        </w:rPr>
        <w:t xml:space="preserve">. </w:t>
      </w:r>
    </w:p>
    <w:p w14:paraId="39490FAF" w14:textId="77777777" w:rsidR="009004B0" w:rsidRPr="00FF0361" w:rsidRDefault="009004B0" w:rsidP="009004B0">
      <w:pPr>
        <w:pStyle w:val="BodyText"/>
        <w:spacing w:before="12"/>
        <w:rPr>
          <w:sz w:val="26"/>
          <w:lang w:val="en-AU"/>
        </w:rPr>
      </w:pPr>
    </w:p>
    <w:p w14:paraId="42EB728F" w14:textId="79A0669E" w:rsidR="009004B0" w:rsidRPr="009004B0" w:rsidRDefault="009004B0" w:rsidP="009004B0">
      <w:pPr>
        <w:pStyle w:val="Heading3"/>
      </w:pPr>
      <w:r w:rsidRPr="009004B0">
        <w:t>Family violence</w:t>
      </w:r>
    </w:p>
    <w:p w14:paraId="5D96A473" w14:textId="1B98E593" w:rsidR="009004B0" w:rsidRPr="00293638" w:rsidRDefault="009004B0" w:rsidP="009004B0">
      <w:pPr>
        <w:pStyle w:val="BodyText"/>
        <w:ind w:left="142"/>
        <w:rPr>
          <w:sz w:val="20"/>
          <w:szCs w:val="20"/>
          <w:lang w:val="en-AU"/>
        </w:rPr>
      </w:pPr>
      <w:r w:rsidRPr="00293638">
        <w:rPr>
          <w:sz w:val="20"/>
          <w:szCs w:val="20"/>
          <w:lang w:val="en-AU"/>
        </w:rPr>
        <w:t>A person is experiencing family violence if they are subject to any behaviour from a family member (which includes a domestic or intimate partner) that:</w:t>
      </w:r>
    </w:p>
    <w:p w14:paraId="772FBB12" w14:textId="430630CE" w:rsidR="009004B0" w:rsidRPr="00D75984" w:rsidRDefault="00BB0D18" w:rsidP="00D75984">
      <w:pPr>
        <w:pStyle w:val="BodyText"/>
        <w:numPr>
          <w:ilvl w:val="0"/>
          <w:numId w:val="28"/>
        </w:numPr>
        <w:spacing w:before="124" w:line="228" w:lineRule="auto"/>
        <w:ind w:right="183"/>
        <w:rPr>
          <w:color w:val="231F20"/>
          <w:sz w:val="20"/>
          <w:szCs w:val="20"/>
          <w:lang w:val="en-AU"/>
        </w:rPr>
      </w:pPr>
      <w:r>
        <w:rPr>
          <w:color w:val="231F20"/>
          <w:sz w:val="20"/>
          <w:szCs w:val="20"/>
          <w:lang w:val="en-AU"/>
        </w:rPr>
        <w:t xml:space="preserve">is </w:t>
      </w:r>
      <w:r w:rsidR="009004B0" w:rsidRPr="00D75984">
        <w:rPr>
          <w:color w:val="231F20"/>
          <w:sz w:val="20"/>
          <w:szCs w:val="20"/>
          <w:lang w:val="en-AU"/>
        </w:rPr>
        <w:t xml:space="preserve">physically </w:t>
      </w:r>
      <w:r w:rsidR="00DD489C">
        <w:rPr>
          <w:color w:val="231F20"/>
          <w:sz w:val="20"/>
          <w:szCs w:val="20"/>
          <w:lang w:val="en-AU"/>
        </w:rPr>
        <w:t xml:space="preserve">or sexually </w:t>
      </w:r>
      <w:r w:rsidR="009004B0" w:rsidRPr="00D75984">
        <w:rPr>
          <w:color w:val="231F20"/>
          <w:sz w:val="20"/>
          <w:szCs w:val="20"/>
          <w:lang w:val="en-AU"/>
        </w:rPr>
        <w:t xml:space="preserve">abusive, </w:t>
      </w:r>
    </w:p>
    <w:p w14:paraId="1B72C088" w14:textId="2FC03BBD" w:rsidR="009004B0" w:rsidRPr="00D75984" w:rsidRDefault="00BB0D18" w:rsidP="00D75984">
      <w:pPr>
        <w:pStyle w:val="BodyText"/>
        <w:numPr>
          <w:ilvl w:val="0"/>
          <w:numId w:val="28"/>
        </w:numPr>
        <w:spacing w:before="124" w:line="228" w:lineRule="auto"/>
        <w:ind w:right="183"/>
        <w:rPr>
          <w:color w:val="231F20"/>
          <w:sz w:val="20"/>
          <w:szCs w:val="20"/>
          <w:lang w:val="en-AU"/>
        </w:rPr>
      </w:pPr>
      <w:r>
        <w:rPr>
          <w:color w:val="231F20"/>
          <w:sz w:val="20"/>
          <w:szCs w:val="20"/>
          <w:lang w:val="en-AU"/>
        </w:rPr>
        <w:t xml:space="preserve">is </w:t>
      </w:r>
      <w:r w:rsidR="0007514B">
        <w:rPr>
          <w:color w:val="231F20"/>
          <w:sz w:val="20"/>
          <w:szCs w:val="20"/>
          <w:lang w:val="en-AU"/>
        </w:rPr>
        <w:t>e</w:t>
      </w:r>
      <w:r w:rsidR="009004B0" w:rsidRPr="00D75984">
        <w:rPr>
          <w:color w:val="231F20"/>
          <w:sz w:val="20"/>
          <w:szCs w:val="20"/>
          <w:lang w:val="en-AU"/>
        </w:rPr>
        <w:t xml:space="preserve">motionally </w:t>
      </w:r>
      <w:r w:rsidR="000073AC">
        <w:rPr>
          <w:color w:val="231F20"/>
          <w:sz w:val="20"/>
          <w:szCs w:val="20"/>
          <w:lang w:val="en-AU"/>
        </w:rPr>
        <w:t>or psychologically</w:t>
      </w:r>
      <w:r w:rsidR="009004B0" w:rsidRPr="00DD489C">
        <w:rPr>
          <w:color w:val="231F20"/>
          <w:sz w:val="20"/>
          <w:szCs w:val="20"/>
          <w:lang w:val="en-AU"/>
        </w:rPr>
        <w:t xml:space="preserve"> </w:t>
      </w:r>
      <w:r w:rsidR="009004B0" w:rsidRPr="00D75984">
        <w:rPr>
          <w:color w:val="231F20"/>
          <w:sz w:val="20"/>
          <w:szCs w:val="20"/>
          <w:lang w:val="en-AU"/>
        </w:rPr>
        <w:t xml:space="preserve">abusive, </w:t>
      </w:r>
    </w:p>
    <w:p w14:paraId="64E9A96D" w14:textId="1A35AFB6" w:rsidR="009004B0" w:rsidRPr="00D75984" w:rsidRDefault="00BB0D18" w:rsidP="00D75984">
      <w:pPr>
        <w:pStyle w:val="BodyText"/>
        <w:numPr>
          <w:ilvl w:val="0"/>
          <w:numId w:val="28"/>
        </w:numPr>
        <w:spacing w:before="124" w:line="228" w:lineRule="auto"/>
        <w:ind w:right="183"/>
        <w:rPr>
          <w:color w:val="231F20"/>
          <w:sz w:val="20"/>
          <w:szCs w:val="20"/>
          <w:lang w:val="en-AU"/>
        </w:rPr>
      </w:pPr>
      <w:r>
        <w:rPr>
          <w:color w:val="231F20"/>
          <w:sz w:val="20"/>
          <w:szCs w:val="20"/>
          <w:lang w:val="en-AU"/>
        </w:rPr>
        <w:t xml:space="preserve">is </w:t>
      </w:r>
      <w:r w:rsidR="009004B0" w:rsidRPr="00D75984">
        <w:rPr>
          <w:color w:val="231F20"/>
          <w:sz w:val="20"/>
          <w:szCs w:val="20"/>
          <w:lang w:val="en-AU"/>
        </w:rPr>
        <w:t>economically abusive,</w:t>
      </w:r>
    </w:p>
    <w:p w14:paraId="7315A392" w14:textId="7D410AD6" w:rsidR="009004B0" w:rsidRPr="00D75984" w:rsidRDefault="00BB0D18" w:rsidP="00D75984">
      <w:pPr>
        <w:pStyle w:val="BodyText"/>
        <w:numPr>
          <w:ilvl w:val="0"/>
          <w:numId w:val="28"/>
        </w:numPr>
        <w:spacing w:before="124" w:line="228" w:lineRule="auto"/>
        <w:ind w:right="183"/>
        <w:rPr>
          <w:color w:val="231F20"/>
          <w:sz w:val="20"/>
          <w:szCs w:val="20"/>
          <w:lang w:val="en-AU"/>
        </w:rPr>
      </w:pPr>
      <w:r>
        <w:rPr>
          <w:color w:val="231F20"/>
          <w:sz w:val="20"/>
          <w:szCs w:val="20"/>
          <w:lang w:val="en-AU"/>
        </w:rPr>
        <w:t xml:space="preserve">is </w:t>
      </w:r>
      <w:r w:rsidR="009004B0" w:rsidRPr="00D75984">
        <w:rPr>
          <w:color w:val="231F20"/>
          <w:sz w:val="20"/>
          <w:szCs w:val="20"/>
          <w:lang w:val="en-AU"/>
        </w:rPr>
        <w:t>threatening or coercive; or</w:t>
      </w:r>
    </w:p>
    <w:p w14:paraId="69302D5E" w14:textId="1A3A9029" w:rsidR="00BC14EA" w:rsidRDefault="00BC14EA" w:rsidP="00D75984">
      <w:pPr>
        <w:pStyle w:val="BodyText"/>
        <w:numPr>
          <w:ilvl w:val="0"/>
          <w:numId w:val="28"/>
        </w:numPr>
        <w:spacing w:before="124" w:line="228" w:lineRule="auto"/>
        <w:ind w:right="183"/>
        <w:rPr>
          <w:color w:val="231F20"/>
          <w:sz w:val="20"/>
          <w:szCs w:val="20"/>
          <w:lang w:val="en-AU"/>
        </w:rPr>
      </w:pPr>
      <w:r>
        <w:rPr>
          <w:color w:val="231F20"/>
          <w:sz w:val="20"/>
          <w:szCs w:val="20"/>
          <w:lang w:val="en-AU"/>
        </w:rPr>
        <w:t>controls or dominates the family member and causes them to feel fear for their own or another person’s safety or wellbeing.</w:t>
      </w:r>
    </w:p>
    <w:p w14:paraId="137C56BA" w14:textId="77777777" w:rsidR="009004B0" w:rsidRDefault="009004B0" w:rsidP="009004B0">
      <w:pPr>
        <w:pStyle w:val="BodyText"/>
        <w:ind w:left="142"/>
        <w:rPr>
          <w:lang w:val="en-AU"/>
        </w:rPr>
      </w:pPr>
    </w:p>
    <w:p w14:paraId="2417EAC0" w14:textId="77777777" w:rsidR="009004B0" w:rsidRPr="009004B0" w:rsidRDefault="009004B0" w:rsidP="009004B0">
      <w:pPr>
        <w:pStyle w:val="Heading3"/>
      </w:pPr>
      <w:r w:rsidRPr="009004B0">
        <w:t>Indicators of financial disadvantage</w:t>
      </w:r>
    </w:p>
    <w:p w14:paraId="44957EAC" w14:textId="77777777" w:rsidR="009004B0" w:rsidRPr="00293638" w:rsidRDefault="009004B0" w:rsidP="009004B0">
      <w:pPr>
        <w:pStyle w:val="BodyText"/>
        <w:spacing w:before="124" w:line="228" w:lineRule="auto"/>
        <w:ind w:left="113"/>
        <w:rPr>
          <w:sz w:val="20"/>
          <w:szCs w:val="20"/>
          <w:lang w:val="en-AU"/>
        </w:rPr>
      </w:pPr>
      <w:r w:rsidRPr="00293638">
        <w:rPr>
          <w:color w:val="231F20"/>
          <w:sz w:val="20"/>
          <w:szCs w:val="20"/>
          <w:lang w:val="en-AU"/>
        </w:rPr>
        <w:t>A renter is experiencing financial disadvantage if:</w:t>
      </w:r>
    </w:p>
    <w:p w14:paraId="36296BCB" w14:textId="77777777" w:rsidR="009004B0" w:rsidRPr="00293638" w:rsidRDefault="009004B0" w:rsidP="009004B0">
      <w:pPr>
        <w:pStyle w:val="ListParagraph"/>
        <w:widowControl w:val="0"/>
        <w:numPr>
          <w:ilvl w:val="0"/>
          <w:numId w:val="27"/>
        </w:numPr>
        <w:tabs>
          <w:tab w:val="left" w:pos="341"/>
        </w:tabs>
        <w:autoSpaceDE w:val="0"/>
        <w:autoSpaceDN w:val="0"/>
        <w:spacing w:before="127" w:after="0" w:line="240" w:lineRule="auto"/>
        <w:contextualSpacing w:val="0"/>
        <w:rPr>
          <w:szCs w:val="20"/>
        </w:rPr>
      </w:pPr>
      <w:r w:rsidRPr="00293638">
        <w:rPr>
          <w:color w:val="231F20"/>
          <w:szCs w:val="20"/>
        </w:rPr>
        <w:t>they have no</w:t>
      </w:r>
      <w:r w:rsidRPr="00293638">
        <w:rPr>
          <w:color w:val="231F20"/>
          <w:spacing w:val="-8"/>
          <w:szCs w:val="20"/>
        </w:rPr>
        <w:t xml:space="preserve"> </w:t>
      </w:r>
      <w:r w:rsidRPr="00293638">
        <w:rPr>
          <w:color w:val="231F20"/>
          <w:szCs w:val="20"/>
        </w:rPr>
        <w:t>income, or</w:t>
      </w:r>
    </w:p>
    <w:p w14:paraId="6E192662" w14:textId="77777777" w:rsidR="009004B0" w:rsidRPr="00293638" w:rsidRDefault="009004B0" w:rsidP="00AE6E38">
      <w:pPr>
        <w:pStyle w:val="ListParagraph"/>
        <w:widowControl w:val="0"/>
        <w:numPr>
          <w:ilvl w:val="0"/>
          <w:numId w:val="27"/>
        </w:numPr>
        <w:tabs>
          <w:tab w:val="left" w:pos="341"/>
        </w:tabs>
        <w:autoSpaceDE w:val="0"/>
        <w:autoSpaceDN w:val="0"/>
        <w:spacing w:before="42" w:after="0" w:line="228" w:lineRule="auto"/>
        <w:ind w:right="48"/>
        <w:contextualSpacing w:val="0"/>
        <w:rPr>
          <w:szCs w:val="20"/>
        </w:rPr>
      </w:pPr>
      <w:r w:rsidRPr="00293638">
        <w:rPr>
          <w:color w:val="231F20"/>
          <w:szCs w:val="20"/>
        </w:rPr>
        <w:t>their main source of income is a Centrelink benefit,</w:t>
      </w:r>
      <w:r w:rsidRPr="00293638">
        <w:rPr>
          <w:color w:val="231F20"/>
          <w:spacing w:val="-1"/>
          <w:szCs w:val="20"/>
        </w:rPr>
        <w:t xml:space="preserve"> </w:t>
      </w:r>
      <w:r w:rsidRPr="00293638">
        <w:rPr>
          <w:color w:val="231F20"/>
          <w:szCs w:val="20"/>
        </w:rPr>
        <w:t>or</w:t>
      </w:r>
    </w:p>
    <w:p w14:paraId="55E25D0F" w14:textId="77777777" w:rsidR="009004B0" w:rsidRPr="00293638" w:rsidRDefault="009004B0" w:rsidP="009004B0">
      <w:pPr>
        <w:pStyle w:val="ListParagraph"/>
        <w:widowControl w:val="0"/>
        <w:numPr>
          <w:ilvl w:val="0"/>
          <w:numId w:val="27"/>
        </w:numPr>
        <w:tabs>
          <w:tab w:val="left" w:pos="341"/>
        </w:tabs>
        <w:autoSpaceDE w:val="0"/>
        <w:autoSpaceDN w:val="0"/>
        <w:spacing w:before="42" w:after="0" w:line="228" w:lineRule="auto"/>
        <w:ind w:right="214"/>
        <w:contextualSpacing w:val="0"/>
        <w:rPr>
          <w:szCs w:val="20"/>
        </w:rPr>
      </w:pPr>
      <w:r w:rsidRPr="00293638">
        <w:rPr>
          <w:color w:val="231F20"/>
          <w:szCs w:val="20"/>
        </w:rPr>
        <w:t>their income is insufficient to sustain their personal financial commitments, and</w:t>
      </w:r>
      <w:r w:rsidRPr="00293638">
        <w:rPr>
          <w:color w:val="231F20"/>
          <w:spacing w:val="-9"/>
          <w:szCs w:val="20"/>
        </w:rPr>
        <w:t xml:space="preserve"> </w:t>
      </w:r>
      <w:r w:rsidRPr="00293638">
        <w:rPr>
          <w:color w:val="231F20"/>
          <w:szCs w:val="20"/>
        </w:rPr>
        <w:t>they have defaulted on payment of rent, utility bills</w:t>
      </w:r>
      <w:r w:rsidRPr="00293638">
        <w:rPr>
          <w:color w:val="231F20"/>
          <w:spacing w:val="-5"/>
          <w:szCs w:val="20"/>
        </w:rPr>
        <w:t xml:space="preserve"> </w:t>
      </w:r>
      <w:r w:rsidRPr="00293638">
        <w:rPr>
          <w:color w:val="231F20"/>
          <w:szCs w:val="20"/>
        </w:rPr>
        <w:t>or</w:t>
      </w:r>
      <w:r w:rsidRPr="00293638">
        <w:rPr>
          <w:color w:val="231F20"/>
          <w:spacing w:val="-5"/>
          <w:szCs w:val="20"/>
        </w:rPr>
        <w:t xml:space="preserve"> </w:t>
      </w:r>
      <w:r w:rsidRPr="00293638">
        <w:rPr>
          <w:color w:val="231F20"/>
          <w:szCs w:val="20"/>
        </w:rPr>
        <w:t>other</w:t>
      </w:r>
      <w:r w:rsidRPr="00293638">
        <w:rPr>
          <w:color w:val="231F20"/>
          <w:spacing w:val="-5"/>
          <w:szCs w:val="20"/>
        </w:rPr>
        <w:t xml:space="preserve"> </w:t>
      </w:r>
      <w:r w:rsidRPr="00293638">
        <w:rPr>
          <w:color w:val="231F20"/>
          <w:szCs w:val="20"/>
        </w:rPr>
        <w:t>personal</w:t>
      </w:r>
      <w:r w:rsidRPr="00293638">
        <w:rPr>
          <w:color w:val="231F20"/>
          <w:spacing w:val="-5"/>
          <w:szCs w:val="20"/>
        </w:rPr>
        <w:t xml:space="preserve"> </w:t>
      </w:r>
      <w:r w:rsidRPr="00293638">
        <w:rPr>
          <w:color w:val="231F20"/>
          <w:szCs w:val="20"/>
        </w:rPr>
        <w:t>debts</w:t>
      </w:r>
      <w:r w:rsidRPr="00293638">
        <w:rPr>
          <w:color w:val="231F20"/>
          <w:spacing w:val="-32"/>
          <w:szCs w:val="20"/>
        </w:rPr>
        <w:t>.</w:t>
      </w:r>
    </w:p>
    <w:p w14:paraId="6818F22C" w14:textId="77777777" w:rsidR="009004B0" w:rsidRPr="00FF0361" w:rsidRDefault="009004B0" w:rsidP="009004B0">
      <w:pPr>
        <w:pStyle w:val="BodyText"/>
        <w:spacing w:before="5"/>
        <w:rPr>
          <w:sz w:val="17"/>
          <w:lang w:val="en-AU"/>
        </w:rPr>
      </w:pPr>
    </w:p>
    <w:p w14:paraId="200F6724" w14:textId="77777777" w:rsidR="009004B0" w:rsidRPr="009004B0" w:rsidRDefault="009004B0" w:rsidP="009004B0">
      <w:pPr>
        <w:pStyle w:val="Heading2"/>
      </w:pPr>
      <w:bookmarkStart w:id="15" w:name="_Toc218246492"/>
      <w:bookmarkStart w:id="16" w:name="_Toc219978477"/>
      <w:r w:rsidRPr="009004B0">
        <w:t>Ineligible clients</w:t>
      </w:r>
      <w:bookmarkEnd w:id="15"/>
      <w:bookmarkEnd w:id="16"/>
    </w:p>
    <w:p w14:paraId="05A3E209" w14:textId="79E0F0D4" w:rsidR="009004B0" w:rsidRPr="00293638" w:rsidRDefault="009004B0" w:rsidP="0007514B">
      <w:pPr>
        <w:pStyle w:val="BodyText"/>
        <w:spacing w:before="125" w:line="228" w:lineRule="auto"/>
        <w:ind w:left="113" w:right="190"/>
        <w:rPr>
          <w:sz w:val="20"/>
          <w:szCs w:val="20"/>
          <w:lang w:val="en-AU"/>
        </w:rPr>
      </w:pPr>
      <w:r w:rsidRPr="00293638">
        <w:rPr>
          <w:color w:val="231F20"/>
          <w:sz w:val="20"/>
          <w:szCs w:val="20"/>
          <w:lang w:val="en-AU"/>
        </w:rPr>
        <w:t>The following persons are ineligible for RRS services and should be referred to the support services listed:</w:t>
      </w:r>
    </w:p>
    <w:p w14:paraId="7B232D56" w14:textId="77777777" w:rsidR="009004B0" w:rsidRPr="00293638" w:rsidRDefault="009004B0" w:rsidP="009004B0">
      <w:pPr>
        <w:pStyle w:val="ListParagraph"/>
        <w:widowControl w:val="0"/>
        <w:numPr>
          <w:ilvl w:val="0"/>
          <w:numId w:val="27"/>
        </w:numPr>
        <w:tabs>
          <w:tab w:val="left" w:pos="341"/>
        </w:tabs>
        <w:autoSpaceDE w:val="0"/>
        <w:autoSpaceDN w:val="0"/>
        <w:spacing w:before="42" w:after="0" w:line="228" w:lineRule="auto"/>
        <w:ind w:right="520"/>
        <w:contextualSpacing w:val="0"/>
        <w:rPr>
          <w:szCs w:val="20"/>
        </w:rPr>
      </w:pPr>
      <w:r w:rsidRPr="00293638">
        <w:rPr>
          <w:color w:val="231F20"/>
          <w:szCs w:val="20"/>
        </w:rPr>
        <w:t xml:space="preserve">residents of retirement and rental villages whose agreements are under the </w:t>
      </w:r>
      <w:r w:rsidRPr="00293638">
        <w:rPr>
          <w:i/>
          <w:color w:val="231F20"/>
          <w:szCs w:val="20"/>
        </w:rPr>
        <w:t xml:space="preserve">Retirement Village Act 1986 </w:t>
      </w:r>
      <w:r w:rsidRPr="00293638">
        <w:rPr>
          <w:color w:val="231F20"/>
          <w:szCs w:val="20"/>
        </w:rPr>
        <w:t xml:space="preserve">or the </w:t>
      </w:r>
      <w:r w:rsidRPr="00293638">
        <w:rPr>
          <w:color w:val="231F20"/>
          <w:spacing w:val="-7"/>
          <w:szCs w:val="20"/>
        </w:rPr>
        <w:t>RTA.</w:t>
      </w:r>
      <w:r w:rsidRPr="00293638">
        <w:rPr>
          <w:color w:val="231F20"/>
          <w:w w:val="85"/>
          <w:szCs w:val="20"/>
        </w:rPr>
        <w:t xml:space="preserve"> </w:t>
      </w:r>
      <w:r w:rsidRPr="00293638">
        <w:rPr>
          <w:color w:val="231F20"/>
          <w:szCs w:val="20"/>
        </w:rPr>
        <w:t>These residents may be eligible for the Older Person’s Housing Rights Service.</w:t>
      </w:r>
    </w:p>
    <w:p w14:paraId="0F8F33AE" w14:textId="6E48F651" w:rsidR="009004B0" w:rsidRPr="00293638" w:rsidRDefault="009004B0" w:rsidP="45CAC95E">
      <w:pPr>
        <w:pStyle w:val="ListParagraph"/>
        <w:widowControl w:val="0"/>
        <w:tabs>
          <w:tab w:val="left" w:pos="341"/>
        </w:tabs>
        <w:autoSpaceDE w:val="0"/>
        <w:autoSpaceDN w:val="0"/>
        <w:spacing w:before="42" w:after="0" w:line="228" w:lineRule="auto"/>
        <w:ind w:right="404"/>
        <w:contextualSpacing w:val="0"/>
        <w:rPr>
          <w:szCs w:val="20"/>
        </w:rPr>
      </w:pPr>
      <w:r w:rsidRPr="45CAC95E">
        <w:rPr>
          <w:color w:val="231F20"/>
        </w:rPr>
        <w:t>renters with a renter-to-renter</w:t>
      </w:r>
      <w:r w:rsidRPr="45CAC95E">
        <w:rPr>
          <w:color w:val="231F20"/>
          <w:spacing w:val="-28"/>
        </w:rPr>
        <w:t xml:space="preserve"> </w:t>
      </w:r>
      <w:r w:rsidRPr="45CAC95E">
        <w:rPr>
          <w:color w:val="231F20"/>
        </w:rPr>
        <w:t>dispute</w:t>
      </w:r>
      <w:r w:rsidR="00860234" w:rsidRPr="45CAC95E">
        <w:rPr>
          <w:color w:val="231F20"/>
        </w:rPr>
        <w:t xml:space="preserve"> (that are not a sub-leasing or head tenant arrangement)</w:t>
      </w:r>
      <w:r w:rsidRPr="45CAC95E">
        <w:rPr>
          <w:color w:val="231F20"/>
        </w:rPr>
        <w:t>, who should be referred to the Dispute Settlement</w:t>
      </w:r>
      <w:r w:rsidRPr="45CAC95E">
        <w:rPr>
          <w:color w:val="231F20"/>
          <w:spacing w:val="-8"/>
        </w:rPr>
        <w:t xml:space="preserve"> </w:t>
      </w:r>
      <w:r w:rsidRPr="45CAC95E">
        <w:rPr>
          <w:color w:val="231F20"/>
        </w:rPr>
        <w:t>Centre</w:t>
      </w:r>
      <w:r w:rsidRPr="45CAC95E">
        <w:rPr>
          <w:color w:val="231F20"/>
          <w:spacing w:val="-8"/>
        </w:rPr>
        <w:t xml:space="preserve"> </w:t>
      </w:r>
      <w:r w:rsidRPr="45CAC95E">
        <w:rPr>
          <w:color w:val="231F20"/>
        </w:rPr>
        <w:t>of</w:t>
      </w:r>
      <w:r w:rsidRPr="45CAC95E">
        <w:rPr>
          <w:color w:val="231F20"/>
          <w:spacing w:val="-8"/>
        </w:rPr>
        <w:t xml:space="preserve"> </w:t>
      </w:r>
      <w:r w:rsidRPr="45CAC95E">
        <w:rPr>
          <w:color w:val="231F20"/>
        </w:rPr>
        <w:t>Victoria</w:t>
      </w:r>
      <w:r w:rsidR="008550E6" w:rsidRPr="45CAC95E">
        <w:rPr>
          <w:color w:val="231F20"/>
        </w:rPr>
        <w:t>.</w:t>
      </w:r>
    </w:p>
    <w:p w14:paraId="39D086EB" w14:textId="77777777" w:rsidR="009004B0" w:rsidRDefault="009004B0" w:rsidP="009004B0">
      <w:pPr>
        <w:pStyle w:val="BodyText"/>
        <w:rPr>
          <w:lang w:val="en-AU"/>
        </w:rPr>
      </w:pPr>
    </w:p>
    <w:p w14:paraId="0FD4A5E3" w14:textId="1932F2F4" w:rsidR="009004B0" w:rsidRPr="009004B0" w:rsidRDefault="00CD31CA" w:rsidP="009004B0">
      <w:pPr>
        <w:pStyle w:val="Heading2"/>
      </w:pPr>
      <w:r>
        <w:br w:type="column"/>
      </w:r>
      <w:bookmarkStart w:id="17" w:name="_Toc218246493"/>
      <w:bookmarkStart w:id="18" w:name="_Toc219978478"/>
      <w:r w:rsidR="009004B0" w:rsidRPr="009004B0">
        <w:lastRenderedPageBreak/>
        <w:t>Prioritisation of waitlists</w:t>
      </w:r>
      <w:bookmarkEnd w:id="17"/>
      <w:bookmarkEnd w:id="18"/>
    </w:p>
    <w:p w14:paraId="6BECB800" w14:textId="4823BD84" w:rsidR="009004B0" w:rsidRPr="00293638" w:rsidRDefault="009004B0" w:rsidP="009004B0">
      <w:pPr>
        <w:pStyle w:val="BodyText"/>
        <w:spacing w:before="124" w:line="228" w:lineRule="auto"/>
        <w:ind w:left="113"/>
        <w:rPr>
          <w:color w:val="231F20"/>
          <w:sz w:val="20"/>
          <w:szCs w:val="20"/>
          <w:lang w:val="en-AU"/>
        </w:rPr>
      </w:pPr>
      <w:r w:rsidRPr="00293638">
        <w:rPr>
          <w:color w:val="231F20"/>
          <w:sz w:val="20"/>
          <w:szCs w:val="20"/>
          <w:lang w:val="en-AU"/>
        </w:rPr>
        <w:t xml:space="preserve">Agencies should prioritise casework and waitlisted </w:t>
      </w:r>
      <w:r w:rsidR="00161E51" w:rsidRPr="00293638">
        <w:rPr>
          <w:color w:val="231F20"/>
          <w:sz w:val="20"/>
          <w:szCs w:val="20"/>
          <w:lang w:val="en-AU"/>
        </w:rPr>
        <w:t>renters</w:t>
      </w:r>
      <w:r w:rsidRPr="00293638">
        <w:rPr>
          <w:color w:val="231F20"/>
          <w:sz w:val="20"/>
          <w:szCs w:val="20"/>
          <w:lang w:val="en-AU"/>
        </w:rPr>
        <w:t xml:space="preserve"> based on urgency and the potential severity of consequences. </w:t>
      </w:r>
    </w:p>
    <w:p w14:paraId="735BBD3A" w14:textId="77777777" w:rsidR="009004B0" w:rsidRPr="00293638" w:rsidRDefault="009004B0" w:rsidP="009004B0">
      <w:pPr>
        <w:pStyle w:val="BodyText"/>
        <w:spacing w:before="124" w:line="228" w:lineRule="auto"/>
        <w:ind w:left="113"/>
        <w:rPr>
          <w:color w:val="231F20"/>
          <w:sz w:val="20"/>
          <w:szCs w:val="20"/>
          <w:lang w:val="en-AU"/>
        </w:rPr>
      </w:pPr>
      <w:r w:rsidRPr="00293638">
        <w:rPr>
          <w:color w:val="231F20"/>
          <w:sz w:val="20"/>
          <w:szCs w:val="20"/>
          <w:lang w:val="en-AU"/>
        </w:rPr>
        <w:t>Agencies should consider the following when prioritising cases:</w:t>
      </w:r>
    </w:p>
    <w:p w14:paraId="21774332" w14:textId="77777777" w:rsidR="009004B0" w:rsidRPr="00293638" w:rsidRDefault="009004B0" w:rsidP="009004B0">
      <w:pPr>
        <w:pStyle w:val="BodyText"/>
        <w:numPr>
          <w:ilvl w:val="0"/>
          <w:numId w:val="29"/>
        </w:numPr>
        <w:spacing w:before="124" w:line="228" w:lineRule="auto"/>
        <w:rPr>
          <w:sz w:val="20"/>
          <w:szCs w:val="20"/>
          <w:lang w:val="en-AU"/>
        </w:rPr>
      </w:pPr>
      <w:r w:rsidRPr="00293638">
        <w:rPr>
          <w:sz w:val="20"/>
          <w:szCs w:val="20"/>
          <w:lang w:val="en-AU"/>
        </w:rPr>
        <w:t>the personal circumstances of the renter,</w:t>
      </w:r>
    </w:p>
    <w:p w14:paraId="7759A901" w14:textId="77777777" w:rsidR="009004B0" w:rsidRPr="00293638" w:rsidRDefault="009004B0" w:rsidP="009004B0">
      <w:pPr>
        <w:pStyle w:val="BodyText"/>
        <w:numPr>
          <w:ilvl w:val="0"/>
          <w:numId w:val="29"/>
        </w:numPr>
        <w:spacing w:before="124" w:line="228" w:lineRule="auto"/>
        <w:rPr>
          <w:sz w:val="20"/>
          <w:szCs w:val="20"/>
          <w:lang w:val="en-AU"/>
        </w:rPr>
      </w:pPr>
      <w:r w:rsidRPr="00293638">
        <w:rPr>
          <w:sz w:val="20"/>
          <w:szCs w:val="20"/>
          <w:lang w:val="en-AU"/>
        </w:rPr>
        <w:t>whether the issue is of an urgent nature, and</w:t>
      </w:r>
    </w:p>
    <w:p w14:paraId="45B59562" w14:textId="0295A1F7" w:rsidR="009004B0" w:rsidRPr="00293638" w:rsidRDefault="00161E51" w:rsidP="009004B0">
      <w:pPr>
        <w:pStyle w:val="BodyText"/>
        <w:numPr>
          <w:ilvl w:val="0"/>
          <w:numId w:val="29"/>
        </w:numPr>
        <w:spacing w:before="124" w:line="228" w:lineRule="auto"/>
        <w:rPr>
          <w:sz w:val="20"/>
          <w:szCs w:val="20"/>
          <w:lang w:val="en-AU"/>
        </w:rPr>
      </w:pPr>
      <w:r w:rsidRPr="00293638">
        <w:rPr>
          <w:sz w:val="20"/>
          <w:szCs w:val="20"/>
          <w:lang w:val="en-AU"/>
        </w:rPr>
        <w:t>w</w:t>
      </w:r>
      <w:r w:rsidR="009004B0" w:rsidRPr="00293638">
        <w:rPr>
          <w:sz w:val="20"/>
          <w:szCs w:val="20"/>
          <w:lang w:val="en-AU"/>
        </w:rPr>
        <w:t>hether the renter is part of a vulnerable renter cohort</w:t>
      </w:r>
      <w:r w:rsidR="00E07223">
        <w:rPr>
          <w:sz w:val="20"/>
          <w:szCs w:val="20"/>
          <w:lang w:val="en-AU"/>
        </w:rPr>
        <w:t>.</w:t>
      </w:r>
    </w:p>
    <w:p w14:paraId="62309A8E" w14:textId="77777777" w:rsidR="009004B0" w:rsidRPr="009004B0" w:rsidRDefault="009004B0" w:rsidP="009004B0">
      <w:pPr>
        <w:pStyle w:val="Heading3"/>
      </w:pPr>
      <w:r w:rsidRPr="009004B0">
        <w:t>Urgent personal circumstances of the renter</w:t>
      </w:r>
    </w:p>
    <w:p w14:paraId="7DA61E23" w14:textId="77777777" w:rsidR="009004B0" w:rsidRPr="00293638" w:rsidRDefault="009004B0" w:rsidP="0024680E">
      <w:pPr>
        <w:pStyle w:val="BodyText"/>
        <w:spacing w:before="135" w:line="228" w:lineRule="auto"/>
        <w:ind w:left="113" w:right="682"/>
        <w:rPr>
          <w:sz w:val="20"/>
          <w:szCs w:val="20"/>
          <w:lang w:val="en-AU"/>
        </w:rPr>
      </w:pPr>
      <w:r w:rsidRPr="00293638">
        <w:rPr>
          <w:color w:val="231F20"/>
          <w:sz w:val="20"/>
          <w:szCs w:val="20"/>
          <w:lang w:val="en-AU"/>
        </w:rPr>
        <w:t>When assessing whether the</w:t>
      </w:r>
      <w:r w:rsidRPr="00293638">
        <w:rPr>
          <w:color w:val="231F20"/>
          <w:spacing w:val="-8"/>
          <w:sz w:val="20"/>
          <w:szCs w:val="20"/>
          <w:lang w:val="en-AU"/>
        </w:rPr>
        <w:t xml:space="preserve"> </w:t>
      </w:r>
      <w:r w:rsidRPr="00293638">
        <w:rPr>
          <w:color w:val="231F20"/>
          <w:sz w:val="20"/>
          <w:szCs w:val="20"/>
          <w:lang w:val="en-AU"/>
        </w:rPr>
        <w:t>personal circumstances of a renter are</w:t>
      </w:r>
      <w:r w:rsidRPr="00293638">
        <w:rPr>
          <w:color w:val="231F20"/>
          <w:spacing w:val="-13"/>
          <w:sz w:val="20"/>
          <w:szCs w:val="20"/>
          <w:lang w:val="en-AU"/>
        </w:rPr>
        <w:t xml:space="preserve"> </w:t>
      </w:r>
      <w:r w:rsidRPr="00293638">
        <w:rPr>
          <w:color w:val="231F20"/>
          <w:sz w:val="20"/>
          <w:szCs w:val="20"/>
          <w:lang w:val="en-AU"/>
        </w:rPr>
        <w:t>urgent, relevant considerations</w:t>
      </w:r>
      <w:r w:rsidRPr="00293638">
        <w:rPr>
          <w:color w:val="231F20"/>
          <w:spacing w:val="-14"/>
          <w:sz w:val="20"/>
          <w:szCs w:val="20"/>
          <w:lang w:val="en-AU"/>
        </w:rPr>
        <w:t xml:space="preserve"> </w:t>
      </w:r>
      <w:r w:rsidRPr="00293638">
        <w:rPr>
          <w:color w:val="231F20"/>
          <w:sz w:val="20"/>
          <w:szCs w:val="20"/>
          <w:lang w:val="en-AU"/>
        </w:rPr>
        <w:t>include:</w:t>
      </w:r>
    </w:p>
    <w:p w14:paraId="68DF1BC6" w14:textId="3CC727BE" w:rsidR="009004B0" w:rsidRPr="00293638" w:rsidRDefault="009004B0" w:rsidP="009004B0">
      <w:pPr>
        <w:pStyle w:val="ListParagraph"/>
        <w:widowControl w:val="0"/>
        <w:numPr>
          <w:ilvl w:val="0"/>
          <w:numId w:val="27"/>
        </w:numPr>
        <w:tabs>
          <w:tab w:val="left" w:pos="341"/>
        </w:tabs>
        <w:autoSpaceDE w:val="0"/>
        <w:autoSpaceDN w:val="0"/>
        <w:spacing w:before="142" w:after="0" w:line="228" w:lineRule="auto"/>
        <w:ind w:right="265"/>
        <w:contextualSpacing w:val="0"/>
        <w:rPr>
          <w:szCs w:val="20"/>
        </w:rPr>
      </w:pPr>
      <w:r w:rsidRPr="00293638">
        <w:rPr>
          <w:color w:val="231F20"/>
          <w:szCs w:val="20"/>
        </w:rPr>
        <w:t>the likelihood the renter will</w:t>
      </w:r>
      <w:r w:rsidRPr="00293638">
        <w:rPr>
          <w:color w:val="231F20"/>
          <w:spacing w:val="-15"/>
          <w:szCs w:val="20"/>
        </w:rPr>
        <w:t xml:space="preserve"> </w:t>
      </w:r>
      <w:r w:rsidRPr="00293638">
        <w:rPr>
          <w:color w:val="231F20"/>
          <w:szCs w:val="20"/>
        </w:rPr>
        <w:t xml:space="preserve">experience significant detriment if </w:t>
      </w:r>
      <w:r w:rsidRPr="00293638">
        <w:rPr>
          <w:color w:val="231F20"/>
          <w:spacing w:val="-4"/>
          <w:szCs w:val="20"/>
        </w:rPr>
        <w:t xml:space="preserve">RRS </w:t>
      </w:r>
      <w:r w:rsidRPr="00293638">
        <w:rPr>
          <w:color w:val="231F20"/>
          <w:szCs w:val="20"/>
        </w:rPr>
        <w:t>services are not provided as soon as possible</w:t>
      </w:r>
      <w:r w:rsidR="00EB269C" w:rsidRPr="00293638">
        <w:rPr>
          <w:color w:val="231F20"/>
          <w:szCs w:val="20"/>
        </w:rPr>
        <w:t>, and</w:t>
      </w:r>
    </w:p>
    <w:p w14:paraId="52396CE5" w14:textId="15F2EC19" w:rsidR="009004B0" w:rsidRPr="00293638" w:rsidRDefault="009004B0" w:rsidP="009004B0">
      <w:pPr>
        <w:pStyle w:val="ListParagraph"/>
        <w:widowControl w:val="0"/>
        <w:numPr>
          <w:ilvl w:val="0"/>
          <w:numId w:val="27"/>
        </w:numPr>
        <w:tabs>
          <w:tab w:val="left" w:pos="341"/>
        </w:tabs>
        <w:autoSpaceDE w:val="0"/>
        <w:autoSpaceDN w:val="0"/>
        <w:spacing w:before="142" w:after="0" w:line="228" w:lineRule="auto"/>
        <w:ind w:right="265"/>
        <w:contextualSpacing w:val="0"/>
        <w:rPr>
          <w:szCs w:val="20"/>
        </w:rPr>
      </w:pPr>
      <w:r w:rsidRPr="00293638">
        <w:rPr>
          <w:color w:val="231F20"/>
          <w:szCs w:val="20"/>
        </w:rPr>
        <w:t>the renter’s ability to access services</w:t>
      </w:r>
      <w:r w:rsidR="00EB269C" w:rsidRPr="00293638">
        <w:rPr>
          <w:color w:val="231F20"/>
          <w:szCs w:val="20"/>
        </w:rPr>
        <w:t>.</w:t>
      </w:r>
    </w:p>
    <w:p w14:paraId="00137199" w14:textId="0A15C914" w:rsidR="009004B0" w:rsidRPr="00293638" w:rsidRDefault="00EB269C" w:rsidP="00EB269C">
      <w:pPr>
        <w:widowControl w:val="0"/>
        <w:tabs>
          <w:tab w:val="left" w:pos="341"/>
        </w:tabs>
        <w:autoSpaceDE w:val="0"/>
        <w:autoSpaceDN w:val="0"/>
        <w:spacing w:before="142" w:after="0" w:line="228" w:lineRule="auto"/>
        <w:ind w:left="113" w:right="265"/>
        <w:rPr>
          <w:color w:val="231F20"/>
          <w:szCs w:val="20"/>
        </w:rPr>
      </w:pPr>
      <w:r w:rsidRPr="00293638">
        <w:rPr>
          <w:color w:val="231F20"/>
          <w:szCs w:val="20"/>
        </w:rPr>
        <w:t>A</w:t>
      </w:r>
      <w:r w:rsidR="009004B0" w:rsidRPr="00293638">
        <w:rPr>
          <w:color w:val="231F20"/>
          <w:szCs w:val="20"/>
        </w:rPr>
        <w:t>ny case involving family violence is likely to be considered urgent.</w:t>
      </w:r>
    </w:p>
    <w:p w14:paraId="04F9BD59" w14:textId="77777777" w:rsidR="009004B0" w:rsidRDefault="009004B0" w:rsidP="009004B0">
      <w:pPr>
        <w:pStyle w:val="BodyText"/>
        <w:rPr>
          <w:lang w:val="en-AU"/>
        </w:rPr>
      </w:pPr>
    </w:p>
    <w:p w14:paraId="7BE1ACBD" w14:textId="77777777" w:rsidR="009004B0" w:rsidRPr="009004B0" w:rsidRDefault="009004B0" w:rsidP="009004B0">
      <w:pPr>
        <w:pStyle w:val="Heading3"/>
      </w:pPr>
      <w:r w:rsidRPr="009004B0">
        <w:t>Urgent rental issue</w:t>
      </w:r>
    </w:p>
    <w:p w14:paraId="1BACB901" w14:textId="77777777" w:rsidR="009004B0" w:rsidRPr="00293638" w:rsidRDefault="009004B0" w:rsidP="009004B0">
      <w:pPr>
        <w:pStyle w:val="BodyText"/>
        <w:spacing w:before="135" w:line="228" w:lineRule="auto"/>
        <w:ind w:left="113" w:right="107"/>
        <w:rPr>
          <w:sz w:val="20"/>
          <w:szCs w:val="20"/>
          <w:lang w:val="en-AU"/>
        </w:rPr>
      </w:pPr>
      <w:r w:rsidRPr="00293638">
        <w:rPr>
          <w:color w:val="231F20"/>
          <w:sz w:val="20"/>
          <w:szCs w:val="20"/>
          <w:lang w:val="en-AU"/>
        </w:rPr>
        <w:t>When assessing whether the rental matter is urgent, relevant considerations include the nature of the rental problem and any time deadlines are involved.</w:t>
      </w:r>
      <w:r w:rsidRPr="00293638">
        <w:rPr>
          <w:color w:val="231F20"/>
          <w:w w:val="85"/>
          <w:sz w:val="20"/>
          <w:szCs w:val="20"/>
          <w:lang w:val="en-AU"/>
        </w:rPr>
        <w:t xml:space="preserve"> </w:t>
      </w:r>
      <w:r w:rsidRPr="00293638">
        <w:rPr>
          <w:color w:val="231F20"/>
          <w:sz w:val="20"/>
          <w:szCs w:val="20"/>
          <w:lang w:val="en-AU"/>
        </w:rPr>
        <w:t>For example:</w:t>
      </w:r>
    </w:p>
    <w:p w14:paraId="4C4223D2" w14:textId="77777777" w:rsidR="009004B0" w:rsidRPr="00293638" w:rsidRDefault="009004B0" w:rsidP="009004B0">
      <w:pPr>
        <w:pStyle w:val="ListParagraph"/>
        <w:widowControl w:val="0"/>
        <w:numPr>
          <w:ilvl w:val="0"/>
          <w:numId w:val="27"/>
        </w:numPr>
        <w:tabs>
          <w:tab w:val="left" w:pos="341"/>
        </w:tabs>
        <w:autoSpaceDE w:val="0"/>
        <w:autoSpaceDN w:val="0"/>
        <w:spacing w:before="142" w:after="0" w:line="228" w:lineRule="auto"/>
        <w:ind w:right="807"/>
        <w:contextualSpacing w:val="0"/>
        <w:rPr>
          <w:szCs w:val="20"/>
        </w:rPr>
      </w:pPr>
      <w:r w:rsidRPr="00293638">
        <w:rPr>
          <w:color w:val="231F20"/>
          <w:szCs w:val="20"/>
        </w:rPr>
        <w:t>the rental property</w:t>
      </w:r>
      <w:r w:rsidRPr="00293638">
        <w:rPr>
          <w:color w:val="231F20"/>
          <w:spacing w:val="-24"/>
          <w:szCs w:val="20"/>
        </w:rPr>
        <w:t xml:space="preserve"> </w:t>
      </w:r>
      <w:r w:rsidRPr="00293638">
        <w:rPr>
          <w:color w:val="231F20"/>
          <w:szCs w:val="20"/>
        </w:rPr>
        <w:t>requires urgent repairs under the</w:t>
      </w:r>
      <w:r w:rsidRPr="00293638">
        <w:rPr>
          <w:color w:val="231F20"/>
          <w:spacing w:val="-7"/>
          <w:szCs w:val="20"/>
        </w:rPr>
        <w:t xml:space="preserve"> RTA</w:t>
      </w:r>
    </w:p>
    <w:p w14:paraId="2064FB91" w14:textId="01D239F9" w:rsidR="009004B0" w:rsidRPr="00293638" w:rsidRDefault="009004B0" w:rsidP="00CE1C2F">
      <w:pPr>
        <w:pStyle w:val="ListParagraph"/>
        <w:widowControl w:val="0"/>
        <w:numPr>
          <w:ilvl w:val="0"/>
          <w:numId w:val="27"/>
        </w:numPr>
        <w:tabs>
          <w:tab w:val="left" w:pos="341"/>
        </w:tabs>
        <w:autoSpaceDE w:val="0"/>
        <w:autoSpaceDN w:val="0"/>
        <w:spacing w:before="43" w:after="0" w:line="228" w:lineRule="auto"/>
        <w:ind w:right="555"/>
        <w:contextualSpacing w:val="0"/>
        <w:rPr>
          <w:szCs w:val="20"/>
        </w:rPr>
      </w:pPr>
      <w:r w:rsidRPr="00293638">
        <w:rPr>
          <w:color w:val="231F20"/>
          <w:szCs w:val="20"/>
        </w:rPr>
        <w:t xml:space="preserve">a </w:t>
      </w:r>
      <w:r w:rsidR="00CE1C2F">
        <w:t>Victorian Civil and Administrative Tribunal (</w:t>
      </w:r>
      <w:r w:rsidRPr="00507CB2">
        <w:t>VCAT</w:t>
      </w:r>
      <w:r w:rsidR="00CE1C2F">
        <w:t>)</w:t>
      </w:r>
      <w:r w:rsidRPr="00507CB2">
        <w:t xml:space="preserve"> </w:t>
      </w:r>
      <w:r w:rsidRPr="00293638">
        <w:rPr>
          <w:color w:val="231F20"/>
          <w:szCs w:val="20"/>
        </w:rPr>
        <w:t>hearing in three days’ time that may result in loss of accommodation</w:t>
      </w:r>
    </w:p>
    <w:p w14:paraId="5D13C011" w14:textId="77777777" w:rsidR="009004B0" w:rsidRPr="00293638" w:rsidRDefault="009004B0" w:rsidP="009004B0">
      <w:pPr>
        <w:pStyle w:val="ListParagraph"/>
        <w:widowControl w:val="0"/>
        <w:numPr>
          <w:ilvl w:val="0"/>
          <w:numId w:val="27"/>
        </w:numPr>
        <w:tabs>
          <w:tab w:val="left" w:pos="341"/>
        </w:tabs>
        <w:autoSpaceDE w:val="0"/>
        <w:autoSpaceDN w:val="0"/>
        <w:spacing w:before="43" w:after="0" w:line="228" w:lineRule="auto"/>
        <w:ind w:right="111"/>
        <w:contextualSpacing w:val="0"/>
        <w:rPr>
          <w:szCs w:val="20"/>
        </w:rPr>
      </w:pPr>
      <w:r w:rsidRPr="00293638">
        <w:rPr>
          <w:color w:val="231F20"/>
          <w:szCs w:val="20"/>
        </w:rPr>
        <w:t xml:space="preserve">the </w:t>
      </w:r>
      <w:r w:rsidRPr="00293638">
        <w:rPr>
          <w:color w:val="231F20"/>
          <w:spacing w:val="-3"/>
          <w:szCs w:val="20"/>
        </w:rPr>
        <w:t xml:space="preserve">renter </w:t>
      </w:r>
      <w:r w:rsidRPr="00293638">
        <w:rPr>
          <w:color w:val="231F20"/>
          <w:szCs w:val="20"/>
        </w:rPr>
        <w:t xml:space="preserve">has </w:t>
      </w:r>
      <w:r w:rsidRPr="00293638">
        <w:rPr>
          <w:color w:val="231F20"/>
          <w:spacing w:val="-3"/>
          <w:szCs w:val="20"/>
        </w:rPr>
        <w:t xml:space="preserve">been served with </w:t>
      </w:r>
      <w:r w:rsidRPr="00293638">
        <w:rPr>
          <w:color w:val="231F20"/>
          <w:szCs w:val="20"/>
        </w:rPr>
        <w:t xml:space="preserve">a </w:t>
      </w:r>
      <w:r w:rsidRPr="00293638">
        <w:rPr>
          <w:color w:val="231F20"/>
          <w:spacing w:val="-7"/>
          <w:szCs w:val="20"/>
        </w:rPr>
        <w:t xml:space="preserve">VCAT </w:t>
      </w:r>
      <w:r w:rsidRPr="00293638">
        <w:rPr>
          <w:color w:val="231F20"/>
          <w:spacing w:val="-4"/>
          <w:szCs w:val="20"/>
        </w:rPr>
        <w:t>order</w:t>
      </w:r>
      <w:r w:rsidRPr="00293638">
        <w:rPr>
          <w:color w:val="231F20"/>
          <w:spacing w:val="-7"/>
          <w:szCs w:val="20"/>
        </w:rPr>
        <w:t xml:space="preserve"> </w:t>
      </w:r>
      <w:r w:rsidRPr="00293638">
        <w:rPr>
          <w:color w:val="231F20"/>
          <w:spacing w:val="-3"/>
          <w:szCs w:val="20"/>
        </w:rPr>
        <w:t>for</w:t>
      </w:r>
      <w:r w:rsidRPr="00293638">
        <w:rPr>
          <w:color w:val="231F20"/>
          <w:spacing w:val="-7"/>
          <w:szCs w:val="20"/>
        </w:rPr>
        <w:t xml:space="preserve"> </w:t>
      </w:r>
      <w:r w:rsidRPr="00293638">
        <w:rPr>
          <w:color w:val="231F20"/>
          <w:spacing w:val="-4"/>
          <w:szCs w:val="20"/>
        </w:rPr>
        <w:t>possession</w:t>
      </w:r>
      <w:r w:rsidRPr="00293638">
        <w:rPr>
          <w:color w:val="231F20"/>
          <w:spacing w:val="-7"/>
          <w:szCs w:val="20"/>
        </w:rPr>
        <w:t xml:space="preserve"> </w:t>
      </w:r>
      <w:r w:rsidRPr="00293638">
        <w:rPr>
          <w:color w:val="231F20"/>
          <w:szCs w:val="20"/>
        </w:rPr>
        <w:t>of</w:t>
      </w:r>
      <w:r w:rsidRPr="00293638">
        <w:rPr>
          <w:color w:val="231F20"/>
          <w:spacing w:val="-7"/>
          <w:szCs w:val="20"/>
        </w:rPr>
        <w:t xml:space="preserve"> </w:t>
      </w:r>
      <w:r w:rsidRPr="00293638">
        <w:rPr>
          <w:color w:val="231F20"/>
          <w:spacing w:val="-3"/>
          <w:szCs w:val="20"/>
        </w:rPr>
        <w:t>their</w:t>
      </w:r>
      <w:r w:rsidRPr="00293638">
        <w:rPr>
          <w:color w:val="231F20"/>
          <w:spacing w:val="-7"/>
          <w:szCs w:val="20"/>
        </w:rPr>
        <w:t xml:space="preserve"> </w:t>
      </w:r>
      <w:r w:rsidRPr="00293638">
        <w:rPr>
          <w:color w:val="231F20"/>
          <w:spacing w:val="-4"/>
          <w:szCs w:val="20"/>
        </w:rPr>
        <w:t>rental</w:t>
      </w:r>
      <w:r w:rsidRPr="00293638">
        <w:rPr>
          <w:color w:val="231F20"/>
          <w:spacing w:val="-7"/>
          <w:szCs w:val="20"/>
        </w:rPr>
        <w:t xml:space="preserve"> </w:t>
      </w:r>
      <w:r w:rsidRPr="00293638">
        <w:rPr>
          <w:color w:val="231F20"/>
          <w:spacing w:val="-4"/>
          <w:szCs w:val="20"/>
        </w:rPr>
        <w:t>premises</w:t>
      </w:r>
      <w:r w:rsidRPr="00293638">
        <w:rPr>
          <w:color w:val="231F20"/>
          <w:spacing w:val="-29"/>
          <w:szCs w:val="20"/>
        </w:rPr>
        <w:t>.</w:t>
      </w:r>
    </w:p>
    <w:p w14:paraId="59BC3693" w14:textId="77777777" w:rsidR="009004B0" w:rsidRDefault="009004B0" w:rsidP="009004B0">
      <w:pPr>
        <w:pStyle w:val="BodyText"/>
        <w:rPr>
          <w:lang w:val="en-AU"/>
        </w:rPr>
      </w:pPr>
    </w:p>
    <w:p w14:paraId="24867C8C" w14:textId="15C9FC59" w:rsidR="009004B0" w:rsidRPr="009004B0" w:rsidRDefault="009004B0" w:rsidP="009004B0">
      <w:pPr>
        <w:pStyle w:val="Heading3"/>
      </w:pPr>
      <w:r w:rsidRPr="009004B0">
        <w:t>Vulnerable renter cohorts</w:t>
      </w:r>
    </w:p>
    <w:p w14:paraId="563D3B4E" w14:textId="592049F1" w:rsidR="009004B0" w:rsidRPr="00293638" w:rsidRDefault="009004B0" w:rsidP="009004B0">
      <w:pPr>
        <w:tabs>
          <w:tab w:val="left" w:pos="341"/>
        </w:tabs>
        <w:spacing w:before="43" w:line="228" w:lineRule="auto"/>
        <w:ind w:right="425"/>
        <w:rPr>
          <w:color w:val="231F20"/>
          <w:szCs w:val="20"/>
        </w:rPr>
      </w:pPr>
      <w:r w:rsidRPr="00293638">
        <w:rPr>
          <w:color w:val="231F20"/>
          <w:szCs w:val="20"/>
        </w:rPr>
        <w:t>Some cohorts of renter are more likely to experience housing insecurity or have faced difficult issues over their lives, which makes them more likely to need support. Being from a vulnerable renter cohort is not required to be eligible for RRS services but can be considered in the prioritisation of cases.  RRS clients may also be part of an overrepresented group or be particularly vulnerable to housing insecurity, and RRS workers should be aware of intersectionality of disadvantage and its impacts, while maintaining a culturally safe environment without stigma.</w:t>
      </w:r>
    </w:p>
    <w:p w14:paraId="37A9C9BC" w14:textId="286210C7" w:rsidR="00BD6F4C" w:rsidRPr="00293638" w:rsidRDefault="00BD6F4C" w:rsidP="007862AA">
      <w:pPr>
        <w:tabs>
          <w:tab w:val="left" w:pos="341"/>
        </w:tabs>
        <w:spacing w:before="43" w:line="228" w:lineRule="auto"/>
        <w:ind w:right="425"/>
        <w:rPr>
          <w:color w:val="231F20"/>
          <w:szCs w:val="20"/>
        </w:rPr>
      </w:pPr>
      <w:r w:rsidRPr="00293638">
        <w:rPr>
          <w:color w:val="231F20"/>
          <w:szCs w:val="20"/>
        </w:rPr>
        <w:t xml:space="preserve">Examples of priority </w:t>
      </w:r>
      <w:r w:rsidR="00B6658B" w:rsidRPr="00293638">
        <w:rPr>
          <w:color w:val="231F20"/>
          <w:szCs w:val="20"/>
        </w:rPr>
        <w:t>cohorts</w:t>
      </w:r>
      <w:r w:rsidR="00591882" w:rsidRPr="00293638">
        <w:rPr>
          <w:color w:val="231F20"/>
          <w:szCs w:val="20"/>
        </w:rPr>
        <w:t xml:space="preserve"> include:</w:t>
      </w:r>
    </w:p>
    <w:p w14:paraId="1ED56E28" w14:textId="4554CF5E" w:rsidR="00123C87" w:rsidRDefault="56F945B0" w:rsidP="44B61590">
      <w:pPr>
        <w:pStyle w:val="ListParagraph"/>
      </w:pPr>
      <w:r>
        <w:t>First Nations</w:t>
      </w:r>
      <w:r w:rsidR="3C5D4A67">
        <w:t xml:space="preserve"> people</w:t>
      </w:r>
    </w:p>
    <w:p w14:paraId="7CEFC5FA" w14:textId="77777777" w:rsidR="00B87618" w:rsidRDefault="009C53BE" w:rsidP="00123C87">
      <w:pPr>
        <w:pStyle w:val="ListParagraph"/>
        <w:numPr>
          <w:ilvl w:val="0"/>
          <w:numId w:val="41"/>
        </w:numPr>
      </w:pPr>
      <w:r>
        <w:t>People from c</w:t>
      </w:r>
      <w:r w:rsidR="005D2C0E">
        <w:t>ulturally and linguistically di</w:t>
      </w:r>
      <w:r w:rsidR="00B6658B">
        <w:t>verse backgrounds</w:t>
      </w:r>
    </w:p>
    <w:p w14:paraId="158AF2AC" w14:textId="77777777" w:rsidR="00B6658B" w:rsidRDefault="00B6658B" w:rsidP="00123C87">
      <w:pPr>
        <w:pStyle w:val="ListParagraph"/>
        <w:numPr>
          <w:ilvl w:val="0"/>
          <w:numId w:val="41"/>
        </w:numPr>
      </w:pPr>
      <w:r>
        <w:t>Older people</w:t>
      </w:r>
    </w:p>
    <w:p w14:paraId="0E8C64DD" w14:textId="77777777" w:rsidR="00B6658B" w:rsidRDefault="00B6658B" w:rsidP="00123C87">
      <w:pPr>
        <w:pStyle w:val="ListParagraph"/>
        <w:numPr>
          <w:ilvl w:val="0"/>
          <w:numId w:val="41"/>
        </w:numPr>
      </w:pPr>
      <w:r>
        <w:t>Residents of rooming houses</w:t>
      </w:r>
    </w:p>
    <w:p w14:paraId="3B06247D" w14:textId="77777777" w:rsidR="00B6658B" w:rsidRDefault="00B6658B" w:rsidP="00123C87">
      <w:pPr>
        <w:pStyle w:val="ListParagraph"/>
        <w:numPr>
          <w:ilvl w:val="0"/>
          <w:numId w:val="41"/>
        </w:numPr>
      </w:pPr>
      <w:r>
        <w:t>People affected by family violence</w:t>
      </w:r>
    </w:p>
    <w:p w14:paraId="75B29DB5" w14:textId="77777777" w:rsidR="00123C87" w:rsidRDefault="00123C87" w:rsidP="00123C87">
      <w:pPr>
        <w:pStyle w:val="ListParagraph"/>
        <w:numPr>
          <w:ilvl w:val="0"/>
          <w:numId w:val="41"/>
        </w:numPr>
      </w:pPr>
      <w:r>
        <w:t>People living with a disability</w:t>
      </w:r>
    </w:p>
    <w:p w14:paraId="605921D6" w14:textId="77777777" w:rsidR="00123C87" w:rsidRDefault="00123C87" w:rsidP="00123C87">
      <w:pPr>
        <w:pStyle w:val="ListParagraph"/>
        <w:numPr>
          <w:ilvl w:val="0"/>
          <w:numId w:val="41"/>
        </w:numPr>
      </w:pPr>
      <w:r>
        <w:t xml:space="preserve">Neurodivergent people. </w:t>
      </w:r>
    </w:p>
    <w:p w14:paraId="7775D907" w14:textId="77777777" w:rsidR="009004B0" w:rsidRDefault="009004B0" w:rsidP="009004B0">
      <w:pPr>
        <w:pStyle w:val="Heading2"/>
      </w:pPr>
      <w:bookmarkStart w:id="19" w:name="_Toc218246494"/>
      <w:bookmarkStart w:id="20" w:name="_Toc219978479"/>
      <w:r>
        <w:t>Response times</w:t>
      </w:r>
      <w:bookmarkEnd w:id="19"/>
      <w:bookmarkEnd w:id="20"/>
    </w:p>
    <w:p w14:paraId="7F13E0D8" w14:textId="77777777" w:rsidR="009004B0" w:rsidRPr="00293638" w:rsidRDefault="009004B0" w:rsidP="009004B0">
      <w:pPr>
        <w:pStyle w:val="BodyText"/>
        <w:spacing w:before="128"/>
        <w:ind w:left="113"/>
        <w:rPr>
          <w:sz w:val="20"/>
          <w:szCs w:val="20"/>
          <w:lang w:val="en-AU"/>
        </w:rPr>
      </w:pPr>
      <w:r w:rsidRPr="00293638">
        <w:rPr>
          <w:color w:val="231F20"/>
          <w:sz w:val="20"/>
          <w:szCs w:val="20"/>
          <w:lang w:val="en-AU"/>
        </w:rPr>
        <w:t>Applicable response times are:</w:t>
      </w:r>
    </w:p>
    <w:p w14:paraId="51D428AC" w14:textId="159826BB" w:rsidR="00CA0206" w:rsidRPr="00293638" w:rsidRDefault="005B6258" w:rsidP="00CA0206">
      <w:pPr>
        <w:pStyle w:val="ListParagraph"/>
        <w:widowControl w:val="0"/>
        <w:numPr>
          <w:ilvl w:val="0"/>
          <w:numId w:val="27"/>
        </w:numPr>
        <w:tabs>
          <w:tab w:val="left" w:pos="341"/>
        </w:tabs>
        <w:autoSpaceDE w:val="0"/>
        <w:autoSpaceDN w:val="0"/>
        <w:spacing w:before="43" w:after="0" w:line="228" w:lineRule="auto"/>
        <w:ind w:right="425"/>
        <w:contextualSpacing w:val="0"/>
        <w:rPr>
          <w:color w:val="231F20"/>
          <w:szCs w:val="20"/>
        </w:rPr>
      </w:pPr>
      <w:r w:rsidRPr="00293638">
        <w:rPr>
          <w:color w:val="231F20"/>
          <w:szCs w:val="20"/>
        </w:rPr>
        <w:t>f</w:t>
      </w:r>
      <w:r w:rsidR="00CA0206" w:rsidRPr="00293638">
        <w:rPr>
          <w:color w:val="231F20"/>
          <w:szCs w:val="20"/>
        </w:rPr>
        <w:t>or triage and early intervention cases, the agency must contact the renter within one (1) day.</w:t>
      </w:r>
    </w:p>
    <w:p w14:paraId="4798504B" w14:textId="0D7B5EC9" w:rsidR="00BB06A2" w:rsidRPr="00293638" w:rsidRDefault="009004B0" w:rsidP="001A6994">
      <w:pPr>
        <w:pStyle w:val="ListParagraph"/>
        <w:widowControl w:val="0"/>
        <w:numPr>
          <w:ilvl w:val="0"/>
          <w:numId w:val="27"/>
        </w:numPr>
        <w:tabs>
          <w:tab w:val="left" w:pos="341"/>
        </w:tabs>
        <w:autoSpaceDE w:val="0"/>
        <w:autoSpaceDN w:val="0"/>
        <w:spacing w:before="142" w:after="0" w:line="228" w:lineRule="auto"/>
        <w:contextualSpacing w:val="0"/>
        <w:rPr>
          <w:szCs w:val="20"/>
        </w:rPr>
      </w:pPr>
      <w:r w:rsidRPr="00293638">
        <w:rPr>
          <w:color w:val="231F20"/>
          <w:szCs w:val="20"/>
        </w:rPr>
        <w:t>for urgent cases, the agency must</w:t>
      </w:r>
      <w:r w:rsidRPr="00293638">
        <w:rPr>
          <w:color w:val="231F20"/>
          <w:spacing w:val="-16"/>
          <w:szCs w:val="20"/>
        </w:rPr>
        <w:t xml:space="preserve"> </w:t>
      </w:r>
      <w:r w:rsidRPr="00293638">
        <w:rPr>
          <w:color w:val="231F20"/>
          <w:szCs w:val="20"/>
        </w:rPr>
        <w:t>contact (or make reasonable attempts to contact) the renter within two (2) business</w:t>
      </w:r>
      <w:r w:rsidRPr="00293638">
        <w:rPr>
          <w:color w:val="231F20"/>
          <w:spacing w:val="-13"/>
          <w:szCs w:val="20"/>
        </w:rPr>
        <w:t xml:space="preserve"> </w:t>
      </w:r>
      <w:r w:rsidRPr="00293638">
        <w:rPr>
          <w:color w:val="231F20"/>
          <w:szCs w:val="20"/>
        </w:rPr>
        <w:t>days</w:t>
      </w:r>
    </w:p>
    <w:p w14:paraId="12FB50B6" w14:textId="0D03B296" w:rsidR="009004B0" w:rsidRPr="00293638" w:rsidRDefault="009004B0" w:rsidP="001A6994">
      <w:pPr>
        <w:pStyle w:val="ListParagraph"/>
        <w:widowControl w:val="0"/>
        <w:numPr>
          <w:ilvl w:val="0"/>
          <w:numId w:val="27"/>
        </w:numPr>
        <w:tabs>
          <w:tab w:val="left" w:pos="341"/>
        </w:tabs>
        <w:autoSpaceDE w:val="0"/>
        <w:autoSpaceDN w:val="0"/>
        <w:spacing w:before="142" w:after="0" w:line="228" w:lineRule="auto"/>
        <w:contextualSpacing w:val="0"/>
        <w:rPr>
          <w:szCs w:val="20"/>
        </w:rPr>
      </w:pPr>
      <w:r w:rsidRPr="00293638">
        <w:rPr>
          <w:color w:val="231F20"/>
          <w:szCs w:val="20"/>
        </w:rPr>
        <w:t xml:space="preserve">for non-urgent cases, the agency must contact the renter within </w:t>
      </w:r>
      <w:r w:rsidR="00C3621E" w:rsidRPr="00293638">
        <w:rPr>
          <w:color w:val="231F20"/>
          <w:szCs w:val="20"/>
        </w:rPr>
        <w:t>four</w:t>
      </w:r>
      <w:r w:rsidR="00C3621E" w:rsidRPr="00293638">
        <w:rPr>
          <w:color w:val="231F20"/>
          <w:spacing w:val="-16"/>
          <w:szCs w:val="20"/>
        </w:rPr>
        <w:t xml:space="preserve"> </w:t>
      </w:r>
      <w:r w:rsidRPr="00293638">
        <w:rPr>
          <w:color w:val="231F20"/>
          <w:szCs w:val="20"/>
        </w:rPr>
        <w:t>(</w:t>
      </w:r>
      <w:r w:rsidR="00C3621E" w:rsidRPr="00293638">
        <w:rPr>
          <w:color w:val="231F20"/>
          <w:szCs w:val="20"/>
        </w:rPr>
        <w:t>4</w:t>
      </w:r>
      <w:r w:rsidRPr="00293638">
        <w:rPr>
          <w:color w:val="231F20"/>
          <w:szCs w:val="20"/>
        </w:rPr>
        <w:t>) business</w:t>
      </w:r>
      <w:r w:rsidRPr="00293638">
        <w:rPr>
          <w:color w:val="231F20"/>
          <w:spacing w:val="-18"/>
          <w:szCs w:val="20"/>
        </w:rPr>
        <w:t xml:space="preserve"> </w:t>
      </w:r>
      <w:r w:rsidRPr="00293638">
        <w:rPr>
          <w:color w:val="231F20"/>
          <w:szCs w:val="20"/>
        </w:rPr>
        <w:t>days</w:t>
      </w:r>
      <w:r w:rsidRPr="00293638">
        <w:rPr>
          <w:color w:val="231F20"/>
          <w:spacing w:val="-38"/>
          <w:szCs w:val="20"/>
        </w:rPr>
        <w:t>.</w:t>
      </w:r>
    </w:p>
    <w:p w14:paraId="221920B9" w14:textId="2EC24E76" w:rsidR="006B178A" w:rsidRPr="001D38BD" w:rsidRDefault="006B178A" w:rsidP="006B178A">
      <w:pPr>
        <w:pStyle w:val="Heading1"/>
      </w:pPr>
      <w:r>
        <w:br w:type="column"/>
      </w:r>
      <w:bookmarkStart w:id="21" w:name="_Toc218781396"/>
      <w:bookmarkStart w:id="22" w:name="_Toc219978480"/>
      <w:r>
        <w:lastRenderedPageBreak/>
        <w:t xml:space="preserve">4. </w:t>
      </w:r>
      <w:bookmarkEnd w:id="21"/>
      <w:r w:rsidR="00F35D16">
        <w:t>Service types</w:t>
      </w:r>
      <w:bookmarkEnd w:id="22"/>
    </w:p>
    <w:p w14:paraId="144B0CA8" w14:textId="77777777" w:rsidR="00001F04" w:rsidRPr="00293638" w:rsidRDefault="00001F04" w:rsidP="00001F04">
      <w:pPr>
        <w:rPr>
          <w:szCs w:val="20"/>
          <w:lang w:val="en-US"/>
        </w:rPr>
      </w:pPr>
      <w:bookmarkStart w:id="23" w:name="_Toc218781397"/>
      <w:r w:rsidRPr="00293638">
        <w:rPr>
          <w:szCs w:val="20"/>
          <w:lang w:val="en-US"/>
        </w:rPr>
        <w:t>A key component of the RRS service model is the service types used to measure reportable hours of service. There are five service types RRS workers can use to record service duration.  These are:</w:t>
      </w:r>
    </w:p>
    <w:p w14:paraId="1E315862" w14:textId="77777777" w:rsidR="00001F04" w:rsidRPr="00293638" w:rsidRDefault="00001F04" w:rsidP="00001F04">
      <w:pPr>
        <w:numPr>
          <w:ilvl w:val="0"/>
          <w:numId w:val="27"/>
        </w:numPr>
        <w:rPr>
          <w:szCs w:val="20"/>
        </w:rPr>
      </w:pPr>
      <w:r w:rsidRPr="00293638">
        <w:rPr>
          <w:szCs w:val="20"/>
        </w:rPr>
        <w:t>Early intervention support</w:t>
      </w:r>
    </w:p>
    <w:p w14:paraId="661868CA" w14:textId="77777777" w:rsidR="00001F04" w:rsidRPr="00293638" w:rsidRDefault="00001F04" w:rsidP="00001F04">
      <w:pPr>
        <w:numPr>
          <w:ilvl w:val="0"/>
          <w:numId w:val="27"/>
        </w:numPr>
        <w:rPr>
          <w:szCs w:val="20"/>
        </w:rPr>
      </w:pPr>
      <w:r w:rsidRPr="00293638">
        <w:rPr>
          <w:szCs w:val="20"/>
        </w:rPr>
        <w:t>Information and referral</w:t>
      </w:r>
    </w:p>
    <w:p w14:paraId="5178E845" w14:textId="77777777" w:rsidR="00001F04" w:rsidRPr="00293638" w:rsidRDefault="00001F04" w:rsidP="00001F04">
      <w:pPr>
        <w:numPr>
          <w:ilvl w:val="0"/>
          <w:numId w:val="27"/>
        </w:numPr>
        <w:rPr>
          <w:szCs w:val="20"/>
        </w:rPr>
      </w:pPr>
      <w:r w:rsidRPr="00293638">
        <w:rPr>
          <w:szCs w:val="20"/>
        </w:rPr>
        <w:t>Negotiation and advocacy</w:t>
      </w:r>
    </w:p>
    <w:p w14:paraId="26738592" w14:textId="1BF0455C" w:rsidR="00001F04" w:rsidRPr="00293638" w:rsidRDefault="00001F04" w:rsidP="00001F04">
      <w:pPr>
        <w:numPr>
          <w:ilvl w:val="0"/>
          <w:numId w:val="27"/>
        </w:numPr>
        <w:rPr>
          <w:szCs w:val="20"/>
        </w:rPr>
      </w:pPr>
      <w:r w:rsidRPr="00293638">
        <w:rPr>
          <w:szCs w:val="20"/>
        </w:rPr>
        <w:t xml:space="preserve">Assistance with </w:t>
      </w:r>
      <w:r w:rsidR="00CE1C2F" w:rsidRPr="00293638">
        <w:rPr>
          <w:szCs w:val="20"/>
        </w:rPr>
        <w:t xml:space="preserve">Rental Dispute Resolution Victoria </w:t>
      </w:r>
      <w:r w:rsidR="00CE1C2F">
        <w:rPr>
          <w:szCs w:val="20"/>
        </w:rPr>
        <w:t>(</w:t>
      </w:r>
      <w:r w:rsidRPr="00293638">
        <w:rPr>
          <w:szCs w:val="20"/>
        </w:rPr>
        <w:t>RDRV</w:t>
      </w:r>
      <w:r w:rsidR="00CE1C2F">
        <w:rPr>
          <w:szCs w:val="20"/>
        </w:rPr>
        <w:t>)</w:t>
      </w:r>
      <w:r w:rsidRPr="00293638">
        <w:rPr>
          <w:szCs w:val="20"/>
        </w:rPr>
        <w:t xml:space="preserve"> </w:t>
      </w:r>
      <w:r w:rsidR="00A77FD8" w:rsidRPr="00293638">
        <w:rPr>
          <w:szCs w:val="20"/>
        </w:rPr>
        <w:t>matters</w:t>
      </w:r>
      <w:r w:rsidRPr="00293638">
        <w:rPr>
          <w:szCs w:val="20"/>
        </w:rPr>
        <w:t xml:space="preserve"> and VCAT</w:t>
      </w:r>
      <w:r w:rsidR="00A77FD8" w:rsidRPr="00293638">
        <w:rPr>
          <w:szCs w:val="20"/>
        </w:rPr>
        <w:t xml:space="preserve"> cases</w:t>
      </w:r>
    </w:p>
    <w:p w14:paraId="38D7F819" w14:textId="6CAE0D25" w:rsidR="00001F04" w:rsidRPr="00293638" w:rsidRDefault="00001F04" w:rsidP="00001F04">
      <w:pPr>
        <w:numPr>
          <w:ilvl w:val="0"/>
          <w:numId w:val="27"/>
        </w:numPr>
        <w:rPr>
          <w:szCs w:val="20"/>
        </w:rPr>
      </w:pPr>
      <w:r w:rsidRPr="00293638">
        <w:rPr>
          <w:szCs w:val="20"/>
        </w:rPr>
        <w:t>Service enhancements</w:t>
      </w:r>
      <w:r w:rsidR="00442A79" w:rsidRPr="00293638">
        <w:rPr>
          <w:szCs w:val="20"/>
        </w:rPr>
        <w:t>.</w:t>
      </w:r>
    </w:p>
    <w:p w14:paraId="017CCA67" w14:textId="77777777" w:rsidR="00001F04" w:rsidRPr="00001F04" w:rsidRDefault="00001F04" w:rsidP="00001F04">
      <w:pPr>
        <w:pStyle w:val="Heading2"/>
      </w:pPr>
      <w:bookmarkStart w:id="24" w:name="_Toc218246519"/>
      <w:bookmarkStart w:id="25" w:name="_Toc219978481"/>
      <w:r w:rsidRPr="00001F04">
        <w:t>Early intervention support</w:t>
      </w:r>
      <w:bookmarkEnd w:id="24"/>
      <w:bookmarkEnd w:id="25"/>
    </w:p>
    <w:p w14:paraId="2B6D8977" w14:textId="77777777" w:rsidR="00001F04" w:rsidRPr="00293638" w:rsidRDefault="00001F04" w:rsidP="00001F04">
      <w:pPr>
        <w:rPr>
          <w:szCs w:val="20"/>
        </w:rPr>
      </w:pPr>
      <w:r w:rsidRPr="00293638">
        <w:rPr>
          <w:szCs w:val="20"/>
        </w:rPr>
        <w:t>Early intervention support is an attempt to direct clients to the appropriate support as soon as possible. Early intervention support includes:</w:t>
      </w:r>
    </w:p>
    <w:p w14:paraId="243F6EFA" w14:textId="610EC568" w:rsidR="00001F04" w:rsidRPr="00293638" w:rsidRDefault="00001F04" w:rsidP="006A5600">
      <w:pPr>
        <w:numPr>
          <w:ilvl w:val="0"/>
          <w:numId w:val="27"/>
        </w:numPr>
        <w:rPr>
          <w:szCs w:val="20"/>
        </w:rPr>
      </w:pPr>
      <w:r w:rsidRPr="00293638">
        <w:rPr>
          <w:szCs w:val="20"/>
        </w:rPr>
        <w:t>intake and referral to relevant support services</w:t>
      </w:r>
    </w:p>
    <w:p w14:paraId="30913C82" w14:textId="68BA2660" w:rsidR="00001F04" w:rsidRPr="00293638" w:rsidRDefault="00E54C71" w:rsidP="006A5600">
      <w:pPr>
        <w:numPr>
          <w:ilvl w:val="0"/>
          <w:numId w:val="27"/>
        </w:numPr>
        <w:rPr>
          <w:szCs w:val="20"/>
        </w:rPr>
      </w:pPr>
      <w:r>
        <w:rPr>
          <w:szCs w:val="20"/>
        </w:rPr>
        <w:t>t</w:t>
      </w:r>
      <w:r w:rsidR="00001F04" w:rsidRPr="00293638">
        <w:rPr>
          <w:szCs w:val="20"/>
        </w:rPr>
        <w:t>riage assessments of clients</w:t>
      </w:r>
    </w:p>
    <w:p w14:paraId="4ECB1497" w14:textId="2E92DFDB" w:rsidR="00001F04" w:rsidRPr="00293638" w:rsidRDefault="00E54C71" w:rsidP="006A5600">
      <w:pPr>
        <w:numPr>
          <w:ilvl w:val="0"/>
          <w:numId w:val="27"/>
        </w:numPr>
        <w:rPr>
          <w:szCs w:val="20"/>
        </w:rPr>
      </w:pPr>
      <w:r>
        <w:rPr>
          <w:szCs w:val="20"/>
        </w:rPr>
        <w:t>p</w:t>
      </w:r>
      <w:r w:rsidR="00001F04" w:rsidRPr="00293638">
        <w:rPr>
          <w:szCs w:val="20"/>
        </w:rPr>
        <w:t>roviding early intervention support services to prevent crisis.</w:t>
      </w:r>
    </w:p>
    <w:p w14:paraId="5FE1C061" w14:textId="414FEEEB" w:rsidR="00001F04" w:rsidRPr="00293638" w:rsidRDefault="00001F04" w:rsidP="00001F04">
      <w:pPr>
        <w:rPr>
          <w:szCs w:val="20"/>
        </w:rPr>
      </w:pPr>
      <w:r w:rsidRPr="00293638">
        <w:rPr>
          <w:szCs w:val="20"/>
        </w:rPr>
        <w:t>RRS workers need to open a case to record time on providing ‘early intervention support’ for their dedicated intake workers.</w:t>
      </w:r>
    </w:p>
    <w:p w14:paraId="39D98F3D" w14:textId="77777777" w:rsidR="00001F04" w:rsidRPr="00001F04" w:rsidRDefault="00001F04" w:rsidP="00001F04">
      <w:pPr>
        <w:pStyle w:val="Heading2"/>
      </w:pPr>
      <w:bookmarkStart w:id="26" w:name="_Toc218246520"/>
      <w:bookmarkStart w:id="27" w:name="_Toc219978482"/>
      <w:r w:rsidRPr="00001F04">
        <w:t>Information and referral</w:t>
      </w:r>
      <w:bookmarkEnd w:id="26"/>
      <w:bookmarkEnd w:id="27"/>
    </w:p>
    <w:p w14:paraId="6A58DCC4" w14:textId="77777777" w:rsidR="00001F04" w:rsidRPr="00293638" w:rsidRDefault="00001F04" w:rsidP="00001F04">
      <w:pPr>
        <w:rPr>
          <w:szCs w:val="20"/>
        </w:rPr>
      </w:pPr>
      <w:r w:rsidRPr="00293638">
        <w:rPr>
          <w:szCs w:val="20"/>
        </w:rPr>
        <w:t>The service type of ‘information and referral’ includes:</w:t>
      </w:r>
    </w:p>
    <w:p w14:paraId="00531766" w14:textId="73FE8F55" w:rsidR="00001F04" w:rsidRPr="00293638" w:rsidRDefault="00001F04" w:rsidP="00001F04">
      <w:pPr>
        <w:numPr>
          <w:ilvl w:val="0"/>
          <w:numId w:val="27"/>
        </w:numPr>
        <w:rPr>
          <w:szCs w:val="20"/>
        </w:rPr>
      </w:pPr>
      <w:r w:rsidRPr="00293638">
        <w:rPr>
          <w:szCs w:val="20"/>
        </w:rPr>
        <w:t>the provision of general rental information, such as copies of the CAV rental guidebooks, or</w:t>
      </w:r>
      <w:r w:rsidR="0062185F" w:rsidRPr="00293638">
        <w:rPr>
          <w:szCs w:val="20"/>
        </w:rPr>
        <w:t xml:space="preserve"> </w:t>
      </w:r>
      <w:r w:rsidRPr="00293638">
        <w:rPr>
          <w:szCs w:val="20"/>
        </w:rPr>
        <w:t>directing renters to the relevant pages of the CAV website</w:t>
      </w:r>
    </w:p>
    <w:p w14:paraId="0EB559EE" w14:textId="77777777" w:rsidR="00001F04" w:rsidRPr="00293638" w:rsidRDefault="00001F04" w:rsidP="00001F04">
      <w:pPr>
        <w:numPr>
          <w:ilvl w:val="0"/>
          <w:numId w:val="27"/>
        </w:numPr>
        <w:rPr>
          <w:szCs w:val="20"/>
        </w:rPr>
      </w:pPr>
      <w:r w:rsidRPr="00293638">
        <w:rPr>
          <w:szCs w:val="20"/>
        </w:rPr>
        <w:t>initial or one-off tailored rental advice based on the renter’s circumstances, or</w:t>
      </w:r>
    </w:p>
    <w:p w14:paraId="5E47C9F1" w14:textId="77777777" w:rsidR="00001F04" w:rsidRPr="00293638" w:rsidRDefault="00001F04" w:rsidP="00001F04">
      <w:pPr>
        <w:numPr>
          <w:ilvl w:val="0"/>
          <w:numId w:val="27"/>
        </w:numPr>
        <w:rPr>
          <w:szCs w:val="20"/>
        </w:rPr>
      </w:pPr>
      <w:r w:rsidRPr="00293638">
        <w:rPr>
          <w:szCs w:val="20"/>
        </w:rPr>
        <w:t>a referral to another service.</w:t>
      </w:r>
    </w:p>
    <w:p w14:paraId="031AF987" w14:textId="1A5A9769" w:rsidR="00001F04" w:rsidRPr="00293638" w:rsidRDefault="00001F04" w:rsidP="0022356F">
      <w:pPr>
        <w:spacing w:after="0"/>
        <w:rPr>
          <w:szCs w:val="20"/>
        </w:rPr>
      </w:pPr>
      <w:r w:rsidRPr="00293638">
        <w:rPr>
          <w:szCs w:val="20"/>
        </w:rPr>
        <w:t>RRS workers need to open a case to record time on providing ‘information and referral’.</w:t>
      </w:r>
    </w:p>
    <w:p w14:paraId="7AF1F10A" w14:textId="77777777" w:rsidR="00001F04" w:rsidRPr="00001F04" w:rsidRDefault="00001F04" w:rsidP="00001F04">
      <w:pPr>
        <w:pStyle w:val="Heading2"/>
      </w:pPr>
      <w:bookmarkStart w:id="28" w:name="_Toc218246521"/>
      <w:bookmarkStart w:id="29" w:name="_Toc219978483"/>
      <w:r w:rsidRPr="00001F04">
        <w:t>Negotiation</w:t>
      </w:r>
      <w:bookmarkEnd w:id="28"/>
      <w:r w:rsidRPr="00001F04">
        <w:t xml:space="preserve"> and advocacy</w:t>
      </w:r>
      <w:bookmarkEnd w:id="29"/>
    </w:p>
    <w:p w14:paraId="2EB8FF46" w14:textId="3282430F" w:rsidR="00001F04" w:rsidRPr="00293638" w:rsidRDefault="00001F04" w:rsidP="00001F04">
      <w:pPr>
        <w:rPr>
          <w:szCs w:val="20"/>
        </w:rPr>
      </w:pPr>
      <w:r w:rsidRPr="00293638">
        <w:rPr>
          <w:szCs w:val="20"/>
        </w:rPr>
        <w:t>Negotiation is an attempt to resolve a</w:t>
      </w:r>
      <w:r w:rsidR="00E910B9" w:rsidRPr="00293638">
        <w:rPr>
          <w:szCs w:val="20"/>
        </w:rPr>
        <w:t>n</w:t>
      </w:r>
      <w:r w:rsidRPr="00293638">
        <w:rPr>
          <w:szCs w:val="20"/>
        </w:rPr>
        <w:t xml:space="preserve"> </w:t>
      </w:r>
      <w:r w:rsidR="00E910B9" w:rsidRPr="00293638">
        <w:rPr>
          <w:szCs w:val="20"/>
        </w:rPr>
        <w:t xml:space="preserve">issue </w:t>
      </w:r>
      <w:r w:rsidRPr="00293638">
        <w:rPr>
          <w:szCs w:val="20"/>
        </w:rPr>
        <w:t xml:space="preserve">outright or prevent a RDRV </w:t>
      </w:r>
      <w:r w:rsidR="00465DAC" w:rsidRPr="00293638">
        <w:rPr>
          <w:szCs w:val="20"/>
        </w:rPr>
        <w:t xml:space="preserve">matter </w:t>
      </w:r>
      <w:r w:rsidRPr="00293638">
        <w:rPr>
          <w:szCs w:val="20"/>
        </w:rPr>
        <w:t xml:space="preserve">or </w:t>
      </w:r>
      <w:r w:rsidR="006F646C" w:rsidRPr="00293638">
        <w:rPr>
          <w:szCs w:val="20"/>
        </w:rPr>
        <w:t xml:space="preserve">a </w:t>
      </w:r>
      <w:r w:rsidRPr="00293638">
        <w:rPr>
          <w:szCs w:val="20"/>
        </w:rPr>
        <w:t>VCAT</w:t>
      </w:r>
      <w:r w:rsidR="00036D98" w:rsidRPr="00293638">
        <w:rPr>
          <w:szCs w:val="20"/>
        </w:rPr>
        <w:t xml:space="preserve"> </w:t>
      </w:r>
      <w:r w:rsidRPr="00293638">
        <w:rPr>
          <w:szCs w:val="20"/>
        </w:rPr>
        <w:t>hearing. Only renters who are financially disadvantaged, at risk of losing their housing or victims of family violence are eligible for negotiation services.</w:t>
      </w:r>
    </w:p>
    <w:p w14:paraId="0A25F6FA" w14:textId="77777777" w:rsidR="00001F04" w:rsidRPr="00293638" w:rsidRDefault="00001F04" w:rsidP="00001F04">
      <w:pPr>
        <w:rPr>
          <w:szCs w:val="20"/>
        </w:rPr>
      </w:pPr>
      <w:r w:rsidRPr="00293638">
        <w:rPr>
          <w:szCs w:val="20"/>
        </w:rPr>
        <w:t>When negotiating, an RRS worker may:</w:t>
      </w:r>
    </w:p>
    <w:p w14:paraId="6D80806D" w14:textId="77777777" w:rsidR="00001F04" w:rsidRPr="00293638" w:rsidRDefault="00001F04" w:rsidP="00001F04">
      <w:pPr>
        <w:numPr>
          <w:ilvl w:val="0"/>
          <w:numId w:val="27"/>
        </w:numPr>
        <w:rPr>
          <w:szCs w:val="20"/>
        </w:rPr>
      </w:pPr>
      <w:r w:rsidRPr="00293638">
        <w:rPr>
          <w:szCs w:val="20"/>
        </w:rPr>
        <w:t>ensure appropriate responses have been made to all important rental documents the renter receives (such as a Notice for breach of duty or rent increase)</w:t>
      </w:r>
    </w:p>
    <w:p w14:paraId="75CBCADC" w14:textId="77777777" w:rsidR="00001F04" w:rsidRPr="00293638" w:rsidRDefault="00001F04" w:rsidP="00001F04">
      <w:pPr>
        <w:numPr>
          <w:ilvl w:val="0"/>
          <w:numId w:val="27"/>
        </w:numPr>
        <w:rPr>
          <w:szCs w:val="20"/>
        </w:rPr>
      </w:pPr>
      <w:r w:rsidRPr="00293638">
        <w:rPr>
          <w:szCs w:val="20"/>
        </w:rPr>
        <w:t>draft letters on the renter’s behalf</w:t>
      </w:r>
    </w:p>
    <w:p w14:paraId="26323E1A" w14:textId="5352C398" w:rsidR="00001F04" w:rsidRPr="00293638" w:rsidRDefault="00001F04" w:rsidP="00001F04">
      <w:pPr>
        <w:numPr>
          <w:ilvl w:val="0"/>
          <w:numId w:val="27"/>
        </w:numPr>
        <w:rPr>
          <w:szCs w:val="20"/>
        </w:rPr>
      </w:pPr>
      <w:r w:rsidRPr="00293638">
        <w:rPr>
          <w:szCs w:val="20"/>
        </w:rPr>
        <w:t xml:space="preserve">negotiate on behalf of the client with the other party (such as a </w:t>
      </w:r>
      <w:r w:rsidR="008F4959">
        <w:rPr>
          <w:szCs w:val="20"/>
        </w:rPr>
        <w:t>rental provider (</w:t>
      </w:r>
      <w:r w:rsidRPr="00293638">
        <w:rPr>
          <w:szCs w:val="20"/>
        </w:rPr>
        <w:t>landlord</w:t>
      </w:r>
      <w:r w:rsidR="008F4959">
        <w:rPr>
          <w:szCs w:val="20"/>
        </w:rPr>
        <w:t>)</w:t>
      </w:r>
      <w:r w:rsidRPr="00293638">
        <w:rPr>
          <w:szCs w:val="20"/>
        </w:rPr>
        <w:t>, rooming house manager or real estate agent), and</w:t>
      </w:r>
    </w:p>
    <w:p w14:paraId="70853FBD" w14:textId="77777777" w:rsidR="00001F04" w:rsidRPr="00293638" w:rsidRDefault="00001F04" w:rsidP="00001F04">
      <w:pPr>
        <w:numPr>
          <w:ilvl w:val="0"/>
          <w:numId w:val="27"/>
        </w:numPr>
        <w:rPr>
          <w:szCs w:val="20"/>
        </w:rPr>
      </w:pPr>
      <w:r w:rsidRPr="00293638">
        <w:rPr>
          <w:szCs w:val="20"/>
        </w:rPr>
        <w:t>bring the parties together to negotiate a resolution of the issue.</w:t>
      </w:r>
    </w:p>
    <w:p w14:paraId="42EB1CC3" w14:textId="3D013B74" w:rsidR="00001F04" w:rsidRPr="00293638" w:rsidRDefault="00001F04" w:rsidP="00001F04">
      <w:pPr>
        <w:rPr>
          <w:szCs w:val="20"/>
        </w:rPr>
      </w:pPr>
      <w:r w:rsidRPr="00293638">
        <w:rPr>
          <w:szCs w:val="20"/>
        </w:rPr>
        <w:t xml:space="preserve">On completion of the negotiation, the RRS worker may refer the renter to another support service (for example, financial counselling, mental health, family violence services) and provide options on further steps the renter may wish to undertake, including </w:t>
      </w:r>
      <w:r w:rsidR="00B36225" w:rsidRPr="00293638">
        <w:rPr>
          <w:szCs w:val="20"/>
        </w:rPr>
        <w:t>at</w:t>
      </w:r>
      <w:r w:rsidRPr="00293638">
        <w:rPr>
          <w:szCs w:val="20"/>
        </w:rPr>
        <w:t xml:space="preserve"> RDRV or VCAT.</w:t>
      </w:r>
    </w:p>
    <w:p w14:paraId="3A046F06" w14:textId="1DEFCF0D" w:rsidR="00001F04" w:rsidRPr="00001F04" w:rsidRDefault="00001F04" w:rsidP="00001F04">
      <w:pPr>
        <w:pStyle w:val="Heading2"/>
      </w:pPr>
      <w:bookmarkStart w:id="30" w:name="_Toc218246522"/>
      <w:bookmarkStart w:id="31" w:name="_Toc219978484"/>
      <w:r w:rsidRPr="00001F04">
        <w:t>RDRV and VCAT assistance</w:t>
      </w:r>
      <w:bookmarkEnd w:id="30"/>
      <w:bookmarkEnd w:id="31"/>
    </w:p>
    <w:p w14:paraId="5723FCFD" w14:textId="445D919C" w:rsidR="00001F04" w:rsidRPr="00293638" w:rsidRDefault="00001F04" w:rsidP="00001F04">
      <w:pPr>
        <w:rPr>
          <w:szCs w:val="20"/>
        </w:rPr>
      </w:pPr>
      <w:r w:rsidRPr="00293638">
        <w:rPr>
          <w:szCs w:val="20"/>
        </w:rPr>
        <w:t>RRS workers may provide the following assistance to eligible renters for a matter proceeding to RDRV or VCAT:</w:t>
      </w:r>
    </w:p>
    <w:p w14:paraId="1AAD5E83" w14:textId="77777777" w:rsidR="00001F04" w:rsidRPr="00293638" w:rsidRDefault="00001F04" w:rsidP="00001F04">
      <w:pPr>
        <w:numPr>
          <w:ilvl w:val="0"/>
          <w:numId w:val="27"/>
        </w:numPr>
        <w:rPr>
          <w:szCs w:val="20"/>
        </w:rPr>
      </w:pPr>
      <w:r w:rsidRPr="00293638">
        <w:rPr>
          <w:szCs w:val="20"/>
        </w:rPr>
        <w:lastRenderedPageBreak/>
        <w:t>information and advice on processes and procedures</w:t>
      </w:r>
    </w:p>
    <w:p w14:paraId="080F90F3" w14:textId="77777777" w:rsidR="00001F04" w:rsidRPr="00293638" w:rsidRDefault="00001F04" w:rsidP="00001F04">
      <w:pPr>
        <w:numPr>
          <w:ilvl w:val="0"/>
          <w:numId w:val="27"/>
        </w:numPr>
        <w:rPr>
          <w:szCs w:val="20"/>
        </w:rPr>
      </w:pPr>
      <w:r w:rsidRPr="00293638">
        <w:rPr>
          <w:szCs w:val="20"/>
        </w:rPr>
        <w:t>assistance with completing forms and preparing documents</w:t>
      </w:r>
    </w:p>
    <w:p w14:paraId="58386715" w14:textId="42C1BAB8" w:rsidR="00001F04" w:rsidRPr="00293638" w:rsidRDefault="00001F04" w:rsidP="00001F04">
      <w:pPr>
        <w:numPr>
          <w:ilvl w:val="0"/>
          <w:numId w:val="27"/>
        </w:numPr>
        <w:rPr>
          <w:szCs w:val="20"/>
        </w:rPr>
      </w:pPr>
      <w:r w:rsidRPr="00293638">
        <w:rPr>
          <w:szCs w:val="20"/>
        </w:rPr>
        <w:t xml:space="preserve">assisting renters </w:t>
      </w:r>
      <w:r w:rsidR="00862286">
        <w:rPr>
          <w:szCs w:val="20"/>
        </w:rPr>
        <w:t xml:space="preserve">to </w:t>
      </w:r>
      <w:r w:rsidRPr="00293638">
        <w:rPr>
          <w:szCs w:val="20"/>
        </w:rPr>
        <w:t>prepare to represent themselves at hearings or cases</w:t>
      </w:r>
    </w:p>
    <w:p w14:paraId="06D7824D" w14:textId="44925D35" w:rsidR="00001F04" w:rsidRPr="00293638" w:rsidRDefault="00001F04" w:rsidP="00001F04">
      <w:pPr>
        <w:numPr>
          <w:ilvl w:val="0"/>
          <w:numId w:val="27"/>
        </w:numPr>
        <w:rPr>
          <w:szCs w:val="20"/>
        </w:rPr>
      </w:pPr>
      <w:r>
        <w:t xml:space="preserve">attending and advocating for renters at RDRV </w:t>
      </w:r>
      <w:r w:rsidR="00D0458A">
        <w:t>dispute resolution</w:t>
      </w:r>
      <w:r w:rsidR="00D57839">
        <w:t xml:space="preserve"> sessions </w:t>
      </w:r>
      <w:r>
        <w:t>or VCAT hearings if the renter cannot represent themselves.</w:t>
      </w:r>
    </w:p>
    <w:p w14:paraId="14AE6625" w14:textId="41D90E7F" w:rsidR="00001F04" w:rsidRPr="00293638" w:rsidRDefault="00001F04" w:rsidP="00001F04">
      <w:pPr>
        <w:rPr>
          <w:szCs w:val="20"/>
        </w:rPr>
      </w:pPr>
      <w:r w:rsidRPr="00293638">
        <w:rPr>
          <w:szCs w:val="20"/>
        </w:rPr>
        <w:t>The RRS worker’s participation at a VCAT hearing is at the discretion of the member and may be limited to opening and closing submissions.</w:t>
      </w:r>
    </w:p>
    <w:p w14:paraId="3D43B06D" w14:textId="5AAD5C0D" w:rsidR="00001F04" w:rsidRPr="00293638" w:rsidRDefault="00001F04" w:rsidP="00001F04">
      <w:pPr>
        <w:rPr>
          <w:szCs w:val="20"/>
          <w:lang w:val="en-US"/>
        </w:rPr>
      </w:pPr>
      <w:r w:rsidRPr="00293638">
        <w:rPr>
          <w:szCs w:val="20"/>
          <w:lang w:val="en-US"/>
        </w:rPr>
        <w:t xml:space="preserve">It is expected the RRS worker will attend the venue where the renter’s matter </w:t>
      </w:r>
      <w:r w:rsidR="00BE1876" w:rsidRPr="00293638">
        <w:rPr>
          <w:szCs w:val="20"/>
          <w:lang w:val="en-US"/>
        </w:rPr>
        <w:t xml:space="preserve">is </w:t>
      </w:r>
      <w:r w:rsidRPr="00293638">
        <w:rPr>
          <w:szCs w:val="20"/>
          <w:lang w:val="en-US"/>
        </w:rPr>
        <w:t xml:space="preserve">heard.  The RRS </w:t>
      </w:r>
      <w:proofErr w:type="gramStart"/>
      <w:r w:rsidRPr="00293638">
        <w:rPr>
          <w:szCs w:val="20"/>
          <w:lang w:val="en-US"/>
        </w:rPr>
        <w:t>worker</w:t>
      </w:r>
      <w:proofErr w:type="gramEnd"/>
      <w:r w:rsidRPr="00293638">
        <w:rPr>
          <w:szCs w:val="20"/>
          <w:lang w:val="en-US"/>
        </w:rPr>
        <w:t xml:space="preserve"> may need to attend a venue outside of their agency’s service area</w:t>
      </w:r>
      <w:r w:rsidR="00ED6A34" w:rsidRPr="00293638">
        <w:rPr>
          <w:szCs w:val="20"/>
          <w:lang w:val="en-US"/>
        </w:rPr>
        <w:t xml:space="preserve"> to do this</w:t>
      </w:r>
      <w:r w:rsidRPr="00293638">
        <w:rPr>
          <w:szCs w:val="20"/>
          <w:lang w:val="en-US"/>
        </w:rPr>
        <w:t>.</w:t>
      </w:r>
    </w:p>
    <w:p w14:paraId="68D40A02" w14:textId="6D7E007F" w:rsidR="00001F04" w:rsidRPr="00001F04" w:rsidRDefault="00001F04" w:rsidP="00001F04">
      <w:pPr>
        <w:pStyle w:val="Heading2"/>
      </w:pPr>
      <w:bookmarkStart w:id="32" w:name="_Toc2243275"/>
      <w:bookmarkStart w:id="33" w:name="_Toc219978485"/>
      <w:r w:rsidRPr="00001F04">
        <w:t>Duty advocacy</w:t>
      </w:r>
      <w:bookmarkEnd w:id="32"/>
      <w:bookmarkEnd w:id="33"/>
    </w:p>
    <w:p w14:paraId="5EB7C557" w14:textId="77777777" w:rsidR="006545EA" w:rsidRPr="00293638" w:rsidRDefault="00E450B4" w:rsidP="00001F04">
      <w:pPr>
        <w:rPr>
          <w:szCs w:val="20"/>
        </w:rPr>
      </w:pPr>
      <w:r w:rsidRPr="00293638">
        <w:rPr>
          <w:szCs w:val="20"/>
        </w:rPr>
        <w:t>Duty advocacy is</w:t>
      </w:r>
      <w:r w:rsidR="00B54DE0" w:rsidRPr="00293638">
        <w:rPr>
          <w:szCs w:val="20"/>
        </w:rPr>
        <w:t xml:space="preserve"> </w:t>
      </w:r>
      <w:r w:rsidR="00927B29" w:rsidRPr="00293638">
        <w:rPr>
          <w:szCs w:val="20"/>
        </w:rPr>
        <w:t>having a RRS</w:t>
      </w:r>
      <w:r w:rsidR="00954EDA" w:rsidRPr="00293638">
        <w:rPr>
          <w:szCs w:val="20"/>
        </w:rPr>
        <w:t xml:space="preserve"> worker at </w:t>
      </w:r>
      <w:r w:rsidR="00C9223F" w:rsidRPr="00293638">
        <w:rPr>
          <w:szCs w:val="20"/>
        </w:rPr>
        <w:t xml:space="preserve">a VCAT location </w:t>
      </w:r>
      <w:r w:rsidR="006545EA" w:rsidRPr="00293638">
        <w:rPr>
          <w:szCs w:val="20"/>
        </w:rPr>
        <w:t xml:space="preserve">to assist </w:t>
      </w:r>
      <w:r w:rsidR="00D90A2E" w:rsidRPr="00293638">
        <w:rPr>
          <w:szCs w:val="20"/>
        </w:rPr>
        <w:t>a</w:t>
      </w:r>
      <w:r w:rsidR="006545EA" w:rsidRPr="00293638">
        <w:rPr>
          <w:szCs w:val="20"/>
        </w:rPr>
        <w:t>n eligible</w:t>
      </w:r>
      <w:r w:rsidR="00D90A2E" w:rsidRPr="00293638">
        <w:rPr>
          <w:szCs w:val="20"/>
        </w:rPr>
        <w:t xml:space="preserve"> renter </w:t>
      </w:r>
      <w:r w:rsidR="006545EA" w:rsidRPr="00293638">
        <w:rPr>
          <w:szCs w:val="20"/>
        </w:rPr>
        <w:t xml:space="preserve">should they need </w:t>
      </w:r>
      <w:r w:rsidR="00D90A2E" w:rsidRPr="00293638">
        <w:rPr>
          <w:szCs w:val="20"/>
        </w:rPr>
        <w:t>assistance.</w:t>
      </w:r>
      <w:r w:rsidR="00A7433D" w:rsidRPr="00293638">
        <w:rPr>
          <w:szCs w:val="20"/>
        </w:rPr>
        <w:t xml:space="preserve"> </w:t>
      </w:r>
    </w:p>
    <w:p w14:paraId="2990CDD0" w14:textId="03630A52" w:rsidR="00001F04" w:rsidRPr="00293638" w:rsidRDefault="00001F04" w:rsidP="00001F04">
      <w:pPr>
        <w:rPr>
          <w:szCs w:val="20"/>
        </w:rPr>
      </w:pPr>
      <w:r w:rsidRPr="00293638">
        <w:rPr>
          <w:szCs w:val="20"/>
        </w:rPr>
        <w:t xml:space="preserve">Attendance at </w:t>
      </w:r>
      <w:r w:rsidR="00AC2C85" w:rsidRPr="00293638">
        <w:rPr>
          <w:szCs w:val="20"/>
        </w:rPr>
        <w:t xml:space="preserve">VCAT </w:t>
      </w:r>
      <w:r w:rsidRPr="00293638">
        <w:rPr>
          <w:szCs w:val="20"/>
        </w:rPr>
        <w:t xml:space="preserve">hearings by RRS workers in a duty advocacy role is optional. If your agency elects to act in a duty advocacy role, it must enter an agreement with the </w:t>
      </w:r>
      <w:r w:rsidR="000A55DA">
        <w:rPr>
          <w:szCs w:val="20"/>
        </w:rPr>
        <w:t>R</w:t>
      </w:r>
      <w:r w:rsidRPr="00293638">
        <w:rPr>
          <w:szCs w:val="20"/>
        </w:rPr>
        <w:t>egistrar to record the arrangement. The duty advocacy service must be limited to assisting eligible renters under the RRS.</w:t>
      </w:r>
    </w:p>
    <w:p w14:paraId="33346B4C" w14:textId="70F4031A" w:rsidR="00001F04" w:rsidRPr="00293638" w:rsidRDefault="00862286" w:rsidP="00001F04">
      <w:pPr>
        <w:rPr>
          <w:szCs w:val="20"/>
        </w:rPr>
      </w:pPr>
      <w:r>
        <w:rPr>
          <w:szCs w:val="20"/>
        </w:rPr>
        <w:br w:type="column"/>
      </w:r>
      <w:r w:rsidR="00001F04" w:rsidRPr="00293638">
        <w:rPr>
          <w:szCs w:val="20"/>
        </w:rPr>
        <w:t xml:space="preserve">The hours providing casework at VCAT and travelling to and from VCAT to provide the duty advocacy role can be recorded; however, waiting time at VCAT </w:t>
      </w:r>
      <w:r w:rsidR="002E0239">
        <w:rPr>
          <w:szCs w:val="20"/>
        </w:rPr>
        <w:t xml:space="preserve">cannot be </w:t>
      </w:r>
      <w:r w:rsidR="0015652C">
        <w:rPr>
          <w:szCs w:val="20"/>
        </w:rPr>
        <w:t>claimed</w:t>
      </w:r>
      <w:r w:rsidR="002E0239">
        <w:rPr>
          <w:szCs w:val="20"/>
        </w:rPr>
        <w:t xml:space="preserve"> as service hours</w:t>
      </w:r>
      <w:r w:rsidR="00001F04" w:rsidRPr="00293638">
        <w:rPr>
          <w:szCs w:val="20"/>
        </w:rPr>
        <w:t>.</w:t>
      </w:r>
    </w:p>
    <w:p w14:paraId="7D050811" w14:textId="77777777" w:rsidR="00001F04" w:rsidRPr="00001F04" w:rsidRDefault="00001F04" w:rsidP="00001F04">
      <w:pPr>
        <w:pStyle w:val="Heading2"/>
      </w:pPr>
      <w:bookmarkStart w:id="34" w:name="_Toc218246523"/>
      <w:bookmarkStart w:id="35" w:name="_Toc219978486"/>
      <w:r w:rsidRPr="00001F04">
        <w:t>Service enhancement</w:t>
      </w:r>
      <w:bookmarkEnd w:id="34"/>
      <w:bookmarkEnd w:id="35"/>
    </w:p>
    <w:p w14:paraId="45135CA0" w14:textId="77777777" w:rsidR="00001F04" w:rsidRPr="00293638" w:rsidRDefault="00001F04" w:rsidP="00001F04">
      <w:pPr>
        <w:rPr>
          <w:szCs w:val="20"/>
        </w:rPr>
      </w:pPr>
      <w:r w:rsidRPr="00293638">
        <w:rPr>
          <w:szCs w:val="20"/>
        </w:rPr>
        <w:t>Service enhancement activities should target the most vulnerable and disadvantaged clients who are unlikely to directly access rental services.</w:t>
      </w:r>
    </w:p>
    <w:p w14:paraId="12D5480F" w14:textId="77777777" w:rsidR="00001F04" w:rsidRPr="00293638" w:rsidRDefault="00001F04" w:rsidP="00001F04">
      <w:pPr>
        <w:rPr>
          <w:szCs w:val="20"/>
        </w:rPr>
      </w:pPr>
      <w:r w:rsidRPr="00293638">
        <w:rPr>
          <w:szCs w:val="20"/>
        </w:rPr>
        <w:t>The types of service enhancement activities that can be claimed are:</w:t>
      </w:r>
    </w:p>
    <w:p w14:paraId="1B3A2A70" w14:textId="77777777" w:rsidR="00001F04" w:rsidRPr="00293638" w:rsidRDefault="00001F04" w:rsidP="00001F04">
      <w:pPr>
        <w:numPr>
          <w:ilvl w:val="0"/>
          <w:numId w:val="27"/>
        </w:numPr>
        <w:rPr>
          <w:szCs w:val="20"/>
        </w:rPr>
      </w:pPr>
      <w:r w:rsidRPr="00293638">
        <w:rPr>
          <w:szCs w:val="20"/>
        </w:rPr>
        <w:t>establishing working partnerships and referral pathways with other community organisations</w:t>
      </w:r>
    </w:p>
    <w:p w14:paraId="217ACD00" w14:textId="77777777" w:rsidR="00001F04" w:rsidRPr="00293638" w:rsidRDefault="00001F04" w:rsidP="00001F04">
      <w:pPr>
        <w:numPr>
          <w:ilvl w:val="0"/>
          <w:numId w:val="27"/>
        </w:numPr>
        <w:rPr>
          <w:szCs w:val="20"/>
        </w:rPr>
      </w:pPr>
      <w:r w:rsidRPr="00293638">
        <w:rPr>
          <w:szCs w:val="20"/>
        </w:rPr>
        <w:t>providing rental advice to another community worker on behalf of a client</w:t>
      </w:r>
    </w:p>
    <w:p w14:paraId="7F174952" w14:textId="77777777" w:rsidR="00001F04" w:rsidRPr="00293638" w:rsidRDefault="00001F04" w:rsidP="00001F04">
      <w:pPr>
        <w:numPr>
          <w:ilvl w:val="0"/>
          <w:numId w:val="27"/>
        </w:numPr>
        <w:rPr>
          <w:szCs w:val="20"/>
        </w:rPr>
      </w:pPr>
      <w:r w:rsidRPr="00293638">
        <w:rPr>
          <w:szCs w:val="20"/>
        </w:rPr>
        <w:t xml:space="preserve">program promotion activities, such as attending a network meeting to raise awareness of RRS services </w:t>
      </w:r>
    </w:p>
    <w:p w14:paraId="3B64C434" w14:textId="77777777" w:rsidR="00001F04" w:rsidRPr="00293638" w:rsidRDefault="00001F04" w:rsidP="00001F04">
      <w:pPr>
        <w:numPr>
          <w:ilvl w:val="0"/>
          <w:numId w:val="27"/>
        </w:numPr>
        <w:rPr>
          <w:szCs w:val="20"/>
        </w:rPr>
      </w:pPr>
      <w:r w:rsidRPr="00293638">
        <w:rPr>
          <w:szCs w:val="20"/>
        </w:rPr>
        <w:t xml:space="preserve">providing educational sessions for renters </w:t>
      </w:r>
    </w:p>
    <w:p w14:paraId="23C7CAA5" w14:textId="46D4C88F" w:rsidR="00001F04" w:rsidRPr="00293638" w:rsidRDefault="00001F04" w:rsidP="00001F04">
      <w:pPr>
        <w:numPr>
          <w:ilvl w:val="0"/>
          <w:numId w:val="27"/>
        </w:numPr>
        <w:rPr>
          <w:szCs w:val="20"/>
        </w:rPr>
      </w:pPr>
      <w:r w:rsidRPr="00293638">
        <w:rPr>
          <w:szCs w:val="20"/>
        </w:rPr>
        <w:t>travel time for casework and travelling to VCAT venues</w:t>
      </w:r>
      <w:r w:rsidR="00DF529C" w:rsidRPr="00293638">
        <w:rPr>
          <w:szCs w:val="20"/>
        </w:rPr>
        <w:t xml:space="preserve"> for RDRV and VCAT representation</w:t>
      </w:r>
    </w:p>
    <w:p w14:paraId="42B5E7EB" w14:textId="2CE42CEC" w:rsidR="00001F04" w:rsidRPr="00293638" w:rsidRDefault="00001F04" w:rsidP="00001F04">
      <w:pPr>
        <w:numPr>
          <w:ilvl w:val="0"/>
          <w:numId w:val="27"/>
        </w:numPr>
        <w:rPr>
          <w:szCs w:val="20"/>
        </w:rPr>
      </w:pPr>
      <w:r w:rsidRPr="00293638">
        <w:rPr>
          <w:szCs w:val="20"/>
        </w:rPr>
        <w:t>professional development</w:t>
      </w:r>
      <w:r w:rsidR="00862286">
        <w:rPr>
          <w:szCs w:val="20"/>
        </w:rPr>
        <w:t>.</w:t>
      </w:r>
      <w:r w:rsidRPr="00293638">
        <w:rPr>
          <w:szCs w:val="20"/>
        </w:rPr>
        <w:t xml:space="preserve"> </w:t>
      </w:r>
    </w:p>
    <w:p w14:paraId="62DBFE34" w14:textId="77777777" w:rsidR="00001F04" w:rsidRPr="00293638" w:rsidRDefault="00001F04" w:rsidP="001779E9">
      <w:pPr>
        <w:rPr>
          <w:szCs w:val="20"/>
        </w:rPr>
      </w:pPr>
    </w:p>
    <w:bookmarkEnd w:id="23"/>
    <w:p w14:paraId="6CEBF16F" w14:textId="33F63A2F" w:rsidR="006B178A" w:rsidRPr="001D38BD" w:rsidRDefault="006B178A" w:rsidP="006B178A">
      <w:pPr>
        <w:pStyle w:val="Heading1"/>
      </w:pPr>
      <w:r>
        <w:br w:type="column"/>
      </w:r>
      <w:bookmarkStart w:id="36" w:name="_Toc218781400"/>
      <w:bookmarkStart w:id="37" w:name="_Toc219978487"/>
      <w:r>
        <w:lastRenderedPageBreak/>
        <w:t xml:space="preserve">5. </w:t>
      </w:r>
      <w:bookmarkEnd w:id="36"/>
      <w:r w:rsidR="00001F04">
        <w:t>Referrals</w:t>
      </w:r>
      <w:bookmarkEnd w:id="37"/>
    </w:p>
    <w:p w14:paraId="633D600E" w14:textId="328D8F74" w:rsidR="00FA1BBF" w:rsidRPr="00293638" w:rsidRDefault="00FA1BBF" w:rsidP="00FA1BBF">
      <w:pPr>
        <w:rPr>
          <w:szCs w:val="20"/>
        </w:rPr>
      </w:pPr>
      <w:r w:rsidRPr="00293638">
        <w:rPr>
          <w:szCs w:val="20"/>
        </w:rPr>
        <w:t>Renters may come to an RRS agency by several referral pathways including:</w:t>
      </w:r>
    </w:p>
    <w:p w14:paraId="449AE0A3" w14:textId="77777777" w:rsidR="00FA1BBF" w:rsidRPr="00293638" w:rsidRDefault="00FA1BBF" w:rsidP="00FA1BBF">
      <w:pPr>
        <w:numPr>
          <w:ilvl w:val="0"/>
          <w:numId w:val="27"/>
        </w:numPr>
        <w:rPr>
          <w:szCs w:val="20"/>
        </w:rPr>
      </w:pPr>
      <w:r w:rsidRPr="00293638">
        <w:rPr>
          <w:szCs w:val="20"/>
        </w:rPr>
        <w:t>self-referral by a client</w:t>
      </w:r>
    </w:p>
    <w:p w14:paraId="04A8A81B" w14:textId="77777777" w:rsidR="00FA1BBF" w:rsidRPr="00293638" w:rsidRDefault="00FA1BBF" w:rsidP="00FA1BBF">
      <w:pPr>
        <w:numPr>
          <w:ilvl w:val="0"/>
          <w:numId w:val="27"/>
        </w:numPr>
        <w:rPr>
          <w:szCs w:val="20"/>
        </w:rPr>
      </w:pPr>
      <w:r w:rsidRPr="00293638">
        <w:rPr>
          <w:szCs w:val="20"/>
        </w:rPr>
        <w:t xml:space="preserve">referral from CAV </w:t>
      </w:r>
    </w:p>
    <w:p w14:paraId="5545D3F2" w14:textId="6B99578E" w:rsidR="00FA1BBF" w:rsidRPr="00293638" w:rsidRDefault="000E12F5" w:rsidP="00FA1BBF">
      <w:pPr>
        <w:numPr>
          <w:ilvl w:val="0"/>
          <w:numId w:val="27"/>
        </w:numPr>
        <w:rPr>
          <w:szCs w:val="20"/>
        </w:rPr>
      </w:pPr>
      <w:r>
        <w:rPr>
          <w:szCs w:val="20"/>
        </w:rPr>
        <w:t>r</w:t>
      </w:r>
      <w:r w:rsidR="00FA1BBF" w:rsidRPr="00293638">
        <w:rPr>
          <w:szCs w:val="20"/>
        </w:rPr>
        <w:t>eferral from another community agency, including an RRS</w:t>
      </w:r>
      <w:r w:rsidR="00854CC9" w:rsidRPr="00293638">
        <w:rPr>
          <w:szCs w:val="20"/>
        </w:rPr>
        <w:t xml:space="preserve">, </w:t>
      </w:r>
      <w:r w:rsidR="00FA1BBF" w:rsidRPr="00293638">
        <w:rPr>
          <w:szCs w:val="20"/>
        </w:rPr>
        <w:t xml:space="preserve">RCS </w:t>
      </w:r>
      <w:r w:rsidR="00854CC9" w:rsidRPr="00293638">
        <w:rPr>
          <w:szCs w:val="20"/>
        </w:rPr>
        <w:t>or V</w:t>
      </w:r>
      <w:r w:rsidR="00EE0C7A" w:rsidRPr="00293638">
        <w:rPr>
          <w:szCs w:val="20"/>
        </w:rPr>
        <w:t>RH</w:t>
      </w:r>
      <w:r w:rsidR="00854CC9" w:rsidRPr="00293638">
        <w:rPr>
          <w:szCs w:val="20"/>
        </w:rPr>
        <w:t xml:space="preserve"> </w:t>
      </w:r>
      <w:r w:rsidR="00FA1BBF" w:rsidRPr="00293638">
        <w:rPr>
          <w:szCs w:val="20"/>
        </w:rPr>
        <w:t>provider</w:t>
      </w:r>
    </w:p>
    <w:p w14:paraId="72E0D755" w14:textId="7AE92939" w:rsidR="00FA1BBF" w:rsidRPr="00293638" w:rsidRDefault="00FA1BBF" w:rsidP="00FA1BBF">
      <w:pPr>
        <w:numPr>
          <w:ilvl w:val="0"/>
          <w:numId w:val="27"/>
        </w:numPr>
        <w:rPr>
          <w:szCs w:val="20"/>
        </w:rPr>
      </w:pPr>
      <w:r w:rsidRPr="00293638">
        <w:rPr>
          <w:szCs w:val="20"/>
        </w:rPr>
        <w:t xml:space="preserve">referral from RDRV or VCAT member or </w:t>
      </w:r>
      <w:r w:rsidR="000A55DA">
        <w:rPr>
          <w:szCs w:val="20"/>
        </w:rPr>
        <w:t>R</w:t>
      </w:r>
      <w:r w:rsidRPr="00293638">
        <w:rPr>
          <w:szCs w:val="20"/>
        </w:rPr>
        <w:t>egistrar (particularly when a duty advocate is available)</w:t>
      </w:r>
      <w:r w:rsidR="00D13FB2">
        <w:rPr>
          <w:szCs w:val="20"/>
        </w:rPr>
        <w:t>.</w:t>
      </w:r>
    </w:p>
    <w:p w14:paraId="36B1D1B7" w14:textId="77777777" w:rsidR="00FA1BBF" w:rsidRPr="00293638" w:rsidRDefault="00FA1BBF" w:rsidP="00350DC5">
      <w:pPr>
        <w:rPr>
          <w:szCs w:val="20"/>
        </w:rPr>
      </w:pPr>
      <w:r w:rsidRPr="00293638">
        <w:rPr>
          <w:szCs w:val="20"/>
        </w:rPr>
        <w:t>The RRS worker should:</w:t>
      </w:r>
    </w:p>
    <w:p w14:paraId="5EC71A71" w14:textId="77777777" w:rsidR="00FA1BBF" w:rsidRPr="00293638" w:rsidRDefault="00FA1BBF" w:rsidP="00FA1BBF">
      <w:pPr>
        <w:numPr>
          <w:ilvl w:val="0"/>
          <w:numId w:val="27"/>
        </w:numPr>
        <w:rPr>
          <w:szCs w:val="20"/>
        </w:rPr>
      </w:pPr>
      <w:r w:rsidRPr="00293638">
        <w:rPr>
          <w:szCs w:val="20"/>
        </w:rPr>
        <w:t>assess the eligibility of the renter for RRS services</w:t>
      </w:r>
    </w:p>
    <w:p w14:paraId="174E4D66" w14:textId="77777777" w:rsidR="00FA1BBF" w:rsidRPr="00293638" w:rsidRDefault="00FA1BBF" w:rsidP="00FA1BBF">
      <w:pPr>
        <w:numPr>
          <w:ilvl w:val="0"/>
          <w:numId w:val="27"/>
        </w:numPr>
        <w:rPr>
          <w:szCs w:val="20"/>
        </w:rPr>
      </w:pPr>
      <w:r w:rsidRPr="00293638">
        <w:rPr>
          <w:szCs w:val="20"/>
        </w:rPr>
        <w:t>ensure the agency does not have a conflict of interest in taking on the case</w:t>
      </w:r>
    </w:p>
    <w:p w14:paraId="31FC0E8F" w14:textId="77777777" w:rsidR="00FA1BBF" w:rsidRPr="00293638" w:rsidRDefault="00FA1BBF" w:rsidP="00FA1BBF">
      <w:pPr>
        <w:numPr>
          <w:ilvl w:val="0"/>
          <w:numId w:val="27"/>
        </w:numPr>
        <w:rPr>
          <w:szCs w:val="20"/>
        </w:rPr>
      </w:pPr>
      <w:r w:rsidRPr="00293638">
        <w:rPr>
          <w:szCs w:val="20"/>
        </w:rPr>
        <w:t>attempt to contact the client within the response timeframes above.</w:t>
      </w:r>
    </w:p>
    <w:p w14:paraId="5143E423" w14:textId="77777777" w:rsidR="00FA1BBF" w:rsidRPr="00FA1BBF" w:rsidRDefault="00FA1BBF" w:rsidP="008E5C62">
      <w:pPr>
        <w:pStyle w:val="Heading2"/>
      </w:pPr>
      <w:bookmarkStart w:id="38" w:name="_Toc2243279"/>
      <w:bookmarkStart w:id="39" w:name="_Toc219978488"/>
      <w:r w:rsidRPr="00FA1BBF">
        <w:t xml:space="preserve">Making a referral to the </w:t>
      </w:r>
      <w:bookmarkEnd w:id="38"/>
      <w:r w:rsidRPr="00FA1BBF">
        <w:t>RCS</w:t>
      </w:r>
      <w:bookmarkEnd w:id="39"/>
    </w:p>
    <w:p w14:paraId="3493EAFB" w14:textId="77777777" w:rsidR="00FA1BBF" w:rsidRPr="00293638" w:rsidRDefault="00FA1BBF" w:rsidP="00FA1BBF">
      <w:pPr>
        <w:rPr>
          <w:szCs w:val="20"/>
        </w:rPr>
      </w:pPr>
      <w:r w:rsidRPr="00293638">
        <w:rPr>
          <w:szCs w:val="20"/>
        </w:rPr>
        <w:t>An agency can refer a client to the RCS when:</w:t>
      </w:r>
    </w:p>
    <w:p w14:paraId="29AA77FA" w14:textId="77777777" w:rsidR="00FA1BBF" w:rsidRPr="00293638" w:rsidRDefault="00FA1BBF" w:rsidP="00FA1BBF">
      <w:pPr>
        <w:numPr>
          <w:ilvl w:val="0"/>
          <w:numId w:val="27"/>
        </w:numPr>
        <w:rPr>
          <w:szCs w:val="20"/>
        </w:rPr>
      </w:pPr>
      <w:r w:rsidRPr="00293638">
        <w:rPr>
          <w:szCs w:val="20"/>
        </w:rPr>
        <w:t>the complexity of the matter requires advice beyond the capacity of the RRS agency and requires the expertise of the RCS</w:t>
      </w:r>
    </w:p>
    <w:p w14:paraId="0BC96EAA" w14:textId="77777777" w:rsidR="00FA1BBF" w:rsidRPr="00293638" w:rsidRDefault="00FA1BBF" w:rsidP="00FA1BBF">
      <w:pPr>
        <w:numPr>
          <w:ilvl w:val="0"/>
          <w:numId w:val="27"/>
        </w:numPr>
        <w:rPr>
          <w:szCs w:val="20"/>
        </w:rPr>
      </w:pPr>
      <w:r w:rsidRPr="00293638">
        <w:rPr>
          <w:szCs w:val="20"/>
        </w:rPr>
        <w:t>a conflict of interest occurs, or</w:t>
      </w:r>
    </w:p>
    <w:p w14:paraId="05A425DC" w14:textId="7EEDFEE7" w:rsidR="00FA1BBF" w:rsidRPr="00293638" w:rsidRDefault="00FA1BBF" w:rsidP="00FA1BBF">
      <w:pPr>
        <w:numPr>
          <w:ilvl w:val="0"/>
          <w:numId w:val="27"/>
        </w:numPr>
        <w:rPr>
          <w:szCs w:val="20"/>
        </w:rPr>
      </w:pPr>
      <w:r w:rsidRPr="00293638">
        <w:rPr>
          <w:szCs w:val="20"/>
        </w:rPr>
        <w:t xml:space="preserve">the renter requests that their case be referred to another RRS agency in another service area to better suit their needs. </w:t>
      </w:r>
    </w:p>
    <w:p w14:paraId="1226BF6F" w14:textId="7C0D41D2" w:rsidR="00FA1BBF" w:rsidRPr="00293638" w:rsidRDefault="00EB7984" w:rsidP="00350DC5">
      <w:pPr>
        <w:rPr>
          <w:szCs w:val="20"/>
        </w:rPr>
      </w:pPr>
      <w:r w:rsidRPr="00293638">
        <w:rPr>
          <w:szCs w:val="20"/>
        </w:rPr>
        <w:br w:type="column"/>
      </w:r>
      <w:r w:rsidR="00FA1BBF" w:rsidRPr="00293638">
        <w:rPr>
          <w:szCs w:val="20"/>
        </w:rPr>
        <w:t xml:space="preserve">Referrals to the RCS should happen as soon as practicable and should inconvenience the client the least amount possible. </w:t>
      </w:r>
    </w:p>
    <w:p w14:paraId="738ABEDE" w14:textId="77777777" w:rsidR="00FA1BBF" w:rsidRPr="00293638" w:rsidRDefault="00FA1BBF" w:rsidP="00FA1BBF">
      <w:pPr>
        <w:rPr>
          <w:szCs w:val="20"/>
        </w:rPr>
      </w:pPr>
      <w:r w:rsidRPr="00293638">
        <w:rPr>
          <w:szCs w:val="20"/>
        </w:rPr>
        <w:t xml:space="preserve">To discuss whether a case is sufficiently complex to warrant referral, please contact the provider of RCS. </w:t>
      </w:r>
    </w:p>
    <w:p w14:paraId="2CC937AC" w14:textId="77777777" w:rsidR="00FA1BBF" w:rsidRPr="00293638" w:rsidRDefault="00FA1BBF" w:rsidP="00FA1BBF">
      <w:pPr>
        <w:rPr>
          <w:szCs w:val="20"/>
        </w:rPr>
      </w:pPr>
    </w:p>
    <w:p w14:paraId="3E69800D" w14:textId="1159D41D" w:rsidR="00FA1BBF" w:rsidRPr="00FA1BBF" w:rsidRDefault="00FA1BBF" w:rsidP="008E5C62">
      <w:pPr>
        <w:pStyle w:val="Heading2"/>
      </w:pPr>
      <w:bookmarkStart w:id="40" w:name="_Toc2243280"/>
      <w:bookmarkStart w:id="41" w:name="_Toc219978489"/>
      <w:r w:rsidRPr="00FA1BBF">
        <w:t xml:space="preserve">Accepting a referral from the </w:t>
      </w:r>
      <w:bookmarkEnd w:id="40"/>
      <w:r w:rsidRPr="00FA1BBF">
        <w:t>RCS</w:t>
      </w:r>
      <w:r w:rsidR="00C05F1C">
        <w:t xml:space="preserve"> or V</w:t>
      </w:r>
      <w:r w:rsidR="00EE0C7A">
        <w:t>RH</w:t>
      </w:r>
      <w:bookmarkEnd w:id="41"/>
    </w:p>
    <w:p w14:paraId="70623FE5" w14:textId="06E37A78" w:rsidR="00FA1BBF" w:rsidRPr="00293638" w:rsidRDefault="00FA1BBF" w:rsidP="00FA1BBF">
      <w:pPr>
        <w:rPr>
          <w:szCs w:val="20"/>
        </w:rPr>
      </w:pPr>
      <w:r w:rsidRPr="00293638">
        <w:rPr>
          <w:szCs w:val="20"/>
        </w:rPr>
        <w:t xml:space="preserve">An RRS agency must accept a referral from the RCS </w:t>
      </w:r>
      <w:r w:rsidR="005D1B1E" w:rsidRPr="00293638">
        <w:rPr>
          <w:szCs w:val="20"/>
        </w:rPr>
        <w:t>or VRH</w:t>
      </w:r>
      <w:r w:rsidRPr="00293638">
        <w:rPr>
          <w:szCs w:val="20"/>
        </w:rPr>
        <w:t xml:space="preserve"> when all the following conditions are met:</w:t>
      </w:r>
    </w:p>
    <w:p w14:paraId="043A37D8" w14:textId="42A6BF02" w:rsidR="00FA1BBF" w:rsidRPr="00293638" w:rsidRDefault="00FA1BBF" w:rsidP="00FA1BBF">
      <w:pPr>
        <w:numPr>
          <w:ilvl w:val="0"/>
          <w:numId w:val="27"/>
        </w:numPr>
        <w:rPr>
          <w:szCs w:val="20"/>
        </w:rPr>
      </w:pPr>
      <w:r w:rsidRPr="00293638">
        <w:rPr>
          <w:szCs w:val="20"/>
        </w:rPr>
        <w:t>the renter has been assessed as eligible for RRS</w:t>
      </w:r>
    </w:p>
    <w:p w14:paraId="487D127D" w14:textId="13E6D694" w:rsidR="00FA1BBF" w:rsidRPr="00293638" w:rsidRDefault="00FA1BBF" w:rsidP="00FA1BBF">
      <w:pPr>
        <w:numPr>
          <w:ilvl w:val="0"/>
          <w:numId w:val="27"/>
        </w:numPr>
        <w:rPr>
          <w:szCs w:val="20"/>
        </w:rPr>
      </w:pPr>
      <w:r w:rsidRPr="00293638">
        <w:rPr>
          <w:szCs w:val="20"/>
        </w:rPr>
        <w:t>the renter requires either negotiation or RDRV and/or VCAT assistance (not information and referral) and</w:t>
      </w:r>
    </w:p>
    <w:p w14:paraId="013B2805" w14:textId="11FA88F8" w:rsidR="00FA1BBF" w:rsidRPr="00293638" w:rsidRDefault="00FA1BBF" w:rsidP="00FA1BBF">
      <w:pPr>
        <w:numPr>
          <w:ilvl w:val="0"/>
          <w:numId w:val="27"/>
        </w:numPr>
        <w:rPr>
          <w:szCs w:val="20"/>
        </w:rPr>
      </w:pPr>
      <w:r w:rsidRPr="00293638">
        <w:rPr>
          <w:szCs w:val="20"/>
        </w:rPr>
        <w:t xml:space="preserve">the </w:t>
      </w:r>
      <w:r w:rsidR="005D1B1E" w:rsidRPr="00293638">
        <w:rPr>
          <w:szCs w:val="20"/>
        </w:rPr>
        <w:t>case has been assessed</w:t>
      </w:r>
      <w:r w:rsidRPr="00293638">
        <w:rPr>
          <w:szCs w:val="20"/>
        </w:rPr>
        <w:t xml:space="preserve"> as urgent.</w:t>
      </w:r>
    </w:p>
    <w:p w14:paraId="557AFCCA" w14:textId="597C03D4" w:rsidR="00FA1BBF" w:rsidRPr="00293638" w:rsidRDefault="00D17A11" w:rsidP="00FA1BBF">
      <w:pPr>
        <w:rPr>
          <w:szCs w:val="20"/>
        </w:rPr>
      </w:pPr>
      <w:r>
        <w:t>At times</w:t>
      </w:r>
      <w:r w:rsidR="00C12D61">
        <w:t>,</w:t>
      </w:r>
      <w:r w:rsidR="00FA1BBF">
        <w:t xml:space="preserve"> the RCS may refer a renter </w:t>
      </w:r>
      <w:r>
        <w:t xml:space="preserve">when the only support they require is having documents or forms </w:t>
      </w:r>
      <w:proofErr w:type="gramStart"/>
      <w:r>
        <w:t>sighted, or</w:t>
      </w:r>
      <w:proofErr w:type="gramEnd"/>
      <w:r>
        <w:t xml:space="preserve"> require assistance to complete them</w:t>
      </w:r>
      <w:r w:rsidR="00FA1BBF">
        <w:t>.</w:t>
      </w:r>
    </w:p>
    <w:p w14:paraId="6A40BB55" w14:textId="77777777" w:rsidR="00FA1BBF" w:rsidRPr="00293638" w:rsidRDefault="00FA1BBF" w:rsidP="00FA1BBF">
      <w:pPr>
        <w:rPr>
          <w:szCs w:val="20"/>
        </w:rPr>
      </w:pPr>
    </w:p>
    <w:p w14:paraId="505F8B0A" w14:textId="48F75651" w:rsidR="00FA1BBF" w:rsidRPr="00FA1BBF" w:rsidRDefault="00FA1BBF" w:rsidP="008E5C62">
      <w:pPr>
        <w:pStyle w:val="Heading2"/>
      </w:pPr>
      <w:bookmarkStart w:id="42" w:name="_Toc218246526"/>
      <w:bookmarkStart w:id="43" w:name="_Toc219978490"/>
      <w:r w:rsidRPr="00FA1BBF">
        <w:t xml:space="preserve">Referrals between RRS agencies and the </w:t>
      </w:r>
      <w:bookmarkEnd w:id="42"/>
      <w:r w:rsidR="008E5C62">
        <w:t>OPHRS</w:t>
      </w:r>
      <w:bookmarkEnd w:id="43"/>
    </w:p>
    <w:p w14:paraId="7C65CC55" w14:textId="77777777" w:rsidR="00FA1BBF" w:rsidRPr="00293638" w:rsidRDefault="00FA1BBF" w:rsidP="00FA1BBF">
      <w:pPr>
        <w:rPr>
          <w:szCs w:val="20"/>
        </w:rPr>
      </w:pPr>
      <w:r w:rsidRPr="00293638">
        <w:rPr>
          <w:szCs w:val="20"/>
        </w:rPr>
        <w:t xml:space="preserve">Under the RRS service model, agencies will be able to make referrals to and receive referrals from the Older Persons Housing Rights Service (OPHRS). </w:t>
      </w:r>
    </w:p>
    <w:p w14:paraId="685CC094" w14:textId="77777777" w:rsidR="00FA1BBF" w:rsidRPr="00293638" w:rsidRDefault="00FA1BBF" w:rsidP="00FA1BBF">
      <w:pPr>
        <w:rPr>
          <w:szCs w:val="20"/>
        </w:rPr>
      </w:pPr>
    </w:p>
    <w:p w14:paraId="4954D697" w14:textId="23A309F4" w:rsidR="00FA1BBF" w:rsidRPr="00FA1BBF" w:rsidRDefault="00EB7984" w:rsidP="008E5C62">
      <w:pPr>
        <w:pStyle w:val="Heading2"/>
      </w:pPr>
      <w:bookmarkStart w:id="44" w:name="_Toc2243282"/>
      <w:r>
        <w:br w:type="column"/>
      </w:r>
      <w:bookmarkStart w:id="45" w:name="_Toc219978491"/>
      <w:r w:rsidR="00FA1BBF" w:rsidRPr="00FA1BBF">
        <w:lastRenderedPageBreak/>
        <w:t xml:space="preserve">Making a referral to </w:t>
      </w:r>
      <w:bookmarkEnd w:id="44"/>
      <w:r w:rsidR="00FA1BBF" w:rsidRPr="00FA1BBF">
        <w:t>OPHRS</w:t>
      </w:r>
      <w:bookmarkEnd w:id="45"/>
    </w:p>
    <w:p w14:paraId="56B93D1D" w14:textId="01E4A1AD" w:rsidR="00FA1BBF" w:rsidRPr="00293638" w:rsidRDefault="00FA1BBF" w:rsidP="00FA1BBF">
      <w:pPr>
        <w:rPr>
          <w:szCs w:val="20"/>
        </w:rPr>
      </w:pPr>
      <w:r w:rsidRPr="00293638">
        <w:rPr>
          <w:szCs w:val="20"/>
        </w:rPr>
        <w:t xml:space="preserve">RRS workers can refer clients to OPHRS to provide casework if the client is 55 or older. OPHRS </w:t>
      </w:r>
      <w:r w:rsidR="00713EBC" w:rsidRPr="00293638">
        <w:rPr>
          <w:szCs w:val="20"/>
        </w:rPr>
        <w:t>provides</w:t>
      </w:r>
      <w:r w:rsidRPr="00293638">
        <w:rPr>
          <w:szCs w:val="20"/>
        </w:rPr>
        <w:t xml:space="preserve"> support for clients who are:</w:t>
      </w:r>
    </w:p>
    <w:p w14:paraId="5D25E22E" w14:textId="19C2AFBA" w:rsidR="00FA1BBF" w:rsidRPr="00293638" w:rsidRDefault="00FA1BBF" w:rsidP="00FA1BBF">
      <w:pPr>
        <w:numPr>
          <w:ilvl w:val="0"/>
          <w:numId w:val="27"/>
        </w:numPr>
        <w:rPr>
          <w:szCs w:val="20"/>
        </w:rPr>
      </w:pPr>
      <w:r>
        <w:t>a resident in a retirement village or rental village (‘for profit’ and ‘not for profit’), or</w:t>
      </w:r>
    </w:p>
    <w:p w14:paraId="1162E30B" w14:textId="556326C3" w:rsidR="00FA1BBF" w:rsidRPr="00293638" w:rsidRDefault="00FA1BBF" w:rsidP="00FA1BBF">
      <w:pPr>
        <w:numPr>
          <w:ilvl w:val="0"/>
          <w:numId w:val="27"/>
        </w:numPr>
        <w:rPr>
          <w:szCs w:val="20"/>
        </w:rPr>
      </w:pPr>
      <w:r>
        <w:t>a permanent resident of a caravan or residential park, and their retirement housing matter is too complex for the RRS worker.</w:t>
      </w:r>
    </w:p>
    <w:p w14:paraId="17059547" w14:textId="77777777" w:rsidR="00FA1BBF" w:rsidRPr="00FA1BBF" w:rsidRDefault="00FA1BBF" w:rsidP="008E5C62">
      <w:pPr>
        <w:pStyle w:val="Heading2"/>
      </w:pPr>
      <w:bookmarkStart w:id="46" w:name="_Toc2243283"/>
      <w:bookmarkStart w:id="47" w:name="_Toc219978492"/>
      <w:r w:rsidRPr="00FA1BBF">
        <w:t xml:space="preserve">Accepting a referral from the </w:t>
      </w:r>
      <w:bookmarkEnd w:id="46"/>
      <w:r w:rsidRPr="00FA1BBF">
        <w:t>OPHRS</w:t>
      </w:r>
      <w:bookmarkEnd w:id="47"/>
    </w:p>
    <w:p w14:paraId="21A89272" w14:textId="7FABB1CE" w:rsidR="00FA1BBF" w:rsidRPr="00293638" w:rsidRDefault="00FA1BBF" w:rsidP="00FA1BBF">
      <w:r>
        <w:t>The OPHRS will make referrals to RRS agencies if the resident meets the RRS eligibility criteria and lives in a caravan or residential park, and the matter is not complex.</w:t>
      </w:r>
    </w:p>
    <w:p w14:paraId="5B06D3A3" w14:textId="5CDC42BE" w:rsidR="00FA1BBF" w:rsidRPr="00FA1BBF" w:rsidRDefault="00FA1BBF" w:rsidP="008E5C62">
      <w:pPr>
        <w:pStyle w:val="Heading2"/>
      </w:pPr>
      <w:bookmarkStart w:id="48" w:name="_Toc219978493"/>
      <w:bookmarkStart w:id="49" w:name="_Toc218246527"/>
      <w:r w:rsidRPr="00FA1BBF">
        <w:t>Referrals from CAV</w:t>
      </w:r>
      <w:bookmarkEnd w:id="48"/>
    </w:p>
    <w:bookmarkEnd w:id="49"/>
    <w:p w14:paraId="2FF20535" w14:textId="77777777" w:rsidR="00FA1BBF" w:rsidRPr="00293638" w:rsidRDefault="00FA1BBF" w:rsidP="00FA1BBF">
      <w:pPr>
        <w:rPr>
          <w:szCs w:val="20"/>
        </w:rPr>
      </w:pPr>
      <w:r w:rsidRPr="00293638">
        <w:rPr>
          <w:szCs w:val="20"/>
        </w:rPr>
        <w:t xml:space="preserve">The CAV Contact Centre can assess and refer eligible renters to the RRS. </w:t>
      </w:r>
    </w:p>
    <w:p w14:paraId="72BE98CB" w14:textId="23DD0A69" w:rsidR="00FA1BBF" w:rsidRPr="00293638" w:rsidRDefault="00FA1BBF" w:rsidP="00FA1BBF">
      <w:pPr>
        <w:rPr>
          <w:szCs w:val="20"/>
        </w:rPr>
      </w:pPr>
      <w:r w:rsidRPr="00293638">
        <w:rPr>
          <w:szCs w:val="20"/>
        </w:rPr>
        <w:t>If you receive a referral from CAV, please acknowledge receipt of the email as soon as possible to the referring officer and to:</w:t>
      </w:r>
      <w:r w:rsidRPr="00293638">
        <w:rPr>
          <w:szCs w:val="20"/>
          <w:u w:val="dotted"/>
        </w:rPr>
        <w:t xml:space="preserve"> consumer@dgs.vic.gov.au</w:t>
      </w:r>
    </w:p>
    <w:p w14:paraId="2088A0AE" w14:textId="77777777" w:rsidR="00FA1BBF" w:rsidRPr="00FA1BBF" w:rsidRDefault="00FA1BBF" w:rsidP="008E5C62">
      <w:pPr>
        <w:pStyle w:val="Heading2"/>
      </w:pPr>
      <w:bookmarkStart w:id="50" w:name="_Toc218246528"/>
      <w:bookmarkStart w:id="51" w:name="_Toc219978494"/>
      <w:r w:rsidRPr="00FA1BBF">
        <w:t>Referrals to CAV</w:t>
      </w:r>
      <w:bookmarkEnd w:id="50"/>
      <w:bookmarkEnd w:id="51"/>
    </w:p>
    <w:p w14:paraId="3488FEE4" w14:textId="67F02110" w:rsidR="00FA1BBF" w:rsidRPr="00293638" w:rsidRDefault="00FA1BBF" w:rsidP="00FA1BBF">
      <w:pPr>
        <w:rPr>
          <w:szCs w:val="20"/>
        </w:rPr>
      </w:pPr>
      <w:r w:rsidRPr="00293638">
        <w:rPr>
          <w:szCs w:val="20"/>
        </w:rPr>
        <w:t xml:space="preserve">If a case involves a clear or apparent breach of the RTA, </w:t>
      </w:r>
      <w:r w:rsidR="00E57D1C" w:rsidRPr="00293638">
        <w:rPr>
          <w:szCs w:val="20"/>
        </w:rPr>
        <w:t>and the c</w:t>
      </w:r>
      <w:r w:rsidR="009B034E" w:rsidRPr="00293638">
        <w:rPr>
          <w:szCs w:val="20"/>
        </w:rPr>
        <w:t xml:space="preserve">lient has </w:t>
      </w:r>
      <w:r w:rsidR="002A009F" w:rsidRPr="00293638">
        <w:rPr>
          <w:szCs w:val="20"/>
        </w:rPr>
        <w:t xml:space="preserve">made a reasonable attempt to </w:t>
      </w:r>
      <w:r w:rsidR="0054358D" w:rsidRPr="00293638">
        <w:rPr>
          <w:szCs w:val="20"/>
        </w:rPr>
        <w:t>resolve the matter,</w:t>
      </w:r>
      <w:r w:rsidRPr="00293638">
        <w:rPr>
          <w:szCs w:val="20"/>
        </w:rPr>
        <w:t xml:space="preserve"> RRS agencies should consider referring the matter to CAV</w:t>
      </w:r>
      <w:r w:rsidR="008B324B" w:rsidRPr="00293638">
        <w:rPr>
          <w:szCs w:val="20"/>
        </w:rPr>
        <w:t xml:space="preserve"> Front Line Compliance and Res</w:t>
      </w:r>
      <w:r w:rsidR="00936FF1">
        <w:rPr>
          <w:szCs w:val="20"/>
        </w:rPr>
        <w:t>ponse</w:t>
      </w:r>
      <w:r w:rsidR="008B324B" w:rsidRPr="00293638">
        <w:rPr>
          <w:szCs w:val="20"/>
        </w:rPr>
        <w:t xml:space="preserve"> </w:t>
      </w:r>
      <w:r w:rsidR="00AC3139" w:rsidRPr="00293638">
        <w:rPr>
          <w:szCs w:val="20"/>
        </w:rPr>
        <w:t>(FLCR)</w:t>
      </w:r>
      <w:r w:rsidR="008B324B" w:rsidRPr="00293638">
        <w:rPr>
          <w:szCs w:val="20"/>
        </w:rPr>
        <w:t xml:space="preserve"> for review</w:t>
      </w:r>
      <w:r w:rsidRPr="00293638">
        <w:rPr>
          <w:szCs w:val="20"/>
        </w:rPr>
        <w:t xml:space="preserve">. </w:t>
      </w:r>
    </w:p>
    <w:p w14:paraId="0E86D67A" w14:textId="77777777" w:rsidR="00D75ABC" w:rsidRPr="00293638" w:rsidRDefault="00AC3139" w:rsidP="00FA1BBF">
      <w:pPr>
        <w:rPr>
          <w:szCs w:val="20"/>
        </w:rPr>
      </w:pPr>
      <w:r w:rsidRPr="00293638">
        <w:rPr>
          <w:szCs w:val="20"/>
        </w:rPr>
        <w:t xml:space="preserve">The FLCR team </w:t>
      </w:r>
      <w:r w:rsidR="00B5420C" w:rsidRPr="00293638">
        <w:rPr>
          <w:szCs w:val="20"/>
        </w:rPr>
        <w:t xml:space="preserve">assists renters </w:t>
      </w:r>
      <w:r w:rsidR="00A07755" w:rsidRPr="00293638">
        <w:rPr>
          <w:szCs w:val="20"/>
        </w:rPr>
        <w:t>and rental providers</w:t>
      </w:r>
      <w:r w:rsidR="00B5420C" w:rsidRPr="00293638">
        <w:rPr>
          <w:szCs w:val="20"/>
        </w:rPr>
        <w:t xml:space="preserve"> </w:t>
      </w:r>
      <w:r w:rsidR="00580E7D" w:rsidRPr="00293638">
        <w:rPr>
          <w:szCs w:val="20"/>
        </w:rPr>
        <w:t xml:space="preserve">to come to an agreement that is consistent with </w:t>
      </w:r>
      <w:r w:rsidR="00F50955" w:rsidRPr="00293638">
        <w:rPr>
          <w:szCs w:val="20"/>
        </w:rPr>
        <w:t xml:space="preserve">the RTA. </w:t>
      </w:r>
    </w:p>
    <w:p w14:paraId="06A735D7" w14:textId="0FF6EA4A" w:rsidR="00FA1BBF" w:rsidRPr="00293638" w:rsidRDefault="00FA1BBF" w:rsidP="00FA1BBF">
      <w:pPr>
        <w:rPr>
          <w:szCs w:val="20"/>
        </w:rPr>
      </w:pPr>
      <w:r w:rsidRPr="00293638">
        <w:rPr>
          <w:szCs w:val="20"/>
        </w:rPr>
        <w:t>You can also refer closed cases to help CAV identify systemic or emerging issues.</w:t>
      </w:r>
    </w:p>
    <w:p w14:paraId="57C937BF" w14:textId="558B7398" w:rsidR="00FA1BBF" w:rsidRPr="00293638" w:rsidRDefault="00FA1BBF" w:rsidP="00FA1BBF">
      <w:pPr>
        <w:rPr>
          <w:szCs w:val="20"/>
        </w:rPr>
      </w:pPr>
      <w:r w:rsidRPr="00293638">
        <w:rPr>
          <w:szCs w:val="20"/>
        </w:rPr>
        <w:t xml:space="preserve">A referral template is available for downloading from </w:t>
      </w:r>
      <w:hyperlink r:id="rId21" w:history="1">
        <w:r w:rsidRPr="00293638">
          <w:rPr>
            <w:rStyle w:val="Hyperlink"/>
            <w:szCs w:val="20"/>
          </w:rPr>
          <w:t>fundedservices.consumer.vic.gov.au</w:t>
        </w:r>
      </w:hyperlink>
    </w:p>
    <w:p w14:paraId="23D93093" w14:textId="77777777" w:rsidR="00FA1BBF" w:rsidRPr="00FA1BBF" w:rsidRDefault="00FA1BBF" w:rsidP="008E5C62">
      <w:pPr>
        <w:pStyle w:val="Heading2"/>
      </w:pPr>
      <w:bookmarkStart w:id="52" w:name="_Toc218246529"/>
      <w:bookmarkStart w:id="53" w:name="_Toc219978495"/>
      <w:r w:rsidRPr="00FA1BBF">
        <w:t>Referrals and travel</w:t>
      </w:r>
      <w:bookmarkEnd w:id="52"/>
      <w:bookmarkEnd w:id="53"/>
      <w:r w:rsidRPr="00FA1BBF">
        <w:t xml:space="preserve"> </w:t>
      </w:r>
    </w:p>
    <w:p w14:paraId="6D3F0152" w14:textId="45FD0041" w:rsidR="00FA1BBF" w:rsidRPr="00293638" w:rsidRDefault="00FA1BBF" w:rsidP="00FA1BBF">
      <w:pPr>
        <w:rPr>
          <w:szCs w:val="20"/>
        </w:rPr>
      </w:pPr>
      <w:r w:rsidRPr="00293638">
        <w:rPr>
          <w:szCs w:val="20"/>
        </w:rPr>
        <w:t xml:space="preserve">Unless there are exceptional circumstances, an agency should not reject a referral on the basis that they will need to travel outside their service area. You can claim the cost of travel and record time spent traveling as service enhancement hours. </w:t>
      </w:r>
    </w:p>
    <w:p w14:paraId="25229802" w14:textId="77777777" w:rsidR="00FA1BBF" w:rsidRPr="00293638" w:rsidRDefault="00FA1BBF" w:rsidP="00FA1BBF">
      <w:pPr>
        <w:rPr>
          <w:szCs w:val="20"/>
        </w:rPr>
      </w:pPr>
      <w:r w:rsidRPr="00293638">
        <w:rPr>
          <w:szCs w:val="20"/>
        </w:rPr>
        <w:t>In some instances, the distance to travel may reasonably be considered too far to cover in a workday. In such cases, the agency that has received the referral should contact the renter as soon as possible to:</w:t>
      </w:r>
    </w:p>
    <w:p w14:paraId="3B2E49E3" w14:textId="77777777" w:rsidR="00FA1BBF" w:rsidRPr="00293638" w:rsidRDefault="00FA1BBF" w:rsidP="00FA1BBF">
      <w:pPr>
        <w:numPr>
          <w:ilvl w:val="0"/>
          <w:numId w:val="27"/>
        </w:numPr>
        <w:rPr>
          <w:szCs w:val="20"/>
        </w:rPr>
      </w:pPr>
      <w:r w:rsidRPr="00293638">
        <w:rPr>
          <w:szCs w:val="20"/>
        </w:rPr>
        <w:t>notify them that their case has been received but is required to be transferred to another agency, and</w:t>
      </w:r>
    </w:p>
    <w:p w14:paraId="0852AFE7" w14:textId="2462C0FB" w:rsidR="00FA1BBF" w:rsidRPr="00293638" w:rsidRDefault="00FA1BBF" w:rsidP="00FA1BBF">
      <w:pPr>
        <w:numPr>
          <w:ilvl w:val="0"/>
          <w:numId w:val="27"/>
        </w:numPr>
        <w:rPr>
          <w:szCs w:val="20"/>
        </w:rPr>
      </w:pPr>
      <w:r w:rsidRPr="00293638">
        <w:rPr>
          <w:szCs w:val="20"/>
        </w:rPr>
        <w:t>ask them what alternative arrangements would best suit their needs.</w:t>
      </w:r>
    </w:p>
    <w:p w14:paraId="6732E48B" w14:textId="2B9F0750" w:rsidR="00FA1BBF" w:rsidRPr="00293638" w:rsidRDefault="00FA1BBF" w:rsidP="00FA1BBF">
      <w:pPr>
        <w:rPr>
          <w:szCs w:val="20"/>
        </w:rPr>
      </w:pPr>
      <w:r w:rsidRPr="00293638">
        <w:rPr>
          <w:szCs w:val="20"/>
        </w:rPr>
        <w:t>The agency may also contact the RC</w:t>
      </w:r>
      <w:r w:rsidR="000827CA" w:rsidRPr="00293638">
        <w:rPr>
          <w:szCs w:val="20"/>
        </w:rPr>
        <w:t>S</w:t>
      </w:r>
      <w:r w:rsidRPr="00293638">
        <w:rPr>
          <w:szCs w:val="20"/>
        </w:rPr>
        <w:t xml:space="preserve"> support line for help transferring the case to another agency. </w:t>
      </w:r>
    </w:p>
    <w:p w14:paraId="2C5044F5" w14:textId="77777777" w:rsidR="00FA1BBF" w:rsidRPr="00293638" w:rsidRDefault="00FA1BBF" w:rsidP="00FA1BBF">
      <w:pPr>
        <w:rPr>
          <w:szCs w:val="20"/>
        </w:rPr>
      </w:pPr>
    </w:p>
    <w:p w14:paraId="1E7239FB" w14:textId="77777777" w:rsidR="00FA1BBF" w:rsidRPr="00FA1BBF" w:rsidRDefault="00FA1BBF" w:rsidP="008E5C62">
      <w:pPr>
        <w:pStyle w:val="Heading2"/>
      </w:pPr>
      <w:bookmarkStart w:id="54" w:name="_Toc218246530"/>
      <w:bookmarkStart w:id="55" w:name="_Toc219978496"/>
      <w:r w:rsidRPr="00FA1BBF">
        <w:t>Referrals of complex cases</w:t>
      </w:r>
      <w:bookmarkEnd w:id="54"/>
      <w:bookmarkEnd w:id="55"/>
      <w:r w:rsidRPr="00FA1BBF">
        <w:t xml:space="preserve"> </w:t>
      </w:r>
    </w:p>
    <w:p w14:paraId="1F2716E5" w14:textId="77777777" w:rsidR="00FA1BBF" w:rsidRPr="00293638" w:rsidRDefault="00FA1BBF" w:rsidP="00FA1BBF">
      <w:pPr>
        <w:rPr>
          <w:szCs w:val="20"/>
          <w:lang w:val="en-US"/>
        </w:rPr>
      </w:pPr>
      <w:r w:rsidRPr="00293638">
        <w:rPr>
          <w:szCs w:val="20"/>
          <w:lang w:val="en-US"/>
        </w:rPr>
        <w:t>Victorian law</w:t>
      </w:r>
      <w:r w:rsidRPr="00293638">
        <w:rPr>
          <w:i/>
          <w:szCs w:val="20"/>
          <w:lang w:val="en-US"/>
        </w:rPr>
        <w:t xml:space="preserve"> </w:t>
      </w:r>
      <w:r w:rsidRPr="00293638">
        <w:rPr>
          <w:szCs w:val="20"/>
          <w:lang w:val="en-US"/>
        </w:rPr>
        <w:t xml:space="preserve">prohibits a person who is not a qualified legal practitioner from engaging in legal practice in Victoria. To avoid the risk of engaging in unqualified legal practice, complex cases should be managed by qualified legal practitioners.  </w:t>
      </w:r>
    </w:p>
    <w:p w14:paraId="39A61852" w14:textId="77777777" w:rsidR="00FA1BBF" w:rsidRPr="00293638" w:rsidRDefault="00FA1BBF" w:rsidP="00FA1BBF">
      <w:pPr>
        <w:rPr>
          <w:szCs w:val="20"/>
        </w:rPr>
      </w:pPr>
      <w:r w:rsidRPr="00293638">
        <w:rPr>
          <w:szCs w:val="20"/>
        </w:rPr>
        <w:t xml:space="preserve">Agencies should continually consider the nature of the issues and the type of </w:t>
      </w:r>
      <w:r w:rsidRPr="00293638">
        <w:rPr>
          <w:szCs w:val="20"/>
        </w:rPr>
        <w:lastRenderedPageBreak/>
        <w:t>assistance that a renter requires, and decide whether the case:</w:t>
      </w:r>
    </w:p>
    <w:p w14:paraId="33FFE66B" w14:textId="77777777" w:rsidR="00FA1BBF" w:rsidRPr="00293638" w:rsidRDefault="00FA1BBF" w:rsidP="00FA1BBF">
      <w:pPr>
        <w:numPr>
          <w:ilvl w:val="0"/>
          <w:numId w:val="27"/>
        </w:numPr>
        <w:rPr>
          <w:szCs w:val="20"/>
        </w:rPr>
      </w:pPr>
      <w:r w:rsidRPr="00293638">
        <w:rPr>
          <w:szCs w:val="20"/>
        </w:rPr>
        <w:t xml:space="preserve">can be appropriately managed by a RRS worker who is not a qualified legal practitioner, or </w:t>
      </w:r>
    </w:p>
    <w:p w14:paraId="7B376E89" w14:textId="77777777" w:rsidR="00FA1BBF" w:rsidRPr="00293638" w:rsidRDefault="00FA1BBF" w:rsidP="00FA1BBF">
      <w:pPr>
        <w:numPr>
          <w:ilvl w:val="0"/>
          <w:numId w:val="27"/>
        </w:numPr>
        <w:rPr>
          <w:szCs w:val="20"/>
        </w:rPr>
      </w:pPr>
      <w:r w:rsidRPr="00293638">
        <w:rPr>
          <w:szCs w:val="20"/>
        </w:rPr>
        <w:t xml:space="preserve">should instead be managed by a qualified legal practitioner. </w:t>
      </w:r>
    </w:p>
    <w:p w14:paraId="18986B8B" w14:textId="7B060FAA" w:rsidR="00FA1BBF" w:rsidRPr="00293638" w:rsidRDefault="00FA1BBF" w:rsidP="00FA1BBF">
      <w:pPr>
        <w:rPr>
          <w:szCs w:val="20"/>
          <w:lang w:val="en-US"/>
        </w:rPr>
      </w:pPr>
      <w:r w:rsidRPr="00293638">
        <w:rPr>
          <w:szCs w:val="20"/>
          <w:lang w:val="en-US"/>
        </w:rPr>
        <w:t xml:space="preserve">If the agency has qualified legal practitioners on staff, then the case can be transferred internally. Otherwise, complex cases should be referred </w:t>
      </w:r>
      <w:proofErr w:type="gramStart"/>
      <w:r w:rsidRPr="00293638">
        <w:rPr>
          <w:szCs w:val="20"/>
          <w:lang w:val="en-US"/>
        </w:rPr>
        <w:t>to</w:t>
      </w:r>
      <w:proofErr w:type="gramEnd"/>
      <w:r w:rsidRPr="00293638">
        <w:rPr>
          <w:szCs w:val="20"/>
          <w:lang w:val="en-US"/>
        </w:rPr>
        <w:t xml:space="preserve"> the RCS. </w:t>
      </w:r>
    </w:p>
    <w:p w14:paraId="08DE0D17" w14:textId="788D9179" w:rsidR="000D593A" w:rsidRPr="001D38BD" w:rsidRDefault="000D593A" w:rsidP="000D593A">
      <w:pPr>
        <w:pStyle w:val="Heading1"/>
      </w:pPr>
      <w:r>
        <w:br w:type="column"/>
      </w:r>
      <w:bookmarkStart w:id="56" w:name="_Toc219978497"/>
      <w:r w:rsidR="007E45B8">
        <w:t>6</w:t>
      </w:r>
      <w:r>
        <w:t xml:space="preserve">. </w:t>
      </w:r>
      <w:r w:rsidR="003A0EC9">
        <w:t>RRS workers</w:t>
      </w:r>
      <w:bookmarkEnd w:id="56"/>
    </w:p>
    <w:p w14:paraId="167EA206" w14:textId="66F06381" w:rsidR="003A0EC9" w:rsidRPr="00293638" w:rsidRDefault="003A0EC9" w:rsidP="003A0EC9">
      <w:pPr>
        <w:rPr>
          <w:szCs w:val="20"/>
        </w:rPr>
      </w:pPr>
      <w:r w:rsidRPr="00293638">
        <w:rPr>
          <w:szCs w:val="20"/>
        </w:rPr>
        <w:t>RRS workers do not require a specific qualification; however, it is important that they have a demonstrated practical understanding of the RTA and of VCAT processes and procedures.</w:t>
      </w:r>
    </w:p>
    <w:p w14:paraId="131A7349" w14:textId="77777777" w:rsidR="003A0EC9" w:rsidRPr="00293638" w:rsidRDefault="003A0EC9" w:rsidP="003A0EC9">
      <w:pPr>
        <w:rPr>
          <w:szCs w:val="20"/>
        </w:rPr>
      </w:pPr>
      <w:r w:rsidRPr="00293638">
        <w:rPr>
          <w:szCs w:val="20"/>
        </w:rPr>
        <w:t>The RRS worker will be required to provide the following assistance to renters:</w:t>
      </w:r>
    </w:p>
    <w:p w14:paraId="78C571D9" w14:textId="77777777" w:rsidR="003A0EC9" w:rsidRPr="00293638" w:rsidRDefault="003A0EC9" w:rsidP="003A0EC9">
      <w:pPr>
        <w:numPr>
          <w:ilvl w:val="0"/>
          <w:numId w:val="27"/>
        </w:numPr>
        <w:rPr>
          <w:szCs w:val="20"/>
        </w:rPr>
      </w:pPr>
      <w:r w:rsidRPr="00293638">
        <w:rPr>
          <w:szCs w:val="20"/>
        </w:rPr>
        <w:t>provide accurate rental advice and assistance to renters</w:t>
      </w:r>
    </w:p>
    <w:p w14:paraId="49AD8E7A" w14:textId="77777777" w:rsidR="003A0EC9" w:rsidRPr="00293638" w:rsidRDefault="003A0EC9" w:rsidP="003A0EC9">
      <w:pPr>
        <w:numPr>
          <w:ilvl w:val="0"/>
          <w:numId w:val="27"/>
        </w:numPr>
        <w:rPr>
          <w:szCs w:val="20"/>
        </w:rPr>
      </w:pPr>
      <w:r w:rsidRPr="00293638">
        <w:rPr>
          <w:szCs w:val="20"/>
        </w:rPr>
        <w:t>draft and prepare letters, documents and application forms on behalf of renters</w:t>
      </w:r>
    </w:p>
    <w:p w14:paraId="223FAB20" w14:textId="5A10B656" w:rsidR="003A0EC9" w:rsidRPr="00293638" w:rsidRDefault="003A0EC9" w:rsidP="003A0EC9">
      <w:pPr>
        <w:numPr>
          <w:ilvl w:val="0"/>
          <w:numId w:val="27"/>
        </w:numPr>
        <w:rPr>
          <w:szCs w:val="20"/>
        </w:rPr>
      </w:pPr>
      <w:r w:rsidRPr="00293638">
        <w:rPr>
          <w:szCs w:val="20"/>
        </w:rPr>
        <w:t xml:space="preserve">negotiate with </w:t>
      </w:r>
      <w:r w:rsidR="00DC26A5">
        <w:rPr>
          <w:szCs w:val="20"/>
        </w:rPr>
        <w:t>rental providers (</w:t>
      </w:r>
      <w:r w:rsidRPr="00293638">
        <w:rPr>
          <w:szCs w:val="20"/>
        </w:rPr>
        <w:t>landlords</w:t>
      </w:r>
      <w:r w:rsidR="00DC26A5">
        <w:rPr>
          <w:szCs w:val="20"/>
        </w:rPr>
        <w:t>)</w:t>
      </w:r>
      <w:r w:rsidRPr="00293638">
        <w:rPr>
          <w:szCs w:val="20"/>
        </w:rPr>
        <w:t xml:space="preserve"> or real estate agents on behalf of the renter</w:t>
      </w:r>
    </w:p>
    <w:p w14:paraId="7F94A511" w14:textId="56FA859E" w:rsidR="003A0EC9" w:rsidRPr="00293638" w:rsidRDefault="003A0EC9" w:rsidP="003A0EC9">
      <w:pPr>
        <w:numPr>
          <w:ilvl w:val="0"/>
          <w:numId w:val="27"/>
        </w:numPr>
        <w:rPr>
          <w:szCs w:val="20"/>
        </w:rPr>
      </w:pPr>
      <w:r w:rsidRPr="00293638">
        <w:rPr>
          <w:szCs w:val="20"/>
        </w:rPr>
        <w:t xml:space="preserve">assist renters to prepare and understand </w:t>
      </w:r>
      <w:r w:rsidR="003872B3">
        <w:rPr>
          <w:szCs w:val="20"/>
        </w:rPr>
        <w:t xml:space="preserve">RDRV and / or </w:t>
      </w:r>
      <w:r w:rsidRPr="00293638">
        <w:rPr>
          <w:szCs w:val="20"/>
        </w:rPr>
        <w:t>VCAT processes and procedures</w:t>
      </w:r>
    </w:p>
    <w:p w14:paraId="048D7118" w14:textId="5DC936C6" w:rsidR="003A0EC9" w:rsidRPr="00293638" w:rsidRDefault="003A0EC9" w:rsidP="003A0EC9">
      <w:pPr>
        <w:numPr>
          <w:ilvl w:val="0"/>
          <w:numId w:val="27"/>
        </w:numPr>
        <w:rPr>
          <w:szCs w:val="20"/>
        </w:rPr>
      </w:pPr>
      <w:r>
        <w:t xml:space="preserve">attend and advocate on behalf of renters at </w:t>
      </w:r>
      <w:r w:rsidR="00815771">
        <w:t xml:space="preserve">RDRV dispute resolution sessions and at </w:t>
      </w:r>
      <w:r>
        <w:t>VCAT Residential Tenancies List hearings.</w:t>
      </w:r>
    </w:p>
    <w:p w14:paraId="41385932" w14:textId="77777777" w:rsidR="003A0EC9" w:rsidRPr="00293638" w:rsidRDefault="003A0EC9" w:rsidP="003A0EC9">
      <w:pPr>
        <w:rPr>
          <w:szCs w:val="20"/>
        </w:rPr>
      </w:pPr>
    </w:p>
    <w:p w14:paraId="29C2A4D6" w14:textId="77777777" w:rsidR="003A0EC9" w:rsidRPr="003A0EC9" w:rsidRDefault="003A0EC9" w:rsidP="003A0EC9">
      <w:pPr>
        <w:pStyle w:val="Heading2"/>
      </w:pPr>
      <w:bookmarkStart w:id="57" w:name="_Toc218246532"/>
      <w:bookmarkStart w:id="58" w:name="_Toc219978498"/>
      <w:r w:rsidRPr="003A0EC9">
        <w:t>RRS workers at VCAT</w:t>
      </w:r>
      <w:bookmarkEnd w:id="57"/>
      <w:bookmarkEnd w:id="58"/>
    </w:p>
    <w:p w14:paraId="2B3A7F22" w14:textId="77777777" w:rsidR="003A0EC9" w:rsidRPr="00293638" w:rsidRDefault="003A0EC9" w:rsidP="003A0EC9">
      <w:pPr>
        <w:rPr>
          <w:szCs w:val="20"/>
        </w:rPr>
      </w:pPr>
      <w:r w:rsidRPr="00293638">
        <w:rPr>
          <w:szCs w:val="20"/>
        </w:rPr>
        <w:t xml:space="preserve">RRS workers are not lawyers but, as described in Section 62(8)(d) of the </w:t>
      </w:r>
      <w:r w:rsidRPr="00293638">
        <w:rPr>
          <w:i/>
          <w:szCs w:val="20"/>
        </w:rPr>
        <w:t>Victorian Civil and Administrative Tribunal Act 1998</w:t>
      </w:r>
      <w:r w:rsidRPr="00293638">
        <w:rPr>
          <w:szCs w:val="20"/>
        </w:rPr>
        <w:t>, they present at the tribunal as having “had substantial experience as an advocate in proceedings of a similar nature to the proceedings before the tribunal”.</w:t>
      </w:r>
    </w:p>
    <w:p w14:paraId="7E2C0993" w14:textId="77777777" w:rsidR="003A0EC9" w:rsidRPr="00293638" w:rsidRDefault="003A0EC9" w:rsidP="003A0EC9">
      <w:pPr>
        <w:rPr>
          <w:szCs w:val="20"/>
        </w:rPr>
      </w:pPr>
      <w:r w:rsidRPr="00293638">
        <w:rPr>
          <w:szCs w:val="20"/>
        </w:rPr>
        <w:t>RRS workers must conduct themselves and perform their work professionally and with due respect for VCAT, its members, and its processes and procedures.</w:t>
      </w:r>
    </w:p>
    <w:p w14:paraId="7A783E84" w14:textId="413E5D3D" w:rsidR="003A0EC9" w:rsidRPr="00293638" w:rsidRDefault="003A0EC9" w:rsidP="003A0EC9">
      <w:pPr>
        <w:rPr>
          <w:szCs w:val="20"/>
        </w:rPr>
      </w:pPr>
      <w:r w:rsidRPr="00293638">
        <w:rPr>
          <w:szCs w:val="20"/>
        </w:rPr>
        <w:lastRenderedPageBreak/>
        <w:t xml:space="preserve">RRS workers must observe the etiquette of VCAT and will receive instruction and guidance about this from their agency and the VCAT </w:t>
      </w:r>
      <w:r w:rsidR="000A55DA">
        <w:rPr>
          <w:szCs w:val="20"/>
        </w:rPr>
        <w:t>R</w:t>
      </w:r>
      <w:r w:rsidRPr="00293638">
        <w:rPr>
          <w:szCs w:val="20"/>
        </w:rPr>
        <w:t>egistrar.</w:t>
      </w:r>
    </w:p>
    <w:p w14:paraId="0AB59E66" w14:textId="77777777" w:rsidR="003A0EC9" w:rsidRPr="00293638" w:rsidRDefault="003A0EC9" w:rsidP="003A0EC9">
      <w:pPr>
        <w:rPr>
          <w:szCs w:val="20"/>
        </w:rPr>
      </w:pPr>
    </w:p>
    <w:p w14:paraId="7203405E" w14:textId="77777777" w:rsidR="003A0EC9" w:rsidRPr="003A0EC9" w:rsidRDefault="003A0EC9" w:rsidP="003A0EC9">
      <w:pPr>
        <w:pStyle w:val="Heading2"/>
      </w:pPr>
      <w:bookmarkStart w:id="59" w:name="_Toc2243289"/>
      <w:bookmarkStart w:id="60" w:name="_Toc219978499"/>
      <w:r w:rsidRPr="003A0EC9">
        <w:t>VCAT duty advocacy</w:t>
      </w:r>
      <w:bookmarkEnd w:id="59"/>
      <w:bookmarkEnd w:id="60"/>
    </w:p>
    <w:p w14:paraId="01C93E14" w14:textId="4760E2B8" w:rsidR="003A0EC9" w:rsidRPr="00293638" w:rsidRDefault="003A0EC9" w:rsidP="003A0EC9">
      <w:pPr>
        <w:rPr>
          <w:szCs w:val="20"/>
        </w:rPr>
      </w:pPr>
      <w:r w:rsidRPr="00293638">
        <w:rPr>
          <w:szCs w:val="20"/>
        </w:rPr>
        <w:t xml:space="preserve">Agencies that offer a duty advocate role will be required to negotiate directly with the respective VCAT </w:t>
      </w:r>
      <w:r w:rsidR="000A55DA">
        <w:rPr>
          <w:szCs w:val="20"/>
        </w:rPr>
        <w:t>R</w:t>
      </w:r>
      <w:r w:rsidRPr="00293638">
        <w:rPr>
          <w:szCs w:val="20"/>
        </w:rPr>
        <w:t>egistrar to develop the most appropriate strategy for effective delivery of duty advocacy services. This will include:</w:t>
      </w:r>
    </w:p>
    <w:p w14:paraId="205F3659" w14:textId="77777777" w:rsidR="003A0EC9" w:rsidRPr="00293638" w:rsidRDefault="003A0EC9" w:rsidP="003A0EC9">
      <w:pPr>
        <w:numPr>
          <w:ilvl w:val="0"/>
          <w:numId w:val="27"/>
        </w:numPr>
        <w:rPr>
          <w:szCs w:val="20"/>
        </w:rPr>
      </w:pPr>
      <w:r w:rsidRPr="00293638">
        <w:rPr>
          <w:szCs w:val="20"/>
        </w:rPr>
        <w:t>provision of space to meet with clients confidentially</w:t>
      </w:r>
    </w:p>
    <w:p w14:paraId="7FB4A6D5" w14:textId="6E527CA5" w:rsidR="003A0EC9" w:rsidRPr="00293638" w:rsidRDefault="003A0EC9" w:rsidP="003A0EC9">
      <w:pPr>
        <w:numPr>
          <w:ilvl w:val="0"/>
          <w:numId w:val="27"/>
        </w:numPr>
        <w:rPr>
          <w:szCs w:val="20"/>
        </w:rPr>
      </w:pPr>
      <w:r w:rsidRPr="00293638">
        <w:rPr>
          <w:szCs w:val="20"/>
        </w:rPr>
        <w:t xml:space="preserve">procedures for the </w:t>
      </w:r>
      <w:r w:rsidR="000A55DA">
        <w:rPr>
          <w:szCs w:val="20"/>
        </w:rPr>
        <w:t>R</w:t>
      </w:r>
      <w:r w:rsidRPr="00293638">
        <w:rPr>
          <w:szCs w:val="20"/>
        </w:rPr>
        <w:t>egistrar to initially assess and refer clients</w:t>
      </w:r>
    </w:p>
    <w:p w14:paraId="50713A8E" w14:textId="77777777" w:rsidR="003A0EC9" w:rsidRPr="00293638" w:rsidRDefault="003A0EC9" w:rsidP="003A0EC9">
      <w:pPr>
        <w:numPr>
          <w:ilvl w:val="0"/>
          <w:numId w:val="27"/>
        </w:numPr>
        <w:rPr>
          <w:szCs w:val="20"/>
        </w:rPr>
      </w:pPr>
      <w:r w:rsidRPr="00293638">
        <w:rPr>
          <w:szCs w:val="20"/>
        </w:rPr>
        <w:t>procedures for the member to stand down a matter to enable a client to receive assistance from the RRS worker.</w:t>
      </w:r>
    </w:p>
    <w:p w14:paraId="22E0391F" w14:textId="1B334BA0" w:rsidR="003A0EC9" w:rsidRPr="00293638" w:rsidRDefault="003A0EC9" w:rsidP="003A0EC9">
      <w:pPr>
        <w:rPr>
          <w:szCs w:val="20"/>
        </w:rPr>
      </w:pPr>
      <w:r w:rsidRPr="00293638">
        <w:rPr>
          <w:szCs w:val="20"/>
        </w:rPr>
        <w:t xml:space="preserve">An agreement between your agency and the VCAT </w:t>
      </w:r>
      <w:r w:rsidR="000A55DA">
        <w:rPr>
          <w:szCs w:val="20"/>
        </w:rPr>
        <w:t>R</w:t>
      </w:r>
      <w:r w:rsidR="002B44CE">
        <w:rPr>
          <w:szCs w:val="20"/>
        </w:rPr>
        <w:t xml:space="preserve"> </w:t>
      </w:r>
      <w:proofErr w:type="spellStart"/>
      <w:r w:rsidR="002B44CE">
        <w:rPr>
          <w:szCs w:val="20"/>
        </w:rPr>
        <w:t>vic</w:t>
      </w:r>
      <w:r w:rsidRPr="00293638">
        <w:rPr>
          <w:szCs w:val="20"/>
        </w:rPr>
        <w:t>egistrar</w:t>
      </w:r>
      <w:proofErr w:type="spellEnd"/>
      <w:r w:rsidRPr="00293638">
        <w:rPr>
          <w:szCs w:val="20"/>
        </w:rPr>
        <w:t xml:space="preserve"> should be drawn up to reflect the arrangements.</w:t>
      </w:r>
    </w:p>
    <w:p w14:paraId="7B1856E7" w14:textId="77777777" w:rsidR="003A0EC9" w:rsidRPr="00293638" w:rsidRDefault="003A0EC9" w:rsidP="003A0EC9">
      <w:pPr>
        <w:rPr>
          <w:szCs w:val="20"/>
        </w:rPr>
      </w:pPr>
    </w:p>
    <w:p w14:paraId="0EFC2472" w14:textId="77777777" w:rsidR="003A0EC9" w:rsidRPr="003A0EC9" w:rsidRDefault="003A0EC9" w:rsidP="003A0EC9">
      <w:pPr>
        <w:pStyle w:val="Heading2"/>
      </w:pPr>
      <w:bookmarkStart w:id="61" w:name="_Toc219978500"/>
      <w:r w:rsidRPr="003A0EC9">
        <w:t>Ongoing training requirements</w:t>
      </w:r>
      <w:bookmarkEnd w:id="61"/>
    </w:p>
    <w:p w14:paraId="7A0ED625" w14:textId="6BC41FB0" w:rsidR="003A0EC9" w:rsidRPr="00293638" w:rsidRDefault="003A0EC9" w:rsidP="003A0EC9">
      <w:pPr>
        <w:rPr>
          <w:szCs w:val="20"/>
        </w:rPr>
      </w:pPr>
      <w:r w:rsidRPr="00293638">
        <w:rPr>
          <w:szCs w:val="20"/>
        </w:rPr>
        <w:t xml:space="preserve">To deliver quality casework services, RRS workers are required to have an extensive knowledge of rental practice and law, most specifically the </w:t>
      </w:r>
      <w:r w:rsidR="00316CC7">
        <w:rPr>
          <w:szCs w:val="20"/>
        </w:rPr>
        <w:t>RTA</w:t>
      </w:r>
      <w:r w:rsidRPr="00293638">
        <w:rPr>
          <w:i/>
          <w:szCs w:val="20"/>
        </w:rPr>
        <w:t>.</w:t>
      </w:r>
      <w:r w:rsidRPr="00293638">
        <w:rPr>
          <w:szCs w:val="20"/>
        </w:rPr>
        <w:t xml:space="preserve"> </w:t>
      </w:r>
    </w:p>
    <w:p w14:paraId="263A3424" w14:textId="77777777" w:rsidR="003A0EC9" w:rsidRPr="00293638" w:rsidRDefault="003A0EC9" w:rsidP="003A0EC9">
      <w:pPr>
        <w:rPr>
          <w:szCs w:val="20"/>
        </w:rPr>
      </w:pPr>
      <w:r w:rsidRPr="00293638">
        <w:rPr>
          <w:szCs w:val="20"/>
        </w:rPr>
        <w:t>RRS workers are also required to complete mandatory family violence training.</w:t>
      </w:r>
    </w:p>
    <w:p w14:paraId="21EF15BB" w14:textId="77777777" w:rsidR="003A0EC9" w:rsidRPr="00293638" w:rsidRDefault="003A0EC9" w:rsidP="003A0EC9">
      <w:pPr>
        <w:rPr>
          <w:szCs w:val="20"/>
        </w:rPr>
      </w:pPr>
      <w:r w:rsidRPr="00293638">
        <w:rPr>
          <w:szCs w:val="20"/>
        </w:rPr>
        <w:t>The compulsory professional development and induction training is provided through the RCS.</w:t>
      </w:r>
    </w:p>
    <w:p w14:paraId="6C2179CD" w14:textId="77777777" w:rsidR="003A0EC9" w:rsidRPr="00293638" w:rsidRDefault="003A0EC9" w:rsidP="003A0EC9">
      <w:pPr>
        <w:rPr>
          <w:szCs w:val="20"/>
        </w:rPr>
      </w:pPr>
    </w:p>
    <w:p w14:paraId="5B4AA9A1" w14:textId="77777777" w:rsidR="003A0EC9" w:rsidRPr="003A0EC9" w:rsidRDefault="003A0EC9" w:rsidP="004C374D">
      <w:pPr>
        <w:pStyle w:val="Heading3"/>
      </w:pPr>
      <w:r w:rsidRPr="003A0EC9">
        <w:t>Rental induction training</w:t>
      </w:r>
    </w:p>
    <w:p w14:paraId="5A5A5E94" w14:textId="77777777" w:rsidR="003A0EC9" w:rsidRPr="00293638" w:rsidRDefault="003A0EC9" w:rsidP="003A0EC9">
      <w:pPr>
        <w:rPr>
          <w:szCs w:val="20"/>
        </w:rPr>
      </w:pPr>
      <w:r w:rsidRPr="00293638">
        <w:rPr>
          <w:szCs w:val="20"/>
        </w:rPr>
        <w:t>All new RRS workers are required to attend the equivalent of a two-day induction training prior to working directly with clients, and a follow-up third day to address practical learnings.</w:t>
      </w:r>
    </w:p>
    <w:p w14:paraId="57EB2C7B" w14:textId="77777777" w:rsidR="003A0EC9" w:rsidRPr="00293638" w:rsidRDefault="003A0EC9" w:rsidP="003A0EC9">
      <w:pPr>
        <w:rPr>
          <w:szCs w:val="20"/>
        </w:rPr>
      </w:pPr>
      <w:r w:rsidRPr="00293638">
        <w:rPr>
          <w:szCs w:val="20"/>
        </w:rPr>
        <w:t xml:space="preserve">The induction training is intended to provide a general understanding of the residential tenancies law and </w:t>
      </w:r>
      <w:proofErr w:type="gramStart"/>
      <w:r w:rsidRPr="00293638">
        <w:rPr>
          <w:szCs w:val="20"/>
        </w:rPr>
        <w:t>processes, and</w:t>
      </w:r>
      <w:proofErr w:type="gramEnd"/>
      <w:r w:rsidRPr="00293638">
        <w:rPr>
          <w:szCs w:val="20"/>
        </w:rPr>
        <w:t xml:space="preserve"> focuses on some of the common problems.</w:t>
      </w:r>
    </w:p>
    <w:p w14:paraId="741646EB" w14:textId="77777777" w:rsidR="003A0EC9" w:rsidRPr="00293638" w:rsidRDefault="003A0EC9" w:rsidP="003A0EC9">
      <w:pPr>
        <w:rPr>
          <w:szCs w:val="20"/>
        </w:rPr>
      </w:pPr>
    </w:p>
    <w:p w14:paraId="15AB9637" w14:textId="77777777" w:rsidR="003A0EC9" w:rsidRPr="003A0EC9" w:rsidRDefault="003A0EC9" w:rsidP="004C374D">
      <w:pPr>
        <w:pStyle w:val="Heading3"/>
      </w:pPr>
      <w:r w:rsidRPr="003A0EC9">
        <w:t>Legislation and skills development</w:t>
      </w:r>
    </w:p>
    <w:p w14:paraId="72AE84BC" w14:textId="09703E24" w:rsidR="003A0EC9" w:rsidRPr="00293638" w:rsidRDefault="003A0EC9" w:rsidP="003A0EC9">
      <w:pPr>
        <w:rPr>
          <w:szCs w:val="20"/>
        </w:rPr>
      </w:pPr>
      <w:r w:rsidRPr="00293638">
        <w:rPr>
          <w:szCs w:val="20"/>
        </w:rPr>
        <w:t xml:space="preserve">All RRS workers are required to complete a minimum of two RRS legislation and skills professional development sessions </w:t>
      </w:r>
      <w:r w:rsidR="00954E95">
        <w:rPr>
          <w:szCs w:val="20"/>
        </w:rPr>
        <w:t>each</w:t>
      </w:r>
      <w:r w:rsidRPr="00293638">
        <w:rPr>
          <w:szCs w:val="20"/>
        </w:rPr>
        <w:t xml:space="preserve"> year provided by the RCS provider.</w:t>
      </w:r>
    </w:p>
    <w:p w14:paraId="707BE9D5" w14:textId="132B9B45" w:rsidR="003A0EC9" w:rsidRPr="00293638" w:rsidRDefault="003A0EC9" w:rsidP="003A0EC9">
      <w:pPr>
        <w:rPr>
          <w:szCs w:val="20"/>
        </w:rPr>
      </w:pPr>
      <w:r>
        <w:t>The professional development will focus</w:t>
      </w:r>
      <w:r w:rsidR="00C16C83">
        <w:t xml:space="preserve"> </w:t>
      </w:r>
      <w:r>
        <w:t xml:space="preserve">on interpreting the RTA and a range of work practices including representing renters at </w:t>
      </w:r>
      <w:r w:rsidR="00CD342C">
        <w:t>RDRV and</w:t>
      </w:r>
      <w:r>
        <w:t xml:space="preserve"> </w:t>
      </w:r>
      <w:proofErr w:type="gramStart"/>
      <w:r>
        <w:t>VCAT, and</w:t>
      </w:r>
      <w:proofErr w:type="gramEnd"/>
      <w:r>
        <w:t xml:space="preserve"> working with specific marginalised community groups.</w:t>
      </w:r>
    </w:p>
    <w:p w14:paraId="7A86BAE4" w14:textId="77777777" w:rsidR="004C374D" w:rsidRPr="00293638" w:rsidRDefault="004C374D" w:rsidP="003A0EC9">
      <w:pPr>
        <w:rPr>
          <w:szCs w:val="20"/>
        </w:rPr>
      </w:pPr>
    </w:p>
    <w:p w14:paraId="5CC68A36" w14:textId="77777777" w:rsidR="003A0EC9" w:rsidRPr="003A0EC9" w:rsidRDefault="003A0EC9" w:rsidP="004C374D">
      <w:pPr>
        <w:pStyle w:val="Heading3"/>
      </w:pPr>
      <w:r w:rsidRPr="003A0EC9">
        <w:t>Supervision</w:t>
      </w:r>
    </w:p>
    <w:p w14:paraId="7149A9E5" w14:textId="156D6F66" w:rsidR="003A0EC9" w:rsidRPr="00293638" w:rsidRDefault="003A0EC9" w:rsidP="003A0EC9">
      <w:pPr>
        <w:rPr>
          <w:szCs w:val="20"/>
        </w:rPr>
      </w:pPr>
      <w:r w:rsidRPr="00293638">
        <w:rPr>
          <w:szCs w:val="20"/>
        </w:rPr>
        <w:t>Agencies are required to provide</w:t>
      </w:r>
      <w:r w:rsidR="004C374D" w:rsidRPr="00293638">
        <w:rPr>
          <w:szCs w:val="20"/>
        </w:rPr>
        <w:t xml:space="preserve"> </w:t>
      </w:r>
      <w:r w:rsidRPr="00293638">
        <w:rPr>
          <w:szCs w:val="20"/>
        </w:rPr>
        <w:t>RRS workers with regular professional supervision to support them with casework and the day-to-day impact of their work environment. The frequency of casework supervision should be determined on a case-by-case basis. Agencies are required to:</w:t>
      </w:r>
    </w:p>
    <w:p w14:paraId="3207A90F" w14:textId="77777777" w:rsidR="003A0EC9" w:rsidRPr="00293638" w:rsidRDefault="003A0EC9" w:rsidP="003A0EC9">
      <w:pPr>
        <w:numPr>
          <w:ilvl w:val="0"/>
          <w:numId w:val="27"/>
        </w:numPr>
        <w:rPr>
          <w:szCs w:val="20"/>
        </w:rPr>
      </w:pPr>
      <w:r w:rsidRPr="00293638">
        <w:rPr>
          <w:szCs w:val="20"/>
        </w:rPr>
        <w:t>ensure RRS workers meet regularly with supervisors</w:t>
      </w:r>
    </w:p>
    <w:p w14:paraId="6AED6975" w14:textId="77777777" w:rsidR="003A0EC9" w:rsidRPr="00293638" w:rsidRDefault="003A0EC9" w:rsidP="003A0EC9">
      <w:pPr>
        <w:numPr>
          <w:ilvl w:val="0"/>
          <w:numId w:val="27"/>
        </w:numPr>
        <w:rPr>
          <w:szCs w:val="20"/>
        </w:rPr>
      </w:pPr>
      <w:r w:rsidRPr="00293638">
        <w:rPr>
          <w:szCs w:val="20"/>
        </w:rPr>
        <w:t>keep supervision records.</w:t>
      </w:r>
    </w:p>
    <w:p w14:paraId="493842D3" w14:textId="77777777" w:rsidR="004C374D" w:rsidRPr="00293638" w:rsidRDefault="004C374D" w:rsidP="003A0EC9">
      <w:pPr>
        <w:rPr>
          <w:szCs w:val="20"/>
        </w:rPr>
      </w:pPr>
    </w:p>
    <w:p w14:paraId="0B485960" w14:textId="0EF4323F" w:rsidR="003A0EC9" w:rsidRPr="003A0EC9" w:rsidRDefault="003A0EC9" w:rsidP="004C374D">
      <w:pPr>
        <w:pStyle w:val="Heading3"/>
      </w:pPr>
      <w:r w:rsidRPr="003A0EC9">
        <w:lastRenderedPageBreak/>
        <w:t>Family violence training requirements</w:t>
      </w:r>
    </w:p>
    <w:p w14:paraId="71996AAC" w14:textId="77777777" w:rsidR="003A0EC9" w:rsidRPr="00293638" w:rsidRDefault="003A0EC9" w:rsidP="003A0EC9">
      <w:pPr>
        <w:rPr>
          <w:szCs w:val="20"/>
        </w:rPr>
      </w:pPr>
      <w:r w:rsidRPr="00293638">
        <w:rPr>
          <w:szCs w:val="20"/>
        </w:rPr>
        <w:t>The Family Violence Multi-Agency Risk Assessment and Management Framework (MARAM) has been established in law under Part 11 of the</w:t>
      </w:r>
      <w:r w:rsidRPr="00293638">
        <w:rPr>
          <w:i/>
          <w:szCs w:val="20"/>
        </w:rPr>
        <w:t xml:space="preserve"> Family Violence Protection Act 2008 </w:t>
      </w:r>
      <w:r w:rsidRPr="00293638">
        <w:rPr>
          <w:szCs w:val="20"/>
        </w:rPr>
        <w:t>(FVPA)</w:t>
      </w:r>
      <w:r w:rsidRPr="00293638">
        <w:rPr>
          <w:i/>
          <w:szCs w:val="20"/>
        </w:rPr>
        <w:t xml:space="preserve"> </w:t>
      </w:r>
      <w:r w:rsidRPr="00293638">
        <w:rPr>
          <w:szCs w:val="20"/>
        </w:rPr>
        <w:t>to ensure relevant services contribute to the identification, assessment and management of family violence risk. The Family Violence Information Sharing Scheme (FVIS Scheme) is enshrined in Part 5A of the</w:t>
      </w:r>
      <w:r w:rsidRPr="00293638">
        <w:rPr>
          <w:i/>
          <w:szCs w:val="20"/>
        </w:rPr>
        <w:t xml:space="preserve"> </w:t>
      </w:r>
      <w:bookmarkStart w:id="62" w:name="_Hlk13738114"/>
      <w:r w:rsidRPr="00293638">
        <w:rPr>
          <w:szCs w:val="20"/>
        </w:rPr>
        <w:t>FVPA</w:t>
      </w:r>
      <w:r w:rsidRPr="00293638">
        <w:rPr>
          <w:i/>
          <w:szCs w:val="20"/>
        </w:rPr>
        <w:t xml:space="preserve"> </w:t>
      </w:r>
      <w:bookmarkEnd w:id="62"/>
      <w:r w:rsidRPr="00293638">
        <w:rPr>
          <w:szCs w:val="20"/>
        </w:rPr>
        <w:t xml:space="preserve">and describes legislative obligations for collecting and sharing family violence risk information. </w:t>
      </w:r>
    </w:p>
    <w:p w14:paraId="259E4E88" w14:textId="77777777" w:rsidR="003A0EC9" w:rsidRPr="00293638" w:rsidRDefault="003A0EC9" w:rsidP="003A0EC9">
      <w:pPr>
        <w:rPr>
          <w:szCs w:val="20"/>
          <w:lang w:val="en-US"/>
        </w:rPr>
      </w:pPr>
      <w:r w:rsidRPr="00293638">
        <w:rPr>
          <w:szCs w:val="20"/>
        </w:rPr>
        <w:t xml:space="preserve">RRS workers should be trained in the MARAM and FVIS Scheme. </w:t>
      </w:r>
      <w:r w:rsidRPr="00293638">
        <w:rPr>
          <w:szCs w:val="20"/>
          <w:lang w:val="en-US"/>
        </w:rPr>
        <w:t xml:space="preserve">New RRS workers will be required to complete </w:t>
      </w:r>
      <w:r w:rsidRPr="00293638">
        <w:rPr>
          <w:szCs w:val="20"/>
        </w:rPr>
        <w:t>foundational family violence training as well as</w:t>
      </w:r>
      <w:r w:rsidRPr="00293638">
        <w:rPr>
          <w:szCs w:val="20"/>
          <w:lang w:val="en-US"/>
        </w:rPr>
        <w:t xml:space="preserve"> </w:t>
      </w:r>
      <w:proofErr w:type="spellStart"/>
      <w:r w:rsidRPr="00293638">
        <w:rPr>
          <w:szCs w:val="20"/>
          <w:lang w:val="en-US"/>
        </w:rPr>
        <w:t>customised</w:t>
      </w:r>
      <w:proofErr w:type="spellEnd"/>
      <w:r w:rsidRPr="00293638">
        <w:rPr>
          <w:szCs w:val="20"/>
          <w:lang w:val="en-US"/>
        </w:rPr>
        <w:t xml:space="preserve"> FVIS and MARAM training, as directed by CAV.</w:t>
      </w:r>
    </w:p>
    <w:p w14:paraId="36C8CBA4" w14:textId="0AF06890" w:rsidR="007E45B8" w:rsidRPr="001D38BD" w:rsidRDefault="007E45B8" w:rsidP="007E45B8">
      <w:pPr>
        <w:pStyle w:val="Heading1"/>
      </w:pPr>
      <w:r>
        <w:br w:type="column"/>
      </w:r>
      <w:bookmarkStart w:id="63" w:name="_Toc219978501"/>
      <w:r>
        <w:t xml:space="preserve">7. </w:t>
      </w:r>
      <w:r w:rsidR="004C374D">
        <w:t>Casework support for RRS workers</w:t>
      </w:r>
      <w:bookmarkEnd w:id="63"/>
    </w:p>
    <w:p w14:paraId="2B286DE9" w14:textId="77777777" w:rsidR="00625995" w:rsidRPr="00293638" w:rsidRDefault="00625995" w:rsidP="00625995">
      <w:pPr>
        <w:rPr>
          <w:szCs w:val="20"/>
        </w:rPr>
      </w:pPr>
      <w:r w:rsidRPr="00293638">
        <w:rPr>
          <w:szCs w:val="20"/>
        </w:rPr>
        <w:t>To assist the RRS workers with client casework the following services are available for all RRS workers:</w:t>
      </w:r>
    </w:p>
    <w:p w14:paraId="490D58D6" w14:textId="77777777" w:rsidR="00625995" w:rsidRPr="00293638" w:rsidRDefault="00625995" w:rsidP="00625995">
      <w:pPr>
        <w:numPr>
          <w:ilvl w:val="0"/>
          <w:numId w:val="27"/>
        </w:numPr>
        <w:rPr>
          <w:szCs w:val="20"/>
        </w:rPr>
      </w:pPr>
      <w:r w:rsidRPr="00293638">
        <w:rPr>
          <w:szCs w:val="20"/>
        </w:rPr>
        <w:t>rental legal advice</w:t>
      </w:r>
    </w:p>
    <w:p w14:paraId="2015F7BD" w14:textId="77777777" w:rsidR="00625995" w:rsidRPr="00293638" w:rsidRDefault="00625995" w:rsidP="00625995">
      <w:pPr>
        <w:numPr>
          <w:ilvl w:val="0"/>
          <w:numId w:val="27"/>
        </w:numPr>
        <w:rPr>
          <w:szCs w:val="20"/>
        </w:rPr>
      </w:pPr>
      <w:r w:rsidRPr="00293638">
        <w:rPr>
          <w:szCs w:val="20"/>
        </w:rPr>
        <w:t>rental tools and resources</w:t>
      </w:r>
    </w:p>
    <w:p w14:paraId="05CDDA04" w14:textId="34C16F92" w:rsidR="00625995" w:rsidRPr="00293638" w:rsidRDefault="00625995" w:rsidP="00625995">
      <w:pPr>
        <w:numPr>
          <w:ilvl w:val="0"/>
          <w:numId w:val="27"/>
        </w:numPr>
        <w:rPr>
          <w:szCs w:val="20"/>
        </w:rPr>
      </w:pPr>
      <w:r w:rsidRPr="00293638">
        <w:rPr>
          <w:szCs w:val="20"/>
        </w:rPr>
        <w:t xml:space="preserve">Older </w:t>
      </w:r>
      <w:r w:rsidR="00F52264" w:rsidRPr="00293638">
        <w:rPr>
          <w:szCs w:val="20"/>
        </w:rPr>
        <w:t>Persons</w:t>
      </w:r>
      <w:r w:rsidR="00D57233" w:rsidRPr="00293638">
        <w:rPr>
          <w:szCs w:val="20"/>
        </w:rPr>
        <w:t xml:space="preserve"> Hou</w:t>
      </w:r>
      <w:r w:rsidR="0042110E" w:rsidRPr="00293638">
        <w:rPr>
          <w:szCs w:val="20"/>
        </w:rPr>
        <w:t>sing Rights</w:t>
      </w:r>
      <w:r w:rsidRPr="00293638">
        <w:rPr>
          <w:szCs w:val="20"/>
        </w:rPr>
        <w:t xml:space="preserve"> Service</w:t>
      </w:r>
    </w:p>
    <w:p w14:paraId="17665C0F" w14:textId="77777777" w:rsidR="00625995" w:rsidRPr="00293638" w:rsidRDefault="00625995" w:rsidP="00625995">
      <w:pPr>
        <w:numPr>
          <w:ilvl w:val="0"/>
          <w:numId w:val="27"/>
        </w:numPr>
        <w:rPr>
          <w:szCs w:val="20"/>
        </w:rPr>
      </w:pPr>
      <w:r w:rsidRPr="00293638">
        <w:rPr>
          <w:szCs w:val="20"/>
        </w:rPr>
        <w:t>VCAT family violence support worker</w:t>
      </w:r>
    </w:p>
    <w:p w14:paraId="4CE65C9A" w14:textId="77777777" w:rsidR="00625995" w:rsidRPr="00293638" w:rsidRDefault="00625995" w:rsidP="00625995">
      <w:pPr>
        <w:numPr>
          <w:ilvl w:val="0"/>
          <w:numId w:val="27"/>
        </w:numPr>
        <w:rPr>
          <w:szCs w:val="20"/>
        </w:rPr>
      </w:pPr>
      <w:r w:rsidRPr="00293638">
        <w:rPr>
          <w:szCs w:val="20"/>
        </w:rPr>
        <w:t>interpreter and translation services.</w:t>
      </w:r>
    </w:p>
    <w:p w14:paraId="3C7B5FC7" w14:textId="77777777" w:rsidR="00625995" w:rsidRPr="00293638" w:rsidRDefault="00625995" w:rsidP="00625995">
      <w:pPr>
        <w:rPr>
          <w:szCs w:val="20"/>
        </w:rPr>
      </w:pPr>
    </w:p>
    <w:p w14:paraId="64163B58" w14:textId="77777777" w:rsidR="00625995" w:rsidRPr="00625995" w:rsidRDefault="00625995" w:rsidP="00625995">
      <w:pPr>
        <w:pStyle w:val="Heading2"/>
      </w:pPr>
      <w:bookmarkStart w:id="64" w:name="_Toc218246534"/>
      <w:bookmarkStart w:id="65" w:name="_Toc219978502"/>
      <w:r w:rsidRPr="00625995">
        <w:t>Rental legal support</w:t>
      </w:r>
      <w:bookmarkEnd w:id="64"/>
      <w:bookmarkEnd w:id="65"/>
    </w:p>
    <w:p w14:paraId="43EF87F2" w14:textId="5E64862A" w:rsidR="00625995" w:rsidRPr="00293638" w:rsidRDefault="00625995" w:rsidP="00625995">
      <w:pPr>
        <w:rPr>
          <w:szCs w:val="20"/>
        </w:rPr>
      </w:pPr>
      <w:r w:rsidRPr="00293638">
        <w:rPr>
          <w:szCs w:val="20"/>
        </w:rPr>
        <w:t>The Provider of the RCS is funded to provide a workers’ advice line for RRS</w:t>
      </w:r>
      <w:r w:rsidR="008D740F" w:rsidRPr="00293638">
        <w:rPr>
          <w:szCs w:val="20"/>
        </w:rPr>
        <w:t>, VRH</w:t>
      </w:r>
      <w:r w:rsidRPr="00293638">
        <w:rPr>
          <w:szCs w:val="20"/>
        </w:rPr>
        <w:t xml:space="preserve"> and OPHRS workers. RRS workers can contact this service for rental legal information and casework support. This could include guidance about the best strategy for a case, or clarification of legal arguments and legal procedure.</w:t>
      </w:r>
    </w:p>
    <w:p w14:paraId="573F14BF" w14:textId="77777777" w:rsidR="00625995" w:rsidRPr="00293638" w:rsidRDefault="00625995" w:rsidP="00625995">
      <w:pPr>
        <w:rPr>
          <w:szCs w:val="20"/>
        </w:rPr>
      </w:pPr>
    </w:p>
    <w:p w14:paraId="2A0BC851" w14:textId="77777777" w:rsidR="00625995" w:rsidRPr="00625995" w:rsidRDefault="00625995" w:rsidP="00625995">
      <w:pPr>
        <w:pStyle w:val="Heading2"/>
      </w:pPr>
      <w:bookmarkStart w:id="66" w:name="_Toc218246535"/>
      <w:bookmarkStart w:id="67" w:name="_Toc219978503"/>
      <w:r w:rsidRPr="00625995">
        <w:t>Rental tools and resources</w:t>
      </w:r>
      <w:bookmarkEnd w:id="66"/>
      <w:bookmarkEnd w:id="67"/>
    </w:p>
    <w:p w14:paraId="2110989B" w14:textId="77777777" w:rsidR="00625995" w:rsidRPr="00293638" w:rsidRDefault="00625995" w:rsidP="00625995">
      <w:pPr>
        <w:rPr>
          <w:szCs w:val="20"/>
        </w:rPr>
      </w:pPr>
      <w:r w:rsidRPr="00293638">
        <w:rPr>
          <w:szCs w:val="20"/>
        </w:rPr>
        <w:t xml:space="preserve">The Provider of the RCS also provides an online knowledge base of residential rental law and practice resources to help RRS workers and supervisors research the law, update their skills and knowledge, and share information. Resources include basic and advanced information on specific rental topics, VCAT decisions and training videos. </w:t>
      </w:r>
    </w:p>
    <w:p w14:paraId="14BB293C" w14:textId="77777777" w:rsidR="00625995" w:rsidRPr="00860045" w:rsidRDefault="00625995" w:rsidP="00625995">
      <w:pPr>
        <w:pStyle w:val="Heading2"/>
      </w:pPr>
      <w:bookmarkStart w:id="68" w:name="_Toc218246536"/>
      <w:bookmarkStart w:id="69" w:name="_Toc219978504"/>
      <w:r w:rsidRPr="00860045">
        <w:lastRenderedPageBreak/>
        <w:t>Older Renter Support Service</w:t>
      </w:r>
      <w:bookmarkEnd w:id="68"/>
      <w:bookmarkEnd w:id="69"/>
      <w:r w:rsidRPr="00860045">
        <w:t xml:space="preserve"> </w:t>
      </w:r>
    </w:p>
    <w:p w14:paraId="6B299BBD" w14:textId="77777777" w:rsidR="00625995" w:rsidRPr="00293638" w:rsidRDefault="00625995" w:rsidP="00625995">
      <w:pPr>
        <w:rPr>
          <w:szCs w:val="20"/>
        </w:rPr>
      </w:pPr>
      <w:r w:rsidRPr="00293638">
        <w:rPr>
          <w:szCs w:val="20"/>
        </w:rPr>
        <w:t>The Older Renter Support Service (ORSS) provides a workers’ advice line to provide retirement housing information and casework support for RRS workers.</w:t>
      </w:r>
    </w:p>
    <w:p w14:paraId="3648A3A9" w14:textId="0B4456DC" w:rsidR="00625995" w:rsidRPr="00293638" w:rsidRDefault="00625995" w:rsidP="00625995">
      <w:pPr>
        <w:rPr>
          <w:szCs w:val="20"/>
        </w:rPr>
      </w:pPr>
      <w:r w:rsidRPr="00293638">
        <w:rPr>
          <w:szCs w:val="20"/>
        </w:rPr>
        <w:t xml:space="preserve">The service can </w:t>
      </w:r>
      <w:proofErr w:type="gramStart"/>
      <w:r w:rsidRPr="00293638">
        <w:rPr>
          <w:szCs w:val="20"/>
        </w:rPr>
        <w:t>provide assistance</w:t>
      </w:r>
      <w:proofErr w:type="gramEnd"/>
      <w:r w:rsidRPr="00293638">
        <w:rPr>
          <w:szCs w:val="20"/>
        </w:rPr>
        <w:t xml:space="preserve"> on behalf of residents living in retirement housing covered by the RVA or the RTA (caravan parks, residential parks under Part 4A, and rental villages).</w:t>
      </w:r>
    </w:p>
    <w:p w14:paraId="500EBF2F" w14:textId="08F95A81" w:rsidR="00625995" w:rsidRPr="00625995" w:rsidRDefault="00625995" w:rsidP="00625995">
      <w:pPr>
        <w:pStyle w:val="Heading2"/>
      </w:pPr>
      <w:bookmarkStart w:id="70" w:name="_Toc218246539"/>
      <w:bookmarkStart w:id="71" w:name="_Toc219978505"/>
      <w:r w:rsidRPr="00625995">
        <w:t>Interpreter and translation services</w:t>
      </w:r>
      <w:bookmarkEnd w:id="70"/>
      <w:bookmarkEnd w:id="71"/>
    </w:p>
    <w:p w14:paraId="60C95699" w14:textId="77777777" w:rsidR="00625995" w:rsidRPr="00293638" w:rsidRDefault="00625995" w:rsidP="00625995">
      <w:pPr>
        <w:rPr>
          <w:szCs w:val="20"/>
        </w:rPr>
      </w:pPr>
      <w:r w:rsidRPr="00293638">
        <w:rPr>
          <w:szCs w:val="20"/>
        </w:rPr>
        <w:t>RRS workers have access to interpreting services for clients who have difficulties speaking or understanding English. This service is funded directly by CAV, and each agency is provided with a code to access the service.</w:t>
      </w:r>
    </w:p>
    <w:p w14:paraId="270C1455" w14:textId="77777777" w:rsidR="00625995" w:rsidRPr="00293638" w:rsidRDefault="00625995" w:rsidP="00625995">
      <w:pPr>
        <w:rPr>
          <w:szCs w:val="20"/>
        </w:rPr>
      </w:pPr>
      <w:r w:rsidRPr="00293638">
        <w:rPr>
          <w:szCs w:val="20"/>
        </w:rPr>
        <w:t xml:space="preserve">RRS agencies have access to telephone interpreting, on-site interpreting and translation services through </w:t>
      </w:r>
      <w:hyperlink r:id="rId22" w:history="1">
        <w:r w:rsidRPr="00293638">
          <w:rPr>
            <w:rStyle w:val="Hyperlink"/>
            <w:szCs w:val="20"/>
          </w:rPr>
          <w:t>VITS Language Loop</w:t>
        </w:r>
      </w:hyperlink>
      <w:r w:rsidRPr="00293638">
        <w:rPr>
          <w:szCs w:val="20"/>
        </w:rPr>
        <w:t xml:space="preserve">. </w:t>
      </w:r>
    </w:p>
    <w:p w14:paraId="1574D82C" w14:textId="77777777" w:rsidR="00625995" w:rsidRPr="00293638" w:rsidRDefault="00625995" w:rsidP="00625995">
      <w:pPr>
        <w:rPr>
          <w:szCs w:val="20"/>
        </w:rPr>
      </w:pPr>
      <w:r w:rsidRPr="00293638">
        <w:rPr>
          <w:szCs w:val="20"/>
        </w:rPr>
        <w:t xml:space="preserve">If your agency is not already registered, you must register as a VITS Language Loop user. </w:t>
      </w:r>
    </w:p>
    <w:p w14:paraId="3E95DAEA" w14:textId="77777777" w:rsidR="00625995" w:rsidRPr="00293638" w:rsidRDefault="00625995" w:rsidP="00625995">
      <w:pPr>
        <w:rPr>
          <w:szCs w:val="20"/>
        </w:rPr>
      </w:pPr>
      <w:r w:rsidRPr="00293638">
        <w:rPr>
          <w:szCs w:val="20"/>
        </w:rPr>
        <w:t xml:space="preserve">If you require translation services for any RRS products or </w:t>
      </w:r>
      <w:proofErr w:type="gramStart"/>
      <w:r w:rsidRPr="00293638">
        <w:rPr>
          <w:szCs w:val="20"/>
        </w:rPr>
        <w:t>clients</w:t>
      </w:r>
      <w:proofErr w:type="gramEnd"/>
      <w:r w:rsidRPr="00293638">
        <w:rPr>
          <w:szCs w:val="20"/>
        </w:rPr>
        <w:t xml:space="preserve"> please contact CAV for approval prior to requesting this service.</w:t>
      </w:r>
    </w:p>
    <w:p w14:paraId="15FC0F10" w14:textId="41A1FE86" w:rsidR="00625995" w:rsidRPr="00293638" w:rsidRDefault="00625995" w:rsidP="00625995">
      <w:pPr>
        <w:rPr>
          <w:szCs w:val="20"/>
        </w:rPr>
      </w:pPr>
      <w:r w:rsidRPr="00293638">
        <w:rPr>
          <w:szCs w:val="20"/>
        </w:rPr>
        <w:t xml:space="preserve">Rental factsheets in languages other than English are also available from </w:t>
      </w:r>
      <w:r w:rsidR="002B44CE">
        <w:rPr>
          <w:szCs w:val="20"/>
        </w:rPr>
        <w:t xml:space="preserve">Tenants Victoria </w:t>
      </w:r>
      <w:r w:rsidRPr="00293638">
        <w:rPr>
          <w:szCs w:val="20"/>
        </w:rPr>
        <w:t xml:space="preserve">at </w:t>
      </w:r>
      <w:r w:rsidR="00A17C35" w:rsidRPr="00A17C35">
        <w:rPr>
          <w:szCs w:val="20"/>
        </w:rPr>
        <w:t>tenantsvic.org.</w:t>
      </w:r>
      <w:r w:rsidRPr="00A17C35">
        <w:rPr>
          <w:szCs w:val="20"/>
        </w:rPr>
        <w:t>au</w:t>
      </w:r>
    </w:p>
    <w:p w14:paraId="01DA9A4E" w14:textId="77777777" w:rsidR="00625995" w:rsidRPr="00293638" w:rsidRDefault="00625995" w:rsidP="00625995">
      <w:pPr>
        <w:rPr>
          <w:szCs w:val="20"/>
        </w:rPr>
      </w:pPr>
    </w:p>
    <w:p w14:paraId="2349A4DA" w14:textId="475705D5" w:rsidR="00625995" w:rsidRDefault="0070108E" w:rsidP="0070108E">
      <w:pPr>
        <w:pStyle w:val="Heading1"/>
      </w:pPr>
      <w:r>
        <w:br w:type="column"/>
      </w:r>
      <w:bookmarkStart w:id="72" w:name="_Toc219978506"/>
      <w:r>
        <w:t xml:space="preserve">8. </w:t>
      </w:r>
      <w:r w:rsidR="00625995">
        <w:t>Program management</w:t>
      </w:r>
      <w:bookmarkEnd w:id="72"/>
    </w:p>
    <w:p w14:paraId="4A689530" w14:textId="6111B46B" w:rsidR="00271F35" w:rsidRPr="00271F35" w:rsidRDefault="00271F35" w:rsidP="00271F35">
      <w:pPr>
        <w:pStyle w:val="Heading2"/>
      </w:pPr>
      <w:bookmarkStart w:id="73" w:name="_Toc219978507"/>
      <w:bookmarkStart w:id="74" w:name="_Toc218246547"/>
      <w:r w:rsidRPr="00271F35">
        <w:t>Insurance</w:t>
      </w:r>
      <w:bookmarkEnd w:id="73"/>
    </w:p>
    <w:bookmarkEnd w:id="74"/>
    <w:p w14:paraId="293021CA" w14:textId="77777777" w:rsidR="00271F35" w:rsidRPr="00293638" w:rsidRDefault="00271F35" w:rsidP="00271F35">
      <w:pPr>
        <w:rPr>
          <w:szCs w:val="20"/>
        </w:rPr>
      </w:pPr>
      <w:r w:rsidRPr="00293638">
        <w:rPr>
          <w:szCs w:val="20"/>
        </w:rPr>
        <w:t xml:space="preserve">All RRS agencies must have professional indemnity and public risk insurance, as detailed in the Schedule to the Funding Agreement. </w:t>
      </w:r>
    </w:p>
    <w:p w14:paraId="368D0392" w14:textId="77777777" w:rsidR="00271F35" w:rsidRPr="00293638" w:rsidRDefault="00271F35" w:rsidP="00271F35">
      <w:pPr>
        <w:rPr>
          <w:szCs w:val="20"/>
          <w:lang w:val="en-US"/>
        </w:rPr>
      </w:pPr>
      <w:r w:rsidRPr="00293638">
        <w:rPr>
          <w:szCs w:val="20"/>
        </w:rPr>
        <w:t xml:space="preserve">The </w:t>
      </w:r>
      <w:r w:rsidRPr="00293638">
        <w:rPr>
          <w:szCs w:val="20"/>
          <w:lang w:val="en-US"/>
        </w:rPr>
        <w:t xml:space="preserve">Victorian Managed Insurance Authority (VMIA) provides insurance to most community service </w:t>
      </w:r>
      <w:proofErr w:type="spellStart"/>
      <w:r w:rsidRPr="00293638">
        <w:rPr>
          <w:szCs w:val="20"/>
          <w:lang w:val="en-US"/>
        </w:rPr>
        <w:t>organisations</w:t>
      </w:r>
      <w:proofErr w:type="spellEnd"/>
      <w:r w:rsidRPr="00293638">
        <w:rPr>
          <w:szCs w:val="20"/>
          <w:lang w:val="en-US"/>
        </w:rPr>
        <w:t xml:space="preserve"> funded by DGS.</w:t>
      </w:r>
    </w:p>
    <w:p w14:paraId="4B7EB499" w14:textId="77777777" w:rsidR="00271F35" w:rsidRPr="00271F35" w:rsidRDefault="00271F35" w:rsidP="00271F35">
      <w:pPr>
        <w:pStyle w:val="Heading2"/>
      </w:pPr>
      <w:bookmarkStart w:id="75" w:name="_Toc218246548"/>
      <w:bookmarkStart w:id="76" w:name="_Toc219978508"/>
      <w:r w:rsidRPr="00271F35">
        <w:t>Client satisfaction survey</w:t>
      </w:r>
      <w:bookmarkEnd w:id="75"/>
      <w:bookmarkEnd w:id="76"/>
    </w:p>
    <w:p w14:paraId="56E33E01" w14:textId="77777777" w:rsidR="00271F35" w:rsidRPr="00293638" w:rsidRDefault="00271F35" w:rsidP="00271F35">
      <w:pPr>
        <w:rPr>
          <w:szCs w:val="20"/>
        </w:rPr>
      </w:pPr>
      <w:r w:rsidRPr="00293638">
        <w:rPr>
          <w:szCs w:val="20"/>
        </w:rPr>
        <w:t>CAV may from time to time evaluate the quality of services. The design and development of the evaluation process and techniques will be done in consultation with agencies.</w:t>
      </w:r>
    </w:p>
    <w:p w14:paraId="1B0AF58F" w14:textId="77777777" w:rsidR="00271F35" w:rsidRPr="00271F35" w:rsidRDefault="00271F35" w:rsidP="00271F35">
      <w:pPr>
        <w:pStyle w:val="Heading2"/>
      </w:pPr>
      <w:bookmarkStart w:id="77" w:name="_Toc218246549"/>
      <w:bookmarkStart w:id="78" w:name="_Toc219978509"/>
      <w:r w:rsidRPr="00271F35">
        <w:t>Complaints handling</w:t>
      </w:r>
      <w:bookmarkEnd w:id="77"/>
      <w:bookmarkEnd w:id="78"/>
    </w:p>
    <w:p w14:paraId="0E7B2700" w14:textId="77777777" w:rsidR="00271F35" w:rsidRPr="00293638" w:rsidRDefault="00271F35" w:rsidP="00271F35">
      <w:pPr>
        <w:rPr>
          <w:szCs w:val="20"/>
        </w:rPr>
      </w:pPr>
      <w:r w:rsidRPr="00293638">
        <w:rPr>
          <w:szCs w:val="20"/>
        </w:rPr>
        <w:t>All RRS agencies must have in place a client complaints policy. Renters who use the service (and others acting on their behalf) can make a complaint to either the agency or to CAV.</w:t>
      </w:r>
    </w:p>
    <w:p w14:paraId="31C5ED25" w14:textId="77777777" w:rsidR="00271F35" w:rsidRPr="00271F35" w:rsidRDefault="00271F35" w:rsidP="00271F35">
      <w:pPr>
        <w:pStyle w:val="Heading2"/>
      </w:pPr>
      <w:bookmarkStart w:id="79" w:name="_Toc218246550"/>
      <w:bookmarkStart w:id="80" w:name="_Toc219978510"/>
      <w:bookmarkStart w:id="81" w:name="_Hlk23428944"/>
      <w:r w:rsidRPr="00271F35">
        <w:t>Privacy policy</w:t>
      </w:r>
      <w:bookmarkEnd w:id="79"/>
      <w:bookmarkEnd w:id="80"/>
    </w:p>
    <w:p w14:paraId="11277298" w14:textId="77777777" w:rsidR="00271F35" w:rsidRPr="00293638" w:rsidRDefault="00271F35" w:rsidP="00271F35">
      <w:pPr>
        <w:rPr>
          <w:szCs w:val="20"/>
        </w:rPr>
      </w:pPr>
      <w:r w:rsidRPr="00293638">
        <w:rPr>
          <w:szCs w:val="20"/>
        </w:rPr>
        <w:t>RRS agencies must have a privacy policy that explains how client information will be managed, and that the policy:</w:t>
      </w:r>
    </w:p>
    <w:p w14:paraId="62E15476" w14:textId="77777777" w:rsidR="00271F35" w:rsidRPr="00293638" w:rsidRDefault="00271F35" w:rsidP="00271F35">
      <w:pPr>
        <w:numPr>
          <w:ilvl w:val="0"/>
          <w:numId w:val="33"/>
        </w:numPr>
        <w:rPr>
          <w:szCs w:val="20"/>
        </w:rPr>
      </w:pPr>
      <w:r w:rsidRPr="00293638">
        <w:rPr>
          <w:szCs w:val="20"/>
        </w:rPr>
        <w:t xml:space="preserve">aligns with current privacy legislation, including the </w:t>
      </w:r>
      <w:r w:rsidRPr="00293638">
        <w:rPr>
          <w:i/>
          <w:szCs w:val="20"/>
        </w:rPr>
        <w:t>Privacy and Data Protection Act 2014 (Vic)</w:t>
      </w:r>
    </w:p>
    <w:p w14:paraId="7972135F" w14:textId="77777777" w:rsidR="00271F35" w:rsidRPr="00293638" w:rsidRDefault="00271F35" w:rsidP="00271F35">
      <w:pPr>
        <w:numPr>
          <w:ilvl w:val="0"/>
          <w:numId w:val="33"/>
        </w:numPr>
        <w:rPr>
          <w:szCs w:val="20"/>
        </w:rPr>
      </w:pPr>
      <w:r w:rsidRPr="00293638">
        <w:rPr>
          <w:szCs w:val="20"/>
        </w:rPr>
        <w:t xml:space="preserve">includes information on how conflicts of interests can occur and what the agency will do if a conflict is identified </w:t>
      </w:r>
    </w:p>
    <w:p w14:paraId="285E21EB" w14:textId="77777777" w:rsidR="00271F35" w:rsidRPr="00293638" w:rsidRDefault="00271F35" w:rsidP="00271F35">
      <w:pPr>
        <w:numPr>
          <w:ilvl w:val="0"/>
          <w:numId w:val="33"/>
        </w:numPr>
        <w:rPr>
          <w:szCs w:val="20"/>
        </w:rPr>
      </w:pPr>
      <w:r w:rsidRPr="00293638">
        <w:rPr>
          <w:szCs w:val="20"/>
        </w:rPr>
        <w:lastRenderedPageBreak/>
        <w:t xml:space="preserve">acknowledges the requirements of a prescribed Information Sharing Entity under the </w:t>
      </w:r>
      <w:r w:rsidRPr="00293638">
        <w:rPr>
          <w:i/>
          <w:szCs w:val="20"/>
        </w:rPr>
        <w:t>Family Violence Protection Act 2008</w:t>
      </w:r>
      <w:r w:rsidRPr="00293638">
        <w:rPr>
          <w:szCs w:val="20"/>
        </w:rPr>
        <w:t xml:space="preserve">. </w:t>
      </w:r>
    </w:p>
    <w:bookmarkEnd w:id="81"/>
    <w:p w14:paraId="05327204" w14:textId="610BF128" w:rsidR="0070108E" w:rsidRPr="001D38BD" w:rsidRDefault="00625995" w:rsidP="0070108E">
      <w:pPr>
        <w:pStyle w:val="Heading1"/>
      </w:pPr>
      <w:r>
        <w:br w:type="column"/>
      </w:r>
      <w:bookmarkStart w:id="82" w:name="_Toc219978511"/>
      <w:r>
        <w:t xml:space="preserve">9. </w:t>
      </w:r>
      <w:r w:rsidR="0070108E">
        <w:t>Reporting requirements</w:t>
      </w:r>
      <w:bookmarkEnd w:id="82"/>
    </w:p>
    <w:p w14:paraId="7CE9AC1E" w14:textId="67FB8AB3" w:rsidR="000A55D3" w:rsidRPr="00293638" w:rsidRDefault="000A55D3" w:rsidP="000A55D3">
      <w:pPr>
        <w:rPr>
          <w:szCs w:val="20"/>
        </w:rPr>
      </w:pPr>
      <w:r w:rsidRPr="00293638">
        <w:rPr>
          <w:szCs w:val="20"/>
        </w:rPr>
        <w:t xml:space="preserve">Under the funding agreement, your agency must provide </w:t>
      </w:r>
      <w:proofErr w:type="gramStart"/>
      <w:r w:rsidRPr="00293638">
        <w:rPr>
          <w:szCs w:val="20"/>
        </w:rPr>
        <w:t>a number of</w:t>
      </w:r>
      <w:proofErr w:type="gramEnd"/>
      <w:r w:rsidRPr="00293638">
        <w:rPr>
          <w:szCs w:val="20"/>
        </w:rPr>
        <w:t xml:space="preserve"> reports to assist </w:t>
      </w:r>
      <w:r w:rsidR="00B753D8">
        <w:rPr>
          <w:szCs w:val="20"/>
        </w:rPr>
        <w:t xml:space="preserve">CAV </w:t>
      </w:r>
      <w:r w:rsidRPr="00293638">
        <w:rPr>
          <w:szCs w:val="20"/>
        </w:rPr>
        <w:t xml:space="preserve">to assess service delivery performance and </w:t>
      </w:r>
      <w:r w:rsidR="004957D4" w:rsidRPr="00293638">
        <w:rPr>
          <w:szCs w:val="20"/>
        </w:rPr>
        <w:t>to contribute to overall program management</w:t>
      </w:r>
      <w:r w:rsidRPr="00293638">
        <w:rPr>
          <w:szCs w:val="20"/>
        </w:rPr>
        <w:t>. Agencies are required to provide the following reports:</w:t>
      </w:r>
    </w:p>
    <w:p w14:paraId="2B7CFBB4" w14:textId="1EA3983B" w:rsidR="000A55D3" w:rsidRPr="00293638" w:rsidRDefault="000A55D3" w:rsidP="000B2E03">
      <w:pPr>
        <w:ind w:left="720" w:hanging="720"/>
        <w:rPr>
          <w:szCs w:val="20"/>
        </w:rPr>
      </w:pPr>
      <w:r w:rsidRPr="00293638">
        <w:rPr>
          <w:szCs w:val="20"/>
        </w:rPr>
        <w:t>•</w:t>
      </w:r>
      <w:r w:rsidRPr="00293638">
        <w:rPr>
          <w:szCs w:val="20"/>
        </w:rPr>
        <w:tab/>
        <w:t xml:space="preserve">quarterly </w:t>
      </w:r>
      <w:r w:rsidR="000B2E03" w:rsidRPr="00293638">
        <w:rPr>
          <w:szCs w:val="20"/>
        </w:rPr>
        <w:t>client level data reporting</w:t>
      </w:r>
    </w:p>
    <w:p w14:paraId="2843A254" w14:textId="48001A50" w:rsidR="004957D4" w:rsidRPr="00293638" w:rsidRDefault="000A55D3" w:rsidP="004957D4">
      <w:pPr>
        <w:rPr>
          <w:szCs w:val="20"/>
        </w:rPr>
      </w:pPr>
      <w:r w:rsidRPr="00293638">
        <w:rPr>
          <w:szCs w:val="20"/>
        </w:rPr>
        <w:t>•</w:t>
      </w:r>
      <w:r w:rsidRPr="00293638">
        <w:rPr>
          <w:szCs w:val="20"/>
        </w:rPr>
        <w:tab/>
        <w:t>six-monthly narrative reports</w:t>
      </w:r>
    </w:p>
    <w:p w14:paraId="26AC7BA8" w14:textId="13965938" w:rsidR="004957D4" w:rsidRPr="00293638" w:rsidRDefault="004957D4" w:rsidP="004957D4">
      <w:pPr>
        <w:rPr>
          <w:szCs w:val="20"/>
        </w:rPr>
      </w:pPr>
      <w:r w:rsidRPr="00293638">
        <w:rPr>
          <w:szCs w:val="20"/>
        </w:rPr>
        <w:t>•</w:t>
      </w:r>
      <w:r w:rsidRPr="00293638">
        <w:rPr>
          <w:szCs w:val="20"/>
        </w:rPr>
        <w:tab/>
        <w:t xml:space="preserve">six-monthly </w:t>
      </w:r>
      <w:r w:rsidR="00EC36DD" w:rsidRPr="00293638">
        <w:rPr>
          <w:szCs w:val="20"/>
        </w:rPr>
        <w:t>case stud</w:t>
      </w:r>
      <w:r w:rsidR="000B2E03" w:rsidRPr="00293638">
        <w:rPr>
          <w:szCs w:val="20"/>
        </w:rPr>
        <w:t>ies</w:t>
      </w:r>
    </w:p>
    <w:p w14:paraId="0CF4154A" w14:textId="525990D9" w:rsidR="000A55D3" w:rsidRPr="00293638" w:rsidRDefault="000A55D3" w:rsidP="000B2E03">
      <w:pPr>
        <w:ind w:left="720" w:hanging="720"/>
        <w:rPr>
          <w:szCs w:val="20"/>
        </w:rPr>
      </w:pPr>
      <w:r w:rsidRPr="00293638">
        <w:rPr>
          <w:szCs w:val="20"/>
        </w:rPr>
        <w:t>•</w:t>
      </w:r>
      <w:r w:rsidRPr="00293638">
        <w:rPr>
          <w:szCs w:val="20"/>
        </w:rPr>
        <w:tab/>
        <w:t xml:space="preserve">annual </w:t>
      </w:r>
      <w:r w:rsidR="000B2E03" w:rsidRPr="00293638">
        <w:rPr>
          <w:szCs w:val="20"/>
        </w:rPr>
        <w:t xml:space="preserve">funding </w:t>
      </w:r>
      <w:r w:rsidRPr="00293638">
        <w:rPr>
          <w:szCs w:val="20"/>
        </w:rPr>
        <w:t xml:space="preserve">acquittal </w:t>
      </w:r>
    </w:p>
    <w:p w14:paraId="0AE15EC6" w14:textId="77777777" w:rsidR="000A55D3" w:rsidRPr="00293638" w:rsidRDefault="000A55D3" w:rsidP="00781682">
      <w:pPr>
        <w:ind w:left="720" w:hanging="720"/>
        <w:rPr>
          <w:szCs w:val="20"/>
        </w:rPr>
      </w:pPr>
      <w:r w:rsidRPr="00293638">
        <w:rPr>
          <w:szCs w:val="20"/>
        </w:rPr>
        <w:t>•</w:t>
      </w:r>
      <w:r w:rsidRPr="00293638">
        <w:rPr>
          <w:szCs w:val="20"/>
        </w:rPr>
        <w:tab/>
        <w:t>annual audited financial statement regarding the agency’s finances (a program audit is not required).</w:t>
      </w:r>
    </w:p>
    <w:p w14:paraId="593DF1F0" w14:textId="69996917" w:rsidR="00991400" w:rsidRPr="00293638" w:rsidRDefault="000A55D3" w:rsidP="000A55D3">
      <w:pPr>
        <w:rPr>
          <w:szCs w:val="20"/>
        </w:rPr>
      </w:pPr>
      <w:r>
        <w:t xml:space="preserve">The timeframes and </w:t>
      </w:r>
      <w:r w:rsidR="0008180F">
        <w:t xml:space="preserve">further details on the </w:t>
      </w:r>
      <w:r>
        <w:t xml:space="preserve">reporting requirements are outlined in the funding agreement and </w:t>
      </w:r>
      <w:r w:rsidRPr="008B7883">
        <w:t xml:space="preserve">RRS </w:t>
      </w:r>
      <w:r w:rsidR="0088450F" w:rsidRPr="008B7883">
        <w:t xml:space="preserve">Request for </w:t>
      </w:r>
      <w:r w:rsidR="008B7883" w:rsidRPr="008B7883">
        <w:t>Service</w:t>
      </w:r>
      <w:r w:rsidRPr="008B7883">
        <w:t xml:space="preserve"> Guidelines.</w:t>
      </w:r>
      <w:r w:rsidR="323477FE">
        <w:t xml:space="preserve"> </w:t>
      </w:r>
    </w:p>
    <w:p w14:paraId="51223738" w14:textId="01ACF02D" w:rsidR="00C5103B" w:rsidRDefault="00C5103B" w:rsidP="00A858E6">
      <w:pPr>
        <w:pStyle w:val="Heading1"/>
      </w:pPr>
      <w:r>
        <w:br w:type="column"/>
      </w:r>
      <w:bookmarkStart w:id="83" w:name="_Toc219978512"/>
      <w:r w:rsidR="00A858E6">
        <w:lastRenderedPageBreak/>
        <w:t>10. Payment and service hours</w:t>
      </w:r>
      <w:bookmarkEnd w:id="83"/>
    </w:p>
    <w:p w14:paraId="0C65A468" w14:textId="77777777" w:rsidR="00DA296A" w:rsidRPr="00293638" w:rsidRDefault="00DA296A" w:rsidP="00DA296A">
      <w:pPr>
        <w:rPr>
          <w:szCs w:val="20"/>
        </w:rPr>
      </w:pPr>
      <w:r w:rsidRPr="00293638">
        <w:rPr>
          <w:szCs w:val="20"/>
        </w:rPr>
        <w:t>Your agency will receive quarterly payments for service delivery upon CAV’s acceptance that the agency is meeting its requirements under the funding agreement including:</w:t>
      </w:r>
    </w:p>
    <w:p w14:paraId="522DA5F0" w14:textId="179D6627" w:rsidR="00DA296A" w:rsidRDefault="00BF0D8D" w:rsidP="00BF0D8D">
      <w:pPr>
        <w:pStyle w:val="ListParagraph"/>
        <w:numPr>
          <w:ilvl w:val="0"/>
          <w:numId w:val="36"/>
        </w:numPr>
      </w:pPr>
      <w:r w:rsidRPr="00BF0D8D">
        <w:t>delivery of service hours against the funded target</w:t>
      </w:r>
    </w:p>
    <w:p w14:paraId="121F2A6C" w14:textId="0D79B392" w:rsidR="00DA296A" w:rsidRDefault="00ED236F" w:rsidP="00DA296A">
      <w:pPr>
        <w:pStyle w:val="ListParagraph"/>
        <w:numPr>
          <w:ilvl w:val="0"/>
          <w:numId w:val="36"/>
        </w:numPr>
      </w:pPr>
      <w:r>
        <w:t>quality</w:t>
      </w:r>
      <w:r w:rsidR="00DA296A">
        <w:t xml:space="preserve"> and timeliness of reporting</w:t>
      </w:r>
    </w:p>
    <w:p w14:paraId="61297494" w14:textId="0B39E037" w:rsidR="00DA296A" w:rsidRDefault="00DA296A" w:rsidP="00DA296A">
      <w:pPr>
        <w:pStyle w:val="ListParagraph"/>
        <w:numPr>
          <w:ilvl w:val="0"/>
          <w:numId w:val="36"/>
        </w:numPr>
      </w:pPr>
      <w:r>
        <w:t>RRS workers attending a minimum of two legislative and skills development sessions and new workers completing the induction training.</w:t>
      </w:r>
    </w:p>
    <w:p w14:paraId="7E9BA57E" w14:textId="69580D86" w:rsidR="007E45B8" w:rsidRPr="00293638" w:rsidRDefault="00DA296A" w:rsidP="000D593A">
      <w:pPr>
        <w:rPr>
          <w:szCs w:val="20"/>
        </w:rPr>
        <w:sectPr w:rsidR="007E45B8" w:rsidRPr="00293638" w:rsidSect="00497227">
          <w:type w:val="continuous"/>
          <w:pgSz w:w="11906" w:h="16838"/>
          <w:pgMar w:top="1366" w:right="1440" w:bottom="1440" w:left="1440" w:header="794" w:footer="709" w:gutter="0"/>
          <w:cols w:num="2" w:space="708"/>
          <w:docGrid w:linePitch="360"/>
        </w:sectPr>
      </w:pPr>
      <w:r w:rsidRPr="00293638">
        <w:rPr>
          <w:szCs w:val="20"/>
        </w:rPr>
        <w:t>Funding is provided on the basis that each full-time equivalent (FTE) position will provide 1,301 service hour</w:t>
      </w:r>
      <w:r w:rsidR="009B690B" w:rsidRPr="00293638">
        <w:rPr>
          <w:szCs w:val="20"/>
        </w:rPr>
        <w:t>s</w:t>
      </w:r>
      <w:r w:rsidR="00293638" w:rsidRPr="00293638">
        <w:rPr>
          <w:szCs w:val="20"/>
        </w:rPr>
        <w:t>.</w:t>
      </w:r>
    </w:p>
    <w:p w14:paraId="0278B6B4" w14:textId="7F43577E" w:rsidR="000D0670" w:rsidRPr="00293638" w:rsidRDefault="000D0670" w:rsidP="00293638">
      <w:pPr>
        <w:rPr>
          <w:szCs w:val="20"/>
        </w:rPr>
      </w:pPr>
    </w:p>
    <w:sectPr w:rsidR="000D0670" w:rsidRPr="00293638" w:rsidSect="006B178A">
      <w:pgSz w:w="11906" w:h="16838"/>
      <w:pgMar w:top="1366"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3597" w14:textId="77777777" w:rsidR="00487858" w:rsidRDefault="00487858" w:rsidP="00D45D10">
      <w:r>
        <w:separator/>
      </w:r>
    </w:p>
  </w:endnote>
  <w:endnote w:type="continuationSeparator" w:id="0">
    <w:p w14:paraId="5A797CDB" w14:textId="77777777" w:rsidR="00487858" w:rsidRDefault="00487858" w:rsidP="00D4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Regular">
    <w:altName w:val="Cambria"/>
    <w:panose1 w:val="00000000000000000000"/>
    <w:charset w:val="00"/>
    <w:family w:val="roman"/>
    <w:notTrueType/>
    <w:pitch w:val="default"/>
  </w:font>
  <w:font w:name="VIC">
    <w:panose1 w:val="00000500000000000000"/>
    <w:charset w:val="00"/>
    <w:family w:val="auto"/>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VIC Bold">
    <w:altName w:val="VIC"/>
    <w:panose1 w:val="000008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194157"/>
      <w:docPartObj>
        <w:docPartGallery w:val="Page Numbers (Bottom of Page)"/>
        <w:docPartUnique/>
      </w:docPartObj>
    </w:sdtPr>
    <w:sdtEndPr>
      <w:rPr>
        <w:rStyle w:val="PageNumber"/>
      </w:rPr>
    </w:sdtEndPr>
    <w:sdtContent>
      <w:p w14:paraId="22B20B21" w14:textId="7756421A" w:rsidR="006657DD" w:rsidRDefault="006657DD" w:rsidP="004F05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E0BE53" w14:textId="735224D3" w:rsidR="00CF1ABF" w:rsidRDefault="00CF1ABF" w:rsidP="006657DD">
    <w:pPr>
      <w:pStyle w:val="Footer"/>
      <w:ind w:right="360"/>
    </w:pPr>
    <w:r>
      <w:rPr>
        <w:noProof/>
      </w:rPr>
      <mc:AlternateContent>
        <mc:Choice Requires="wps">
          <w:drawing>
            <wp:anchor distT="0" distB="0" distL="0" distR="0" simplePos="0" relativeHeight="251658242" behindDoc="0" locked="0" layoutInCell="1" allowOverlap="1" wp14:anchorId="1106557F" wp14:editId="08BEA807">
              <wp:simplePos x="635" y="635"/>
              <wp:positionH relativeFrom="page">
                <wp:align>left</wp:align>
              </wp:positionH>
              <wp:positionV relativeFrom="page">
                <wp:align>bottom</wp:align>
              </wp:positionV>
              <wp:extent cx="824865" cy="387985"/>
              <wp:effectExtent l="0" t="0" r="635" b="0"/>
              <wp:wrapNone/>
              <wp:docPr id="72865867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6138D834" w14:textId="5CCB2CFD" w:rsidR="00CF1ABF" w:rsidRPr="00CF1ABF" w:rsidRDefault="00CF1ABF" w:rsidP="00D45D10">
                          <w:pPr>
                            <w:rPr>
                              <w:noProof/>
                            </w:rPr>
                          </w:pPr>
                          <w:r w:rsidRPr="00CF1ABF">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06557F" id="_x0000_t202" coordsize="21600,21600" o:spt="202" path="m,l,21600r21600,l21600,xe">
              <v:stroke joinstyle="miter"/>
              <v:path gradientshapeok="t" o:connecttype="rect"/>
            </v:shapetype>
            <v:shape id="Text Box 2" o:spid="_x0000_s1026" type="#_x0000_t202" alt="OFFICIAL" style="position:absolute;margin-left:0;margin-top:0;width:64.95pt;height:30.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" filled="f" stroked="f">
              <v:textbox style="mso-fit-shape-to-text:t" inset="20pt,0,0,15pt">
                <w:txbxContent>
                  <w:p w14:paraId="6138D834" w14:textId="5CCB2CFD" w:rsidR="00CF1ABF" w:rsidRPr="00CF1ABF" w:rsidRDefault="00CF1ABF" w:rsidP="00D45D10">
                    <w:pPr>
                      <w:rPr>
                        <w:noProof/>
                      </w:rPr>
                    </w:pPr>
                    <w:r w:rsidRPr="00CF1ABF">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5806185"/>
      <w:docPartObj>
        <w:docPartGallery w:val="Page Numbers (Bottom of Page)"/>
        <w:docPartUnique/>
      </w:docPartObj>
    </w:sdtPr>
    <w:sdtEndPr>
      <w:rPr>
        <w:rStyle w:val="PageNumber"/>
      </w:rPr>
    </w:sdtEndPr>
    <w:sdtContent>
      <w:p w14:paraId="10328497" w14:textId="0EA2A804" w:rsidR="006657DD" w:rsidRDefault="006657DD" w:rsidP="006657DD">
        <w:pPr>
          <w:pStyle w:val="Footer"/>
          <w:framePr w:w="709"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7F00708" w14:textId="32CA0DC9" w:rsidR="00CF1ABF" w:rsidRDefault="00CF1ABF" w:rsidP="006657DD">
    <w:pPr>
      <w:pStyle w:val="Footer"/>
      <w:ind w:right="360"/>
    </w:pPr>
    <w:r>
      <w:rPr>
        <w:noProof/>
      </w:rPr>
      <mc:AlternateContent>
        <mc:Choice Requires="wps">
          <w:drawing>
            <wp:anchor distT="0" distB="0" distL="0" distR="0" simplePos="0" relativeHeight="251658243" behindDoc="0" locked="0" layoutInCell="1" allowOverlap="1" wp14:anchorId="66F3B725" wp14:editId="0670C75E">
              <wp:simplePos x="0" y="0"/>
              <wp:positionH relativeFrom="page">
                <wp:align>left</wp:align>
              </wp:positionH>
              <wp:positionV relativeFrom="page">
                <wp:align>bottom</wp:align>
              </wp:positionV>
              <wp:extent cx="824865" cy="387985"/>
              <wp:effectExtent l="0" t="0" r="635" b="0"/>
              <wp:wrapNone/>
              <wp:docPr id="178366631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296C3CFD" w14:textId="386C85B6" w:rsidR="00CF1ABF" w:rsidRPr="00CF1ABF" w:rsidRDefault="00CF1ABF" w:rsidP="00D45D10">
                          <w:pPr>
                            <w:pStyle w:val="Footer"/>
                            <w:rPr>
                              <w:noProof/>
                            </w:rPr>
                          </w:pPr>
                          <w:r w:rsidRPr="00CF1ABF">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F3B725" id="_x0000_t202" coordsize="21600,21600" o:spt="202" path="m,l,21600r21600,l21600,xe">
              <v:stroke joinstyle="miter"/>
              <v:path gradientshapeok="t" o:connecttype="rect"/>
            </v:shapetype>
            <v:shape id="Text Box 3" o:spid="_x0000_s1027" type="#_x0000_t202" alt="OFFICIAL" style="position:absolute;margin-left:0;margin-top:0;width:64.95pt;height:30.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" filled="f" stroked="f">
              <v:textbox style="mso-fit-shape-to-text:t" inset="20pt,0,0,15pt">
                <w:txbxContent>
                  <w:p w14:paraId="296C3CFD" w14:textId="386C85B6" w:rsidR="00CF1ABF" w:rsidRPr="00CF1ABF" w:rsidRDefault="00CF1ABF" w:rsidP="00D45D10">
                    <w:pPr>
                      <w:pStyle w:val="Footer"/>
                      <w:rPr>
                        <w:noProof/>
                      </w:rPr>
                    </w:pPr>
                    <w:r w:rsidRPr="00CF1ABF">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34E8" w14:textId="1B3B1192" w:rsidR="00CF1ABF" w:rsidRDefault="00A90F95" w:rsidP="00D45D10">
    <w:pPr>
      <w:pStyle w:val="Footer"/>
    </w:pPr>
    <w:r>
      <w:rPr>
        <w:noProof/>
      </w:rPr>
      <w:drawing>
        <wp:anchor distT="0" distB="0" distL="114300" distR="114300" simplePos="0" relativeHeight="251658244" behindDoc="0" locked="0" layoutInCell="1" allowOverlap="1" wp14:anchorId="576EDE17" wp14:editId="286A94D6">
          <wp:simplePos x="0" y="0"/>
          <wp:positionH relativeFrom="column">
            <wp:posOffset>4799421</wp:posOffset>
          </wp:positionH>
          <wp:positionV relativeFrom="paragraph">
            <wp:posOffset>-76200</wp:posOffset>
          </wp:positionV>
          <wp:extent cx="1558038" cy="489857"/>
          <wp:effectExtent l="0" t="0" r="4445" b="0"/>
          <wp:wrapNone/>
          <wp:docPr id="773618936"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62640" name="Graphic 1197362640"/>
                  <pic:cNvPicPr/>
                </pic:nvPicPr>
                <pic:blipFill>
                  <a:blip r:embed="rId1">
                    <a:extLst>
                      <a:ext uri="{96DAC541-7B7A-43D3-8B79-37D633B846F1}">
                        <asvg:svgBlip xmlns:asvg="http://schemas.microsoft.com/office/drawing/2016/SVG/main" r:embed="rId2"/>
                      </a:ext>
                    </a:extLst>
                  </a:blip>
                  <a:stretch>
                    <a:fillRect/>
                  </a:stretch>
                </pic:blipFill>
                <pic:spPr>
                  <a:xfrm>
                    <a:off x="0" y="0"/>
                    <a:ext cx="1558038" cy="489857"/>
                  </a:xfrm>
                  <a:prstGeom prst="rect">
                    <a:avLst/>
                  </a:prstGeom>
                </pic:spPr>
              </pic:pic>
            </a:graphicData>
          </a:graphic>
          <wp14:sizeRelH relativeFrom="page">
            <wp14:pctWidth>0</wp14:pctWidth>
          </wp14:sizeRelH>
          <wp14:sizeRelV relativeFrom="page">
            <wp14:pctHeight>0</wp14:pctHeight>
          </wp14:sizeRelV>
        </wp:anchor>
      </w:drawing>
    </w:r>
    <w:r w:rsidR="00CF1ABF">
      <w:rPr>
        <w:noProof/>
      </w:rPr>
      <mc:AlternateContent>
        <mc:Choice Requires="wps">
          <w:drawing>
            <wp:anchor distT="0" distB="0" distL="0" distR="0" simplePos="0" relativeHeight="251658241" behindDoc="0" locked="0" layoutInCell="1" allowOverlap="1" wp14:anchorId="4BE152F0" wp14:editId="0F64D915">
              <wp:simplePos x="635" y="635"/>
              <wp:positionH relativeFrom="page">
                <wp:align>left</wp:align>
              </wp:positionH>
              <wp:positionV relativeFrom="page">
                <wp:align>bottom</wp:align>
              </wp:positionV>
              <wp:extent cx="824865" cy="387985"/>
              <wp:effectExtent l="0" t="0" r="635" b="0"/>
              <wp:wrapNone/>
              <wp:docPr id="20911666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110E0D66" w14:textId="6324C078" w:rsidR="00CF1ABF" w:rsidRPr="00A90F95" w:rsidRDefault="00CF1ABF" w:rsidP="00D45D10">
                          <w:pPr>
                            <w:pStyle w:val="Footer"/>
                          </w:pPr>
                          <w:r w:rsidRPr="00A90F95">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E152F0" id="_x0000_t202" coordsize="21600,21600" o:spt="202" path="m,l,21600r21600,l21600,xe">
              <v:stroke joinstyle="miter"/>
              <v:path gradientshapeok="t" o:connecttype="rect"/>
            </v:shapetype>
            <v:shape id="Text Box 1" o:spid="_x0000_s1028" type="#_x0000_t202" alt="OFFICIAL" style="position:absolute;margin-left:0;margin-top:0;width:64.9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5pFAIAACEEAAAOAAAAZHJzL2Uyb0RvYy54bWysU99v2jAQfp+0/8Hy+0hgpa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" filled="f" stroked="f">
              <v:textbox style="mso-fit-shape-to-text:t" inset="20pt,0,0,15pt">
                <w:txbxContent>
                  <w:p w14:paraId="110E0D66" w14:textId="6324C078" w:rsidR="00CF1ABF" w:rsidRPr="00A90F95" w:rsidRDefault="00CF1ABF" w:rsidP="00D45D10">
                    <w:pPr>
                      <w:pStyle w:val="Footer"/>
                    </w:pPr>
                    <w:r w:rsidRPr="00A90F95">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4173" w14:textId="77777777" w:rsidR="00487858" w:rsidRDefault="00487858" w:rsidP="00D45D10">
      <w:r>
        <w:separator/>
      </w:r>
    </w:p>
  </w:footnote>
  <w:footnote w:type="continuationSeparator" w:id="0">
    <w:p w14:paraId="38EEC9A9" w14:textId="77777777" w:rsidR="00487858" w:rsidRDefault="00487858" w:rsidP="00D4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9D0" w14:textId="48DAD75C" w:rsidR="000059DA" w:rsidRPr="001B3F54" w:rsidRDefault="001779E9" w:rsidP="005818DE">
    <w:pPr>
      <w:pStyle w:val="Header"/>
    </w:pPr>
    <w:r>
      <w:rPr>
        <w:b/>
        <w:bCs/>
      </w:rPr>
      <w:t>Rent</w:t>
    </w:r>
    <w:r w:rsidR="00741F24">
      <w:rPr>
        <w:b/>
        <w:bCs/>
      </w:rPr>
      <w:t>er Rights</w:t>
    </w:r>
    <w:r>
      <w:rPr>
        <w:b/>
        <w:bCs/>
      </w:rPr>
      <w:t xml:space="preserve"> Service</w:t>
    </w:r>
    <w:r w:rsidR="005818DE" w:rsidRPr="00702D55">
      <w:rPr>
        <w:b/>
        <w:bCs/>
      </w:rPr>
      <w:t>:</w:t>
    </w:r>
    <w:r w:rsidR="005818DE" w:rsidRPr="00863347">
      <w:t xml:space="preserve"> Program </w:t>
    </w:r>
    <w:r w:rsidR="005818DE" w:rsidRPr="00863347">
      <w:rPr>
        <w:rStyle w:val="HeaderChar"/>
      </w:rPr>
      <w:t>Guidelines</w:t>
    </w:r>
    <w:r w:rsidR="005818DE" w:rsidRPr="0086334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4EE6" w14:textId="77507F74" w:rsidR="000059DA" w:rsidRDefault="00A90F95" w:rsidP="00863347">
    <w:pPr>
      <w:pStyle w:val="Header"/>
    </w:pPr>
    <w:r>
      <w:rPr>
        <w:noProof/>
      </w:rPr>
      <mc:AlternateContent>
        <mc:Choice Requires="wps">
          <w:drawing>
            <wp:anchor distT="0" distB="0" distL="114300" distR="114300" simplePos="0" relativeHeight="251658240" behindDoc="0" locked="0" layoutInCell="1" allowOverlap="1" wp14:anchorId="2A0AC8AA" wp14:editId="5840BC3A">
              <wp:simplePos x="0" y="0"/>
              <wp:positionH relativeFrom="margin">
                <wp:posOffset>-914400</wp:posOffset>
              </wp:positionH>
              <wp:positionV relativeFrom="paragraph">
                <wp:posOffset>-177800</wp:posOffset>
              </wp:positionV>
              <wp:extent cx="7560310" cy="9775371"/>
              <wp:effectExtent l="0" t="0" r="0" b="3810"/>
              <wp:wrapNone/>
              <wp:docPr id="2063288543" name="Rectangle 5"/>
              <wp:cNvGraphicFramePr/>
              <a:graphic xmlns:a="http://schemas.openxmlformats.org/drawingml/2006/main">
                <a:graphicData uri="http://schemas.microsoft.com/office/word/2010/wordprocessingShape">
                  <wps:wsp>
                    <wps:cNvSpPr/>
                    <wps:spPr>
                      <a:xfrm>
                        <a:off x="0" y="0"/>
                        <a:ext cx="7560310" cy="9775371"/>
                      </a:xfrm>
                      <a:prstGeom prst="rect">
                        <a:avLst/>
                      </a:prstGeom>
                      <a:solidFill>
                        <a:srgbClr val="0072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8E015" id="Rectangle 5" o:spid="_x0000_s1026" style="position:absolute;margin-left:-1in;margin-top:-14pt;width:595.3pt;height:76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" fillcolor="#0072ce"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E324" w14:textId="0BB80B53" w:rsidR="00FE4C46" w:rsidRPr="001B3F54" w:rsidRDefault="001779E9" w:rsidP="005818DE">
    <w:pPr>
      <w:pStyle w:val="Header"/>
    </w:pPr>
    <w:r>
      <w:rPr>
        <w:b/>
        <w:bCs/>
      </w:rPr>
      <w:t>Rent</w:t>
    </w:r>
    <w:r w:rsidR="00497227">
      <w:rPr>
        <w:b/>
        <w:bCs/>
      </w:rPr>
      <w:t xml:space="preserve">er Rights </w:t>
    </w:r>
    <w:r>
      <w:rPr>
        <w:b/>
        <w:bCs/>
      </w:rPr>
      <w:t>Service</w:t>
    </w:r>
    <w:r w:rsidR="00FE4C46" w:rsidRPr="00702D55">
      <w:rPr>
        <w:b/>
        <w:bCs/>
      </w:rPr>
      <w:t>:</w:t>
    </w:r>
    <w:r w:rsidR="00FE4C46" w:rsidRPr="00863347">
      <w:t xml:space="preserve"> Program </w:t>
    </w:r>
    <w:r w:rsidR="00FE4C46" w:rsidRPr="00863347">
      <w:rPr>
        <w:rStyle w:val="HeaderChar"/>
      </w:rPr>
      <w:t>Guidelines</w:t>
    </w:r>
    <w:r w:rsidR="00FE4C46" w:rsidRPr="008633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0FA"/>
    <w:multiLevelType w:val="hybridMultilevel"/>
    <w:tmpl w:val="D6981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D5523D"/>
    <w:multiLevelType w:val="hybridMultilevel"/>
    <w:tmpl w:val="85E0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0949"/>
    <w:multiLevelType w:val="hybridMultilevel"/>
    <w:tmpl w:val="E3CCBCAE"/>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952EB"/>
    <w:multiLevelType w:val="hybridMultilevel"/>
    <w:tmpl w:val="C7A20E7E"/>
    <w:lvl w:ilvl="0" w:tplc="1BAE58C2">
      <w:numFmt w:val="bullet"/>
      <w:lvlText w:val="•"/>
      <w:lvlJc w:val="left"/>
      <w:pPr>
        <w:ind w:left="340" w:hanging="227"/>
      </w:pPr>
      <w:rPr>
        <w:rFonts w:ascii="Vic Regular" w:eastAsiaTheme="minorHAnsi" w:hAnsi="Vic Regular" w:cstheme="minorBidi" w:hint="default"/>
      </w:rPr>
    </w:lvl>
    <w:lvl w:ilvl="1" w:tplc="72A81464">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A23958"/>
    <w:multiLevelType w:val="multilevel"/>
    <w:tmpl w:val="C7A20E7E"/>
    <w:styleLink w:val="CurrentList1"/>
    <w:lvl w:ilvl="0">
      <w:numFmt w:val="bullet"/>
      <w:lvlText w:val="•"/>
      <w:lvlJc w:val="left"/>
      <w:pPr>
        <w:ind w:left="340" w:hanging="227"/>
      </w:pPr>
      <w:rPr>
        <w:rFonts w:ascii="Vic Regular" w:eastAsiaTheme="minorHAnsi" w:hAnsi="Vic Regular"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95408"/>
    <w:multiLevelType w:val="hybridMultilevel"/>
    <w:tmpl w:val="76309D3E"/>
    <w:lvl w:ilvl="0" w:tplc="FFFFFFFF">
      <w:numFmt w:val="bullet"/>
      <w:lvlText w:val="•"/>
      <w:lvlJc w:val="left"/>
      <w:pPr>
        <w:ind w:left="567" w:hanging="227"/>
      </w:pPr>
      <w:rPr>
        <w:rFonts w:ascii="Vic Regular" w:eastAsiaTheme="minorHAnsi" w:hAnsi="Vic Regular" w:cstheme="minorBidi" w:hint="default"/>
      </w:rPr>
    </w:lvl>
    <w:lvl w:ilvl="1" w:tplc="4D540920">
      <w:numFmt w:val="bullet"/>
      <w:lvlText w:val="–"/>
      <w:lvlJc w:val="left"/>
      <w:pPr>
        <w:ind w:left="1667" w:hanging="360"/>
      </w:pPr>
      <w:rPr>
        <w:rFonts w:ascii="VIC" w:eastAsia="VIC" w:hAnsi="VIC" w:cs="VIC" w:hint="default"/>
        <w:color w:val="231F20"/>
        <w:spacing w:val="-10"/>
        <w:w w:val="100"/>
        <w:sz w:val="21"/>
        <w:szCs w:val="21"/>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6" w15:restartNumberingAfterBreak="0">
    <w:nsid w:val="1192331D"/>
    <w:multiLevelType w:val="hybridMultilevel"/>
    <w:tmpl w:val="554E21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446F1"/>
    <w:multiLevelType w:val="hybridMultilevel"/>
    <w:tmpl w:val="B89AA0A0"/>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45A35"/>
    <w:multiLevelType w:val="multilevel"/>
    <w:tmpl w:val="E3F6EDB0"/>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
      <w:lvlJc w:val="left"/>
      <w:pPr>
        <w:tabs>
          <w:tab w:val="num" w:pos="1913"/>
        </w:tabs>
        <w:ind w:left="1913" w:hanging="360"/>
      </w:pPr>
      <w:rPr>
        <w:rFonts w:ascii="Wingdings" w:hAnsi="Wingdings" w:hint="default"/>
        <w:sz w:val="20"/>
      </w:rPr>
    </w:lvl>
    <w:lvl w:ilvl="3" w:tentative="1">
      <w:start w:val="1"/>
      <w:numFmt w:val="bullet"/>
      <w:lvlText w:val=""/>
      <w:lvlJc w:val="left"/>
      <w:pPr>
        <w:tabs>
          <w:tab w:val="num" w:pos="2633"/>
        </w:tabs>
        <w:ind w:left="2633" w:hanging="360"/>
      </w:pPr>
      <w:rPr>
        <w:rFonts w:ascii="Wingdings" w:hAnsi="Wingdings" w:hint="default"/>
        <w:sz w:val="20"/>
      </w:rPr>
    </w:lvl>
    <w:lvl w:ilvl="4" w:tentative="1">
      <w:start w:val="1"/>
      <w:numFmt w:val="bullet"/>
      <w:lvlText w:val=""/>
      <w:lvlJc w:val="left"/>
      <w:pPr>
        <w:tabs>
          <w:tab w:val="num" w:pos="3353"/>
        </w:tabs>
        <w:ind w:left="3353" w:hanging="360"/>
      </w:pPr>
      <w:rPr>
        <w:rFonts w:ascii="Wingdings" w:hAnsi="Wingdings" w:hint="default"/>
        <w:sz w:val="20"/>
      </w:rPr>
    </w:lvl>
    <w:lvl w:ilvl="5" w:tentative="1">
      <w:start w:val="1"/>
      <w:numFmt w:val="bullet"/>
      <w:lvlText w:val=""/>
      <w:lvlJc w:val="left"/>
      <w:pPr>
        <w:tabs>
          <w:tab w:val="num" w:pos="4073"/>
        </w:tabs>
        <w:ind w:left="4073" w:hanging="360"/>
      </w:pPr>
      <w:rPr>
        <w:rFonts w:ascii="Wingdings" w:hAnsi="Wingdings" w:hint="default"/>
        <w:sz w:val="20"/>
      </w:rPr>
    </w:lvl>
    <w:lvl w:ilvl="6" w:tentative="1">
      <w:start w:val="1"/>
      <w:numFmt w:val="bullet"/>
      <w:lvlText w:val=""/>
      <w:lvlJc w:val="left"/>
      <w:pPr>
        <w:tabs>
          <w:tab w:val="num" w:pos="4793"/>
        </w:tabs>
        <w:ind w:left="4793" w:hanging="360"/>
      </w:pPr>
      <w:rPr>
        <w:rFonts w:ascii="Wingdings" w:hAnsi="Wingdings" w:hint="default"/>
        <w:sz w:val="20"/>
      </w:rPr>
    </w:lvl>
    <w:lvl w:ilvl="7" w:tentative="1">
      <w:start w:val="1"/>
      <w:numFmt w:val="bullet"/>
      <w:lvlText w:val=""/>
      <w:lvlJc w:val="left"/>
      <w:pPr>
        <w:tabs>
          <w:tab w:val="num" w:pos="5513"/>
        </w:tabs>
        <w:ind w:left="5513" w:hanging="360"/>
      </w:pPr>
      <w:rPr>
        <w:rFonts w:ascii="Wingdings" w:hAnsi="Wingdings" w:hint="default"/>
        <w:sz w:val="20"/>
      </w:rPr>
    </w:lvl>
    <w:lvl w:ilvl="8" w:tentative="1">
      <w:start w:val="1"/>
      <w:numFmt w:val="bullet"/>
      <w:lvlText w:val=""/>
      <w:lvlJc w:val="left"/>
      <w:pPr>
        <w:tabs>
          <w:tab w:val="num" w:pos="6233"/>
        </w:tabs>
        <w:ind w:left="6233" w:hanging="360"/>
      </w:pPr>
      <w:rPr>
        <w:rFonts w:ascii="Wingdings" w:hAnsi="Wingdings" w:hint="default"/>
        <w:sz w:val="20"/>
      </w:rPr>
    </w:lvl>
  </w:abstractNum>
  <w:abstractNum w:abstractNumId="9" w15:restartNumberingAfterBreak="0">
    <w:nsid w:val="1FAC471F"/>
    <w:multiLevelType w:val="hybridMultilevel"/>
    <w:tmpl w:val="491C0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310690"/>
    <w:multiLevelType w:val="hybridMultilevel"/>
    <w:tmpl w:val="D0A27A52"/>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1" w15:restartNumberingAfterBreak="0">
    <w:nsid w:val="25AC6661"/>
    <w:multiLevelType w:val="hybridMultilevel"/>
    <w:tmpl w:val="BAD2BC6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2" w15:restartNumberingAfterBreak="0">
    <w:nsid w:val="2EE96D72"/>
    <w:multiLevelType w:val="hybridMultilevel"/>
    <w:tmpl w:val="17206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271557"/>
    <w:multiLevelType w:val="hybridMultilevel"/>
    <w:tmpl w:val="E3247F9E"/>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E67B4"/>
    <w:multiLevelType w:val="hybridMultilevel"/>
    <w:tmpl w:val="75141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0282B"/>
    <w:multiLevelType w:val="hybridMultilevel"/>
    <w:tmpl w:val="7744F4F2"/>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6626A"/>
    <w:multiLevelType w:val="hybridMultilevel"/>
    <w:tmpl w:val="DC2E5574"/>
    <w:lvl w:ilvl="0" w:tplc="CA2A4EE6">
      <w:numFmt w:val="bullet"/>
      <w:lvlText w:val="•"/>
      <w:lvlJc w:val="left"/>
      <w:pPr>
        <w:ind w:left="340" w:hanging="227"/>
      </w:pPr>
      <w:rPr>
        <w:rFonts w:ascii="VIC" w:eastAsia="VIC" w:hAnsi="VIC" w:cs="VIC" w:hint="default"/>
        <w:color w:val="231F20"/>
        <w:spacing w:val="-16"/>
        <w:w w:val="100"/>
        <w:sz w:val="21"/>
        <w:szCs w:val="21"/>
      </w:rPr>
    </w:lvl>
    <w:lvl w:ilvl="1" w:tplc="4D540920">
      <w:numFmt w:val="bullet"/>
      <w:lvlText w:val="–"/>
      <w:lvlJc w:val="left"/>
      <w:pPr>
        <w:ind w:left="567" w:hanging="227"/>
      </w:pPr>
      <w:rPr>
        <w:rFonts w:ascii="VIC" w:eastAsia="VIC" w:hAnsi="VIC" w:cs="VIC" w:hint="default"/>
        <w:color w:val="231F20"/>
        <w:spacing w:val="-10"/>
        <w:w w:val="100"/>
        <w:sz w:val="21"/>
        <w:szCs w:val="21"/>
      </w:rPr>
    </w:lvl>
    <w:lvl w:ilvl="2" w:tplc="86A85246">
      <w:numFmt w:val="bullet"/>
      <w:lvlText w:val="•"/>
      <w:lvlJc w:val="left"/>
      <w:pPr>
        <w:ind w:left="461" w:hanging="227"/>
      </w:pPr>
      <w:rPr>
        <w:rFonts w:hint="default"/>
      </w:rPr>
    </w:lvl>
    <w:lvl w:ilvl="3" w:tplc="C69E3A94">
      <w:numFmt w:val="bullet"/>
      <w:lvlText w:val="•"/>
      <w:lvlJc w:val="left"/>
      <w:pPr>
        <w:ind w:left="363" w:hanging="227"/>
      </w:pPr>
      <w:rPr>
        <w:rFonts w:hint="default"/>
      </w:rPr>
    </w:lvl>
    <w:lvl w:ilvl="4" w:tplc="BDD04C70">
      <w:numFmt w:val="bullet"/>
      <w:lvlText w:val="•"/>
      <w:lvlJc w:val="left"/>
      <w:pPr>
        <w:ind w:left="265" w:hanging="227"/>
      </w:pPr>
      <w:rPr>
        <w:rFonts w:hint="default"/>
      </w:rPr>
    </w:lvl>
    <w:lvl w:ilvl="5" w:tplc="C64E591A">
      <w:numFmt w:val="bullet"/>
      <w:lvlText w:val="•"/>
      <w:lvlJc w:val="left"/>
      <w:pPr>
        <w:ind w:left="167" w:hanging="227"/>
      </w:pPr>
      <w:rPr>
        <w:rFonts w:hint="default"/>
      </w:rPr>
    </w:lvl>
    <w:lvl w:ilvl="6" w:tplc="A6FA5BBA">
      <w:numFmt w:val="bullet"/>
      <w:lvlText w:val="•"/>
      <w:lvlJc w:val="left"/>
      <w:pPr>
        <w:ind w:left="68" w:hanging="227"/>
      </w:pPr>
      <w:rPr>
        <w:rFonts w:hint="default"/>
      </w:rPr>
    </w:lvl>
    <w:lvl w:ilvl="7" w:tplc="7548BA24">
      <w:numFmt w:val="bullet"/>
      <w:lvlText w:val="•"/>
      <w:lvlJc w:val="left"/>
      <w:pPr>
        <w:ind w:left="-30" w:hanging="227"/>
      </w:pPr>
      <w:rPr>
        <w:rFonts w:hint="default"/>
      </w:rPr>
    </w:lvl>
    <w:lvl w:ilvl="8" w:tplc="7158A1AC">
      <w:numFmt w:val="bullet"/>
      <w:lvlText w:val="•"/>
      <w:lvlJc w:val="left"/>
      <w:pPr>
        <w:ind w:left="-128" w:hanging="227"/>
      </w:pPr>
      <w:rPr>
        <w:rFonts w:hint="default"/>
      </w:rPr>
    </w:lvl>
  </w:abstractNum>
  <w:abstractNum w:abstractNumId="17" w15:restartNumberingAfterBreak="0">
    <w:nsid w:val="398B5013"/>
    <w:multiLevelType w:val="hybridMultilevel"/>
    <w:tmpl w:val="81BA4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714674"/>
    <w:multiLevelType w:val="hybridMultilevel"/>
    <w:tmpl w:val="C1B84AAA"/>
    <w:lvl w:ilvl="0" w:tplc="CD46B002">
      <w:numFmt w:val="bullet"/>
      <w:lvlText w:val="•"/>
      <w:lvlJc w:val="left"/>
      <w:pPr>
        <w:ind w:left="553" w:hanging="440"/>
      </w:pPr>
      <w:rPr>
        <w:rFonts w:ascii="Vic Regular" w:eastAsiaTheme="minorHAnsi" w:hAnsi="Vic Regular" w:cstheme="minorBidi"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9" w15:restartNumberingAfterBreak="0">
    <w:nsid w:val="3BF97513"/>
    <w:multiLevelType w:val="hybridMultilevel"/>
    <w:tmpl w:val="61463824"/>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90D41"/>
    <w:multiLevelType w:val="hybridMultilevel"/>
    <w:tmpl w:val="7304C610"/>
    <w:lvl w:ilvl="0" w:tplc="CD46B002">
      <w:numFmt w:val="bullet"/>
      <w:lvlText w:val="•"/>
      <w:lvlJc w:val="left"/>
      <w:pPr>
        <w:ind w:left="553" w:hanging="44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1E04FC"/>
    <w:multiLevelType w:val="hybridMultilevel"/>
    <w:tmpl w:val="1408B4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2D5242"/>
    <w:multiLevelType w:val="hybridMultilevel"/>
    <w:tmpl w:val="E1262360"/>
    <w:lvl w:ilvl="0" w:tplc="7624B87E">
      <w:numFmt w:val="bullet"/>
      <w:lvlText w:val="•"/>
      <w:lvlJc w:val="left"/>
      <w:pPr>
        <w:ind w:left="340" w:hanging="227"/>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C4C19"/>
    <w:multiLevelType w:val="multilevel"/>
    <w:tmpl w:val="4D58825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4" w15:restartNumberingAfterBreak="0">
    <w:nsid w:val="542027B9"/>
    <w:multiLevelType w:val="hybridMultilevel"/>
    <w:tmpl w:val="3B327AF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56FF4E32"/>
    <w:multiLevelType w:val="hybridMultilevel"/>
    <w:tmpl w:val="2FC01D2E"/>
    <w:lvl w:ilvl="0" w:tplc="0809000F">
      <w:start w:val="1"/>
      <w:numFmt w:val="decimal"/>
      <w:lvlText w:val="%1."/>
      <w:lvlJc w:val="left"/>
      <w:pPr>
        <w:ind w:left="473" w:hanging="360"/>
      </w:pPr>
      <w:rPr>
        <w:rFonts w:hint="default"/>
        <w:color w:val="0072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30F31"/>
    <w:multiLevelType w:val="hybridMultilevel"/>
    <w:tmpl w:val="E370F66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7" w15:restartNumberingAfterBreak="0">
    <w:nsid w:val="58D35D0A"/>
    <w:multiLevelType w:val="hybridMultilevel"/>
    <w:tmpl w:val="A24CC2E2"/>
    <w:lvl w:ilvl="0" w:tplc="CD46B002">
      <w:numFmt w:val="bullet"/>
      <w:lvlText w:val="•"/>
      <w:lvlJc w:val="left"/>
      <w:pPr>
        <w:ind w:left="473" w:hanging="360"/>
      </w:pPr>
      <w:rPr>
        <w:rFonts w:ascii="Vic Regular" w:eastAsiaTheme="minorHAnsi" w:hAnsi="Vic Regular"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FA1BA7"/>
    <w:multiLevelType w:val="hybridMultilevel"/>
    <w:tmpl w:val="0E2876C8"/>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9" w15:restartNumberingAfterBreak="0">
    <w:nsid w:val="5FB45131"/>
    <w:multiLevelType w:val="hybridMultilevel"/>
    <w:tmpl w:val="1CDA48F4"/>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D80C98"/>
    <w:multiLevelType w:val="hybridMultilevel"/>
    <w:tmpl w:val="95AA16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472294B"/>
    <w:multiLevelType w:val="hybridMultilevel"/>
    <w:tmpl w:val="998CFE2A"/>
    <w:lvl w:ilvl="0" w:tplc="1A381AEA">
      <w:numFmt w:val="bullet"/>
      <w:lvlText w:val="•"/>
      <w:lvlJc w:val="left"/>
      <w:pPr>
        <w:ind w:left="335" w:hanging="227"/>
      </w:pPr>
      <w:rPr>
        <w:rFonts w:ascii="VIC" w:eastAsia="VIC" w:hAnsi="VIC" w:cs="VIC" w:hint="default"/>
        <w:color w:val="231F20"/>
        <w:spacing w:val="-16"/>
        <w:w w:val="100"/>
        <w:sz w:val="21"/>
        <w:szCs w:val="21"/>
      </w:rPr>
    </w:lvl>
    <w:lvl w:ilvl="1" w:tplc="CCBE4800">
      <w:numFmt w:val="bullet"/>
      <w:lvlText w:val="•"/>
      <w:lvlJc w:val="left"/>
      <w:pPr>
        <w:ind w:left="1042" w:hanging="227"/>
      </w:pPr>
      <w:rPr>
        <w:rFonts w:hint="default"/>
      </w:rPr>
    </w:lvl>
    <w:lvl w:ilvl="2" w:tplc="AB00BAA8">
      <w:numFmt w:val="bullet"/>
      <w:lvlText w:val="•"/>
      <w:lvlJc w:val="left"/>
      <w:pPr>
        <w:ind w:left="1744" w:hanging="227"/>
      </w:pPr>
      <w:rPr>
        <w:rFonts w:hint="default"/>
      </w:rPr>
    </w:lvl>
    <w:lvl w:ilvl="3" w:tplc="2D3E0A88">
      <w:numFmt w:val="bullet"/>
      <w:lvlText w:val="•"/>
      <w:lvlJc w:val="left"/>
      <w:pPr>
        <w:ind w:left="2446" w:hanging="227"/>
      </w:pPr>
      <w:rPr>
        <w:rFonts w:hint="default"/>
      </w:rPr>
    </w:lvl>
    <w:lvl w:ilvl="4" w:tplc="62E0BDA6">
      <w:numFmt w:val="bullet"/>
      <w:lvlText w:val="•"/>
      <w:lvlJc w:val="left"/>
      <w:pPr>
        <w:ind w:left="3148" w:hanging="227"/>
      </w:pPr>
      <w:rPr>
        <w:rFonts w:hint="default"/>
      </w:rPr>
    </w:lvl>
    <w:lvl w:ilvl="5" w:tplc="20C68BFC">
      <w:numFmt w:val="bullet"/>
      <w:lvlText w:val="•"/>
      <w:lvlJc w:val="left"/>
      <w:pPr>
        <w:ind w:left="3850" w:hanging="227"/>
      </w:pPr>
      <w:rPr>
        <w:rFonts w:hint="default"/>
      </w:rPr>
    </w:lvl>
    <w:lvl w:ilvl="6" w:tplc="C0527FC0">
      <w:numFmt w:val="bullet"/>
      <w:lvlText w:val="•"/>
      <w:lvlJc w:val="left"/>
      <w:pPr>
        <w:ind w:left="4552" w:hanging="227"/>
      </w:pPr>
      <w:rPr>
        <w:rFonts w:hint="default"/>
      </w:rPr>
    </w:lvl>
    <w:lvl w:ilvl="7" w:tplc="804C4A6E">
      <w:numFmt w:val="bullet"/>
      <w:lvlText w:val="•"/>
      <w:lvlJc w:val="left"/>
      <w:pPr>
        <w:ind w:left="5254" w:hanging="227"/>
      </w:pPr>
      <w:rPr>
        <w:rFonts w:hint="default"/>
      </w:rPr>
    </w:lvl>
    <w:lvl w:ilvl="8" w:tplc="AB403BB4">
      <w:numFmt w:val="bullet"/>
      <w:lvlText w:val="•"/>
      <w:lvlJc w:val="left"/>
      <w:pPr>
        <w:ind w:left="5956" w:hanging="227"/>
      </w:pPr>
      <w:rPr>
        <w:rFonts w:hint="default"/>
      </w:rPr>
    </w:lvl>
  </w:abstractNum>
  <w:abstractNum w:abstractNumId="32" w15:restartNumberingAfterBreak="0">
    <w:nsid w:val="64A90412"/>
    <w:multiLevelType w:val="hybridMultilevel"/>
    <w:tmpl w:val="CF8A9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341C6E"/>
    <w:multiLevelType w:val="hybridMultilevel"/>
    <w:tmpl w:val="C70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D16AE"/>
    <w:multiLevelType w:val="hybridMultilevel"/>
    <w:tmpl w:val="7FB24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500416"/>
    <w:multiLevelType w:val="hybridMultilevel"/>
    <w:tmpl w:val="D4740FBA"/>
    <w:lvl w:ilvl="0" w:tplc="CD46B002">
      <w:numFmt w:val="bullet"/>
      <w:lvlText w:val="•"/>
      <w:lvlJc w:val="left"/>
      <w:pPr>
        <w:ind w:left="473" w:hanging="360"/>
      </w:pPr>
      <w:rPr>
        <w:rFonts w:ascii="Vic Regular" w:eastAsiaTheme="minorHAnsi" w:hAnsi="Vic Regular"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147DA3"/>
    <w:multiLevelType w:val="hybridMultilevel"/>
    <w:tmpl w:val="578E5A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7" w15:restartNumberingAfterBreak="0">
    <w:nsid w:val="70C04942"/>
    <w:multiLevelType w:val="hybridMultilevel"/>
    <w:tmpl w:val="540A7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A4640D"/>
    <w:multiLevelType w:val="hybridMultilevel"/>
    <w:tmpl w:val="FFC6DDEC"/>
    <w:lvl w:ilvl="0" w:tplc="566E1EA8">
      <w:numFmt w:val="bullet"/>
      <w:pStyle w:val="ListParagraph"/>
      <w:lvlText w:val="•"/>
      <w:lvlJc w:val="left"/>
      <w:pPr>
        <w:ind w:left="340" w:hanging="227"/>
      </w:pPr>
      <w:rPr>
        <w:rFonts w:ascii="Vic Regular" w:hAnsi="Vic Regular" w:cs="Times New Roman (Body CS)" w:hint="default"/>
        <w:color w:val="0072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BD1DF3"/>
    <w:multiLevelType w:val="hybridMultilevel"/>
    <w:tmpl w:val="571A0A86"/>
    <w:lvl w:ilvl="0" w:tplc="F0D271EE">
      <w:start w:val="1"/>
      <w:numFmt w:val="decimal"/>
      <w:lvlText w:val="%1."/>
      <w:lvlJc w:val="left"/>
      <w:pPr>
        <w:ind w:left="113" w:hanging="407"/>
      </w:pPr>
      <w:rPr>
        <w:rFonts w:ascii="VIC Medium" w:eastAsia="VIC Medium" w:hAnsi="VIC Medium" w:cs="VIC Medium" w:hint="default"/>
        <w:color w:val="B8222F"/>
        <w:spacing w:val="-43"/>
        <w:w w:val="100"/>
        <w:sz w:val="48"/>
        <w:szCs w:val="48"/>
      </w:rPr>
    </w:lvl>
    <w:lvl w:ilvl="1" w:tplc="49F24AD0">
      <w:numFmt w:val="bullet"/>
      <w:lvlText w:val="•"/>
      <w:lvlJc w:val="left"/>
      <w:pPr>
        <w:ind w:left="5344" w:hanging="227"/>
      </w:pPr>
      <w:rPr>
        <w:rFonts w:ascii="VIC" w:eastAsia="VIC" w:hAnsi="VIC" w:cs="VIC" w:hint="default"/>
        <w:color w:val="231F20"/>
        <w:spacing w:val="-16"/>
        <w:w w:val="100"/>
        <w:sz w:val="21"/>
        <w:szCs w:val="21"/>
      </w:rPr>
    </w:lvl>
    <w:lvl w:ilvl="2" w:tplc="9162D66E">
      <w:numFmt w:val="bullet"/>
      <w:lvlText w:val="•"/>
      <w:lvlJc w:val="left"/>
      <w:pPr>
        <w:ind w:left="5818" w:hanging="227"/>
      </w:pPr>
      <w:rPr>
        <w:rFonts w:hint="default"/>
      </w:rPr>
    </w:lvl>
    <w:lvl w:ilvl="3" w:tplc="EDB4BC2E">
      <w:numFmt w:val="bullet"/>
      <w:lvlText w:val="•"/>
      <w:lvlJc w:val="left"/>
      <w:pPr>
        <w:ind w:left="6296" w:hanging="227"/>
      </w:pPr>
      <w:rPr>
        <w:rFonts w:hint="default"/>
      </w:rPr>
    </w:lvl>
    <w:lvl w:ilvl="4" w:tplc="B7AA8B30">
      <w:numFmt w:val="bullet"/>
      <w:lvlText w:val="•"/>
      <w:lvlJc w:val="left"/>
      <w:pPr>
        <w:ind w:left="6775" w:hanging="227"/>
      </w:pPr>
      <w:rPr>
        <w:rFonts w:hint="default"/>
      </w:rPr>
    </w:lvl>
    <w:lvl w:ilvl="5" w:tplc="16225792">
      <w:numFmt w:val="bullet"/>
      <w:lvlText w:val="•"/>
      <w:lvlJc w:val="left"/>
      <w:pPr>
        <w:ind w:left="7253" w:hanging="227"/>
      </w:pPr>
      <w:rPr>
        <w:rFonts w:hint="default"/>
      </w:rPr>
    </w:lvl>
    <w:lvl w:ilvl="6" w:tplc="F348DB66">
      <w:numFmt w:val="bullet"/>
      <w:lvlText w:val="•"/>
      <w:lvlJc w:val="left"/>
      <w:pPr>
        <w:ind w:left="7731" w:hanging="227"/>
      </w:pPr>
      <w:rPr>
        <w:rFonts w:hint="default"/>
      </w:rPr>
    </w:lvl>
    <w:lvl w:ilvl="7" w:tplc="559A8F64">
      <w:numFmt w:val="bullet"/>
      <w:lvlText w:val="•"/>
      <w:lvlJc w:val="left"/>
      <w:pPr>
        <w:ind w:left="8210" w:hanging="227"/>
      </w:pPr>
      <w:rPr>
        <w:rFonts w:hint="default"/>
      </w:rPr>
    </w:lvl>
    <w:lvl w:ilvl="8" w:tplc="55A884E2">
      <w:numFmt w:val="bullet"/>
      <w:lvlText w:val="•"/>
      <w:lvlJc w:val="left"/>
      <w:pPr>
        <w:ind w:left="8688" w:hanging="227"/>
      </w:pPr>
      <w:rPr>
        <w:rFonts w:hint="default"/>
      </w:rPr>
    </w:lvl>
  </w:abstractNum>
  <w:abstractNum w:abstractNumId="40" w15:restartNumberingAfterBreak="0">
    <w:nsid w:val="741643EC"/>
    <w:multiLevelType w:val="hybridMultilevel"/>
    <w:tmpl w:val="E8A81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2639292">
    <w:abstractNumId w:val="39"/>
  </w:num>
  <w:num w:numId="2" w16cid:durableId="871890979">
    <w:abstractNumId w:val="33"/>
  </w:num>
  <w:num w:numId="3" w16cid:durableId="1016494154">
    <w:abstractNumId w:val="1"/>
  </w:num>
  <w:num w:numId="4" w16cid:durableId="1008603368">
    <w:abstractNumId w:val="26"/>
  </w:num>
  <w:num w:numId="5" w16cid:durableId="722801220">
    <w:abstractNumId w:val="18"/>
  </w:num>
  <w:num w:numId="6" w16cid:durableId="1412048199">
    <w:abstractNumId w:val="20"/>
  </w:num>
  <w:num w:numId="7" w16cid:durableId="1259561269">
    <w:abstractNumId w:val="3"/>
  </w:num>
  <w:num w:numId="8" w16cid:durableId="1471440227">
    <w:abstractNumId w:val="22"/>
  </w:num>
  <w:num w:numId="9" w16cid:durableId="1938560006">
    <w:abstractNumId w:val="35"/>
  </w:num>
  <w:num w:numId="10" w16cid:durableId="125780950">
    <w:abstractNumId w:val="15"/>
  </w:num>
  <w:num w:numId="11" w16cid:durableId="48850371">
    <w:abstractNumId w:val="13"/>
  </w:num>
  <w:num w:numId="12" w16cid:durableId="216866551">
    <w:abstractNumId w:val="6"/>
  </w:num>
  <w:num w:numId="13" w16cid:durableId="1437482125">
    <w:abstractNumId w:val="14"/>
  </w:num>
  <w:num w:numId="14" w16cid:durableId="632100784">
    <w:abstractNumId w:val="29"/>
  </w:num>
  <w:num w:numId="15" w16cid:durableId="418260182">
    <w:abstractNumId w:val="27"/>
  </w:num>
  <w:num w:numId="16" w16cid:durableId="1583831676">
    <w:abstractNumId w:val="7"/>
  </w:num>
  <w:num w:numId="17" w16cid:durableId="1540624988">
    <w:abstractNumId w:val="2"/>
  </w:num>
  <w:num w:numId="18" w16cid:durableId="1016887131">
    <w:abstractNumId w:val="19"/>
  </w:num>
  <w:num w:numId="19" w16cid:durableId="1850749372">
    <w:abstractNumId w:val="5"/>
  </w:num>
  <w:num w:numId="20" w16cid:durableId="621421635">
    <w:abstractNumId w:val="4"/>
  </w:num>
  <w:num w:numId="21" w16cid:durableId="949774054">
    <w:abstractNumId w:val="25"/>
  </w:num>
  <w:num w:numId="22" w16cid:durableId="1051881949">
    <w:abstractNumId w:val="38"/>
  </w:num>
  <w:num w:numId="23" w16cid:durableId="803080328">
    <w:abstractNumId w:val="37"/>
  </w:num>
  <w:num w:numId="24" w16cid:durableId="370691100">
    <w:abstractNumId w:val="9"/>
  </w:num>
  <w:num w:numId="25" w16cid:durableId="720977979">
    <w:abstractNumId w:val="30"/>
  </w:num>
  <w:num w:numId="26" w16cid:durableId="631255755">
    <w:abstractNumId w:val="32"/>
  </w:num>
  <w:num w:numId="27" w16cid:durableId="1302810264">
    <w:abstractNumId w:val="16"/>
  </w:num>
  <w:num w:numId="28" w16cid:durableId="916400524">
    <w:abstractNumId w:val="11"/>
  </w:num>
  <w:num w:numId="29" w16cid:durableId="1256093607">
    <w:abstractNumId w:val="10"/>
  </w:num>
  <w:num w:numId="30" w16cid:durableId="1564098212">
    <w:abstractNumId w:val="24"/>
  </w:num>
  <w:num w:numId="31" w16cid:durableId="855466062">
    <w:abstractNumId w:val="28"/>
  </w:num>
  <w:num w:numId="32" w16cid:durableId="246772213">
    <w:abstractNumId w:val="8"/>
  </w:num>
  <w:num w:numId="33" w16cid:durableId="512963814">
    <w:abstractNumId w:val="36"/>
  </w:num>
  <w:num w:numId="34" w16cid:durableId="1705444307">
    <w:abstractNumId w:val="23"/>
  </w:num>
  <w:num w:numId="35" w16cid:durableId="1582835657">
    <w:abstractNumId w:val="40"/>
  </w:num>
  <w:num w:numId="36" w16cid:durableId="359666681">
    <w:abstractNumId w:val="34"/>
  </w:num>
  <w:num w:numId="37" w16cid:durableId="2063290158">
    <w:abstractNumId w:val="31"/>
  </w:num>
  <w:num w:numId="38" w16cid:durableId="971249394">
    <w:abstractNumId w:val="0"/>
  </w:num>
  <w:num w:numId="39" w16cid:durableId="82070517">
    <w:abstractNumId w:val="17"/>
  </w:num>
  <w:num w:numId="40" w16cid:durableId="849107237">
    <w:abstractNumId w:val="12"/>
  </w:num>
  <w:num w:numId="41" w16cid:durableId="15079384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GridTable4-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BF"/>
    <w:rsid w:val="00000AFC"/>
    <w:rsid w:val="00001F04"/>
    <w:rsid w:val="0000452C"/>
    <w:rsid w:val="00004860"/>
    <w:rsid w:val="00004C5E"/>
    <w:rsid w:val="000059DA"/>
    <w:rsid w:val="000072BC"/>
    <w:rsid w:val="000073AC"/>
    <w:rsid w:val="00007E01"/>
    <w:rsid w:val="000115A3"/>
    <w:rsid w:val="00011EEA"/>
    <w:rsid w:val="00012065"/>
    <w:rsid w:val="0001399A"/>
    <w:rsid w:val="00013D01"/>
    <w:rsid w:val="000143E4"/>
    <w:rsid w:val="00017578"/>
    <w:rsid w:val="000179ED"/>
    <w:rsid w:val="00022318"/>
    <w:rsid w:val="00023192"/>
    <w:rsid w:val="000313A8"/>
    <w:rsid w:val="0003252F"/>
    <w:rsid w:val="000333A1"/>
    <w:rsid w:val="00033619"/>
    <w:rsid w:val="00033643"/>
    <w:rsid w:val="000339D2"/>
    <w:rsid w:val="00033E23"/>
    <w:rsid w:val="00033E9C"/>
    <w:rsid w:val="00034613"/>
    <w:rsid w:val="000361F7"/>
    <w:rsid w:val="00036D98"/>
    <w:rsid w:val="0003788B"/>
    <w:rsid w:val="00040EF1"/>
    <w:rsid w:val="000422CD"/>
    <w:rsid w:val="00042C2A"/>
    <w:rsid w:val="00043659"/>
    <w:rsid w:val="000449CB"/>
    <w:rsid w:val="00044B72"/>
    <w:rsid w:val="00045BB4"/>
    <w:rsid w:val="00050929"/>
    <w:rsid w:val="0005242C"/>
    <w:rsid w:val="0005362E"/>
    <w:rsid w:val="00053BA6"/>
    <w:rsid w:val="000547EF"/>
    <w:rsid w:val="00056F9D"/>
    <w:rsid w:val="00057E28"/>
    <w:rsid w:val="00061791"/>
    <w:rsid w:val="00062152"/>
    <w:rsid w:val="00062730"/>
    <w:rsid w:val="00062C2E"/>
    <w:rsid w:val="00064EDD"/>
    <w:rsid w:val="00070D57"/>
    <w:rsid w:val="00071585"/>
    <w:rsid w:val="00071B8D"/>
    <w:rsid w:val="00072531"/>
    <w:rsid w:val="00074832"/>
    <w:rsid w:val="0007514B"/>
    <w:rsid w:val="000758F7"/>
    <w:rsid w:val="000762BC"/>
    <w:rsid w:val="00080AEE"/>
    <w:rsid w:val="0008180F"/>
    <w:rsid w:val="000822B8"/>
    <w:rsid w:val="000827CA"/>
    <w:rsid w:val="00085FA2"/>
    <w:rsid w:val="000873E4"/>
    <w:rsid w:val="0008754E"/>
    <w:rsid w:val="000919B8"/>
    <w:rsid w:val="00092A16"/>
    <w:rsid w:val="00093F6B"/>
    <w:rsid w:val="00097B4D"/>
    <w:rsid w:val="000A06F8"/>
    <w:rsid w:val="000A1F1E"/>
    <w:rsid w:val="000A219F"/>
    <w:rsid w:val="000A249B"/>
    <w:rsid w:val="000A3E49"/>
    <w:rsid w:val="000A55D3"/>
    <w:rsid w:val="000A55DA"/>
    <w:rsid w:val="000B0969"/>
    <w:rsid w:val="000B2E03"/>
    <w:rsid w:val="000B3D9C"/>
    <w:rsid w:val="000B4158"/>
    <w:rsid w:val="000B4FC7"/>
    <w:rsid w:val="000B78D8"/>
    <w:rsid w:val="000C0746"/>
    <w:rsid w:val="000C1400"/>
    <w:rsid w:val="000C1BD9"/>
    <w:rsid w:val="000C27CB"/>
    <w:rsid w:val="000C3D71"/>
    <w:rsid w:val="000C4328"/>
    <w:rsid w:val="000C5C4D"/>
    <w:rsid w:val="000D0670"/>
    <w:rsid w:val="000D32B5"/>
    <w:rsid w:val="000D57C0"/>
    <w:rsid w:val="000D593A"/>
    <w:rsid w:val="000D60A9"/>
    <w:rsid w:val="000D61B8"/>
    <w:rsid w:val="000D6D35"/>
    <w:rsid w:val="000D6EEA"/>
    <w:rsid w:val="000E12F5"/>
    <w:rsid w:val="000E48D3"/>
    <w:rsid w:val="000E5CC8"/>
    <w:rsid w:val="000E6CC8"/>
    <w:rsid w:val="000E79E5"/>
    <w:rsid w:val="000F14BB"/>
    <w:rsid w:val="000F3276"/>
    <w:rsid w:val="000F357D"/>
    <w:rsid w:val="000F4EAF"/>
    <w:rsid w:val="000F6756"/>
    <w:rsid w:val="000F6B02"/>
    <w:rsid w:val="00101500"/>
    <w:rsid w:val="00101AE0"/>
    <w:rsid w:val="001024CC"/>
    <w:rsid w:val="00105074"/>
    <w:rsid w:val="00110485"/>
    <w:rsid w:val="00112B05"/>
    <w:rsid w:val="0011356F"/>
    <w:rsid w:val="00113F6F"/>
    <w:rsid w:val="00114781"/>
    <w:rsid w:val="001156F6"/>
    <w:rsid w:val="0011654E"/>
    <w:rsid w:val="001166BE"/>
    <w:rsid w:val="00116BCE"/>
    <w:rsid w:val="001208CB"/>
    <w:rsid w:val="00123C87"/>
    <w:rsid w:val="00126639"/>
    <w:rsid w:val="00130A7F"/>
    <w:rsid w:val="001327CD"/>
    <w:rsid w:val="00133D83"/>
    <w:rsid w:val="00134105"/>
    <w:rsid w:val="00136695"/>
    <w:rsid w:val="0013681E"/>
    <w:rsid w:val="00150019"/>
    <w:rsid w:val="00152075"/>
    <w:rsid w:val="0015392C"/>
    <w:rsid w:val="001546F2"/>
    <w:rsid w:val="0015652C"/>
    <w:rsid w:val="00160B10"/>
    <w:rsid w:val="00160DC5"/>
    <w:rsid w:val="0016170D"/>
    <w:rsid w:val="00161E51"/>
    <w:rsid w:val="00161EC5"/>
    <w:rsid w:val="001632D8"/>
    <w:rsid w:val="001644F6"/>
    <w:rsid w:val="00165085"/>
    <w:rsid w:val="001657FF"/>
    <w:rsid w:val="00166B9E"/>
    <w:rsid w:val="00166DF5"/>
    <w:rsid w:val="001705CD"/>
    <w:rsid w:val="00170623"/>
    <w:rsid w:val="00170795"/>
    <w:rsid w:val="00177397"/>
    <w:rsid w:val="001779E9"/>
    <w:rsid w:val="001808DF"/>
    <w:rsid w:val="00181FE9"/>
    <w:rsid w:val="00182115"/>
    <w:rsid w:val="001833EA"/>
    <w:rsid w:val="001856E4"/>
    <w:rsid w:val="00185FEF"/>
    <w:rsid w:val="00191AF8"/>
    <w:rsid w:val="001933D9"/>
    <w:rsid w:val="00193563"/>
    <w:rsid w:val="0019678B"/>
    <w:rsid w:val="001A14A1"/>
    <w:rsid w:val="001A1730"/>
    <w:rsid w:val="001A1789"/>
    <w:rsid w:val="001A1C37"/>
    <w:rsid w:val="001A2BC8"/>
    <w:rsid w:val="001A3B1D"/>
    <w:rsid w:val="001A6994"/>
    <w:rsid w:val="001A6C4E"/>
    <w:rsid w:val="001B3F38"/>
    <w:rsid w:val="001B3F54"/>
    <w:rsid w:val="001B4179"/>
    <w:rsid w:val="001B4452"/>
    <w:rsid w:val="001B619B"/>
    <w:rsid w:val="001B705D"/>
    <w:rsid w:val="001B72C3"/>
    <w:rsid w:val="001B785B"/>
    <w:rsid w:val="001C0073"/>
    <w:rsid w:val="001C3219"/>
    <w:rsid w:val="001C55EE"/>
    <w:rsid w:val="001C7628"/>
    <w:rsid w:val="001D38BD"/>
    <w:rsid w:val="001D437D"/>
    <w:rsid w:val="001D6577"/>
    <w:rsid w:val="001E04E2"/>
    <w:rsid w:val="001E1DC1"/>
    <w:rsid w:val="001E3065"/>
    <w:rsid w:val="001E567E"/>
    <w:rsid w:val="001E7369"/>
    <w:rsid w:val="001F15B2"/>
    <w:rsid w:val="001F22A9"/>
    <w:rsid w:val="001F5C54"/>
    <w:rsid w:val="001F6775"/>
    <w:rsid w:val="0020077A"/>
    <w:rsid w:val="002008F8"/>
    <w:rsid w:val="002029B1"/>
    <w:rsid w:val="00203880"/>
    <w:rsid w:val="00203B90"/>
    <w:rsid w:val="00205B39"/>
    <w:rsid w:val="00205C63"/>
    <w:rsid w:val="00206ADE"/>
    <w:rsid w:val="00207F87"/>
    <w:rsid w:val="002112F8"/>
    <w:rsid w:val="00211555"/>
    <w:rsid w:val="00212193"/>
    <w:rsid w:val="00212793"/>
    <w:rsid w:val="00212794"/>
    <w:rsid w:val="00213A8C"/>
    <w:rsid w:val="00213AE2"/>
    <w:rsid w:val="0021476B"/>
    <w:rsid w:val="00216D99"/>
    <w:rsid w:val="00216E19"/>
    <w:rsid w:val="002223DE"/>
    <w:rsid w:val="00223199"/>
    <w:rsid w:val="0022356F"/>
    <w:rsid w:val="00224147"/>
    <w:rsid w:val="002250C7"/>
    <w:rsid w:val="00225387"/>
    <w:rsid w:val="0022608C"/>
    <w:rsid w:val="00226F7B"/>
    <w:rsid w:val="00230E3F"/>
    <w:rsid w:val="00231365"/>
    <w:rsid w:val="002323F6"/>
    <w:rsid w:val="002350FC"/>
    <w:rsid w:val="002363D2"/>
    <w:rsid w:val="0024066F"/>
    <w:rsid w:val="002419C5"/>
    <w:rsid w:val="00241B25"/>
    <w:rsid w:val="00243426"/>
    <w:rsid w:val="0024414A"/>
    <w:rsid w:val="00245E52"/>
    <w:rsid w:val="0024680E"/>
    <w:rsid w:val="00246CA4"/>
    <w:rsid w:val="0024739D"/>
    <w:rsid w:val="002473B7"/>
    <w:rsid w:val="002514BB"/>
    <w:rsid w:val="00251555"/>
    <w:rsid w:val="00253C65"/>
    <w:rsid w:val="00254AA2"/>
    <w:rsid w:val="00256832"/>
    <w:rsid w:val="00257DED"/>
    <w:rsid w:val="002603FD"/>
    <w:rsid w:val="002626A2"/>
    <w:rsid w:val="0026284C"/>
    <w:rsid w:val="002634C7"/>
    <w:rsid w:val="00264125"/>
    <w:rsid w:val="0026510E"/>
    <w:rsid w:val="00265628"/>
    <w:rsid w:val="00265B5F"/>
    <w:rsid w:val="002660CD"/>
    <w:rsid w:val="0026612D"/>
    <w:rsid w:val="0027096D"/>
    <w:rsid w:val="00271F35"/>
    <w:rsid w:val="0027242D"/>
    <w:rsid w:val="00275375"/>
    <w:rsid w:val="00275617"/>
    <w:rsid w:val="002824F0"/>
    <w:rsid w:val="0028389E"/>
    <w:rsid w:val="00285596"/>
    <w:rsid w:val="0028668C"/>
    <w:rsid w:val="0029152F"/>
    <w:rsid w:val="00291A1F"/>
    <w:rsid w:val="00291C85"/>
    <w:rsid w:val="00292E6D"/>
    <w:rsid w:val="00293131"/>
    <w:rsid w:val="002932C6"/>
    <w:rsid w:val="00293638"/>
    <w:rsid w:val="0029420D"/>
    <w:rsid w:val="00294216"/>
    <w:rsid w:val="002954CC"/>
    <w:rsid w:val="0029608B"/>
    <w:rsid w:val="0029660D"/>
    <w:rsid w:val="002978D7"/>
    <w:rsid w:val="002A009F"/>
    <w:rsid w:val="002A01AA"/>
    <w:rsid w:val="002A0A18"/>
    <w:rsid w:val="002A1069"/>
    <w:rsid w:val="002A269A"/>
    <w:rsid w:val="002A393C"/>
    <w:rsid w:val="002A539E"/>
    <w:rsid w:val="002B1798"/>
    <w:rsid w:val="002B1AAA"/>
    <w:rsid w:val="002B1F81"/>
    <w:rsid w:val="002B1F9B"/>
    <w:rsid w:val="002B3047"/>
    <w:rsid w:val="002B312C"/>
    <w:rsid w:val="002B3792"/>
    <w:rsid w:val="002B44CE"/>
    <w:rsid w:val="002B4B55"/>
    <w:rsid w:val="002B552E"/>
    <w:rsid w:val="002B6D42"/>
    <w:rsid w:val="002C2102"/>
    <w:rsid w:val="002C3822"/>
    <w:rsid w:val="002C5227"/>
    <w:rsid w:val="002C5888"/>
    <w:rsid w:val="002C5A82"/>
    <w:rsid w:val="002C735E"/>
    <w:rsid w:val="002C79D8"/>
    <w:rsid w:val="002C7F1A"/>
    <w:rsid w:val="002D1EBF"/>
    <w:rsid w:val="002D315A"/>
    <w:rsid w:val="002D3AB4"/>
    <w:rsid w:val="002D3CEB"/>
    <w:rsid w:val="002D5AB3"/>
    <w:rsid w:val="002D60AF"/>
    <w:rsid w:val="002D6561"/>
    <w:rsid w:val="002D6D05"/>
    <w:rsid w:val="002D7A49"/>
    <w:rsid w:val="002E0101"/>
    <w:rsid w:val="002E0239"/>
    <w:rsid w:val="002E0D9F"/>
    <w:rsid w:val="002E28AC"/>
    <w:rsid w:val="002E29D3"/>
    <w:rsid w:val="002E2F46"/>
    <w:rsid w:val="002E47A1"/>
    <w:rsid w:val="002E53BF"/>
    <w:rsid w:val="002F0777"/>
    <w:rsid w:val="002F2AE0"/>
    <w:rsid w:val="002F3146"/>
    <w:rsid w:val="002F5115"/>
    <w:rsid w:val="002F7409"/>
    <w:rsid w:val="00300479"/>
    <w:rsid w:val="003018D4"/>
    <w:rsid w:val="00304BD9"/>
    <w:rsid w:val="0030700B"/>
    <w:rsid w:val="0030748D"/>
    <w:rsid w:val="00310A13"/>
    <w:rsid w:val="00311FF6"/>
    <w:rsid w:val="00312703"/>
    <w:rsid w:val="00312D7E"/>
    <w:rsid w:val="003153B8"/>
    <w:rsid w:val="00316CC7"/>
    <w:rsid w:val="00321701"/>
    <w:rsid w:val="00321CB5"/>
    <w:rsid w:val="00322689"/>
    <w:rsid w:val="003232CC"/>
    <w:rsid w:val="00324394"/>
    <w:rsid w:val="003304A6"/>
    <w:rsid w:val="00331143"/>
    <w:rsid w:val="00332009"/>
    <w:rsid w:val="0033505C"/>
    <w:rsid w:val="0033542A"/>
    <w:rsid w:val="00336ADD"/>
    <w:rsid w:val="003401F9"/>
    <w:rsid w:val="00340AB4"/>
    <w:rsid w:val="0034368A"/>
    <w:rsid w:val="00343724"/>
    <w:rsid w:val="003441CA"/>
    <w:rsid w:val="00344625"/>
    <w:rsid w:val="00345EF0"/>
    <w:rsid w:val="00345F0B"/>
    <w:rsid w:val="00346475"/>
    <w:rsid w:val="0034678E"/>
    <w:rsid w:val="0034720F"/>
    <w:rsid w:val="00350DC5"/>
    <w:rsid w:val="0035198A"/>
    <w:rsid w:val="0035248A"/>
    <w:rsid w:val="00352ED4"/>
    <w:rsid w:val="00357813"/>
    <w:rsid w:val="0035782C"/>
    <w:rsid w:val="00360F62"/>
    <w:rsid w:val="003628B1"/>
    <w:rsid w:val="00362B98"/>
    <w:rsid w:val="00362F03"/>
    <w:rsid w:val="003655B4"/>
    <w:rsid w:val="003665DB"/>
    <w:rsid w:val="0037023A"/>
    <w:rsid w:val="00370C4B"/>
    <w:rsid w:val="00370CF2"/>
    <w:rsid w:val="00371077"/>
    <w:rsid w:val="00372F73"/>
    <w:rsid w:val="0037310D"/>
    <w:rsid w:val="00373BB0"/>
    <w:rsid w:val="00374D4C"/>
    <w:rsid w:val="00375D01"/>
    <w:rsid w:val="00375D87"/>
    <w:rsid w:val="00377187"/>
    <w:rsid w:val="00377745"/>
    <w:rsid w:val="00380544"/>
    <w:rsid w:val="00382D1C"/>
    <w:rsid w:val="00382E3B"/>
    <w:rsid w:val="0038332C"/>
    <w:rsid w:val="00385AB5"/>
    <w:rsid w:val="00386EC0"/>
    <w:rsid w:val="003872B3"/>
    <w:rsid w:val="00387883"/>
    <w:rsid w:val="003905A6"/>
    <w:rsid w:val="00392F21"/>
    <w:rsid w:val="00393FE8"/>
    <w:rsid w:val="00395CE2"/>
    <w:rsid w:val="003A0928"/>
    <w:rsid w:val="003A0EC9"/>
    <w:rsid w:val="003A1C2F"/>
    <w:rsid w:val="003A3A31"/>
    <w:rsid w:val="003A3E67"/>
    <w:rsid w:val="003A4365"/>
    <w:rsid w:val="003A49B4"/>
    <w:rsid w:val="003A5CC2"/>
    <w:rsid w:val="003B083F"/>
    <w:rsid w:val="003B1572"/>
    <w:rsid w:val="003B1900"/>
    <w:rsid w:val="003B2421"/>
    <w:rsid w:val="003B256C"/>
    <w:rsid w:val="003B43C8"/>
    <w:rsid w:val="003B4766"/>
    <w:rsid w:val="003B520C"/>
    <w:rsid w:val="003B6BDA"/>
    <w:rsid w:val="003B6C24"/>
    <w:rsid w:val="003B730A"/>
    <w:rsid w:val="003C1630"/>
    <w:rsid w:val="003C291E"/>
    <w:rsid w:val="003C45E6"/>
    <w:rsid w:val="003C4C13"/>
    <w:rsid w:val="003C5C97"/>
    <w:rsid w:val="003D1BF8"/>
    <w:rsid w:val="003D25C9"/>
    <w:rsid w:val="003D3565"/>
    <w:rsid w:val="003D434C"/>
    <w:rsid w:val="003D4BCD"/>
    <w:rsid w:val="003E0621"/>
    <w:rsid w:val="003E18CD"/>
    <w:rsid w:val="003E1940"/>
    <w:rsid w:val="003E1AE1"/>
    <w:rsid w:val="003E3F0D"/>
    <w:rsid w:val="003E4E44"/>
    <w:rsid w:val="003E55FC"/>
    <w:rsid w:val="003E6EB4"/>
    <w:rsid w:val="003F10C9"/>
    <w:rsid w:val="003F1E3A"/>
    <w:rsid w:val="003F29E6"/>
    <w:rsid w:val="003F3A1C"/>
    <w:rsid w:val="003F3C19"/>
    <w:rsid w:val="003F658D"/>
    <w:rsid w:val="003F7C32"/>
    <w:rsid w:val="0040211F"/>
    <w:rsid w:val="0040461F"/>
    <w:rsid w:val="004059F4"/>
    <w:rsid w:val="0040698A"/>
    <w:rsid w:val="00407C4D"/>
    <w:rsid w:val="00414102"/>
    <w:rsid w:val="0041446C"/>
    <w:rsid w:val="00414F6E"/>
    <w:rsid w:val="004160DD"/>
    <w:rsid w:val="00416130"/>
    <w:rsid w:val="00416706"/>
    <w:rsid w:val="00417B3E"/>
    <w:rsid w:val="0042110E"/>
    <w:rsid w:val="0042240D"/>
    <w:rsid w:val="00424753"/>
    <w:rsid w:val="00426844"/>
    <w:rsid w:val="0043068E"/>
    <w:rsid w:val="0043186A"/>
    <w:rsid w:val="00431F98"/>
    <w:rsid w:val="00433DF3"/>
    <w:rsid w:val="00433EF4"/>
    <w:rsid w:val="0043467C"/>
    <w:rsid w:val="0043618F"/>
    <w:rsid w:val="0043749E"/>
    <w:rsid w:val="00437704"/>
    <w:rsid w:val="00440F13"/>
    <w:rsid w:val="00441505"/>
    <w:rsid w:val="004424A9"/>
    <w:rsid w:val="00442A79"/>
    <w:rsid w:val="00442ACF"/>
    <w:rsid w:val="00442DF1"/>
    <w:rsid w:val="0044314F"/>
    <w:rsid w:val="00443923"/>
    <w:rsid w:val="00443A8D"/>
    <w:rsid w:val="00444B1A"/>
    <w:rsid w:val="00445456"/>
    <w:rsid w:val="004507EC"/>
    <w:rsid w:val="00450B89"/>
    <w:rsid w:val="00450D8F"/>
    <w:rsid w:val="00451073"/>
    <w:rsid w:val="0045154C"/>
    <w:rsid w:val="0045173A"/>
    <w:rsid w:val="004536BC"/>
    <w:rsid w:val="0045518B"/>
    <w:rsid w:val="00455E7F"/>
    <w:rsid w:val="0045686E"/>
    <w:rsid w:val="004574D8"/>
    <w:rsid w:val="00457515"/>
    <w:rsid w:val="00461833"/>
    <w:rsid w:val="00465DAC"/>
    <w:rsid w:val="00466161"/>
    <w:rsid w:val="004668E0"/>
    <w:rsid w:val="00466C84"/>
    <w:rsid w:val="004675D4"/>
    <w:rsid w:val="00470927"/>
    <w:rsid w:val="0047194F"/>
    <w:rsid w:val="00472643"/>
    <w:rsid w:val="00473C02"/>
    <w:rsid w:val="004740BE"/>
    <w:rsid w:val="004753EA"/>
    <w:rsid w:val="00476B1B"/>
    <w:rsid w:val="004816B0"/>
    <w:rsid w:val="00485B30"/>
    <w:rsid w:val="00486806"/>
    <w:rsid w:val="00486BC1"/>
    <w:rsid w:val="00487858"/>
    <w:rsid w:val="00487E70"/>
    <w:rsid w:val="00487EE3"/>
    <w:rsid w:val="0049185D"/>
    <w:rsid w:val="00492119"/>
    <w:rsid w:val="0049224B"/>
    <w:rsid w:val="004929D7"/>
    <w:rsid w:val="00494762"/>
    <w:rsid w:val="004957D4"/>
    <w:rsid w:val="00495B5A"/>
    <w:rsid w:val="00496B36"/>
    <w:rsid w:val="00497153"/>
    <w:rsid w:val="0049715F"/>
    <w:rsid w:val="00497227"/>
    <w:rsid w:val="00497A0F"/>
    <w:rsid w:val="004A1297"/>
    <w:rsid w:val="004A3119"/>
    <w:rsid w:val="004A4754"/>
    <w:rsid w:val="004B0A84"/>
    <w:rsid w:val="004B2810"/>
    <w:rsid w:val="004B2949"/>
    <w:rsid w:val="004B3307"/>
    <w:rsid w:val="004B34D5"/>
    <w:rsid w:val="004B4664"/>
    <w:rsid w:val="004B743B"/>
    <w:rsid w:val="004C0CEB"/>
    <w:rsid w:val="004C374D"/>
    <w:rsid w:val="004C4F09"/>
    <w:rsid w:val="004C6008"/>
    <w:rsid w:val="004D08DD"/>
    <w:rsid w:val="004D1DC2"/>
    <w:rsid w:val="004D2133"/>
    <w:rsid w:val="004D2A1A"/>
    <w:rsid w:val="004D376C"/>
    <w:rsid w:val="004D3B8B"/>
    <w:rsid w:val="004E4CAD"/>
    <w:rsid w:val="004E6EEC"/>
    <w:rsid w:val="004E7753"/>
    <w:rsid w:val="004F00A7"/>
    <w:rsid w:val="004F059C"/>
    <w:rsid w:val="004F0DA8"/>
    <w:rsid w:val="004F29E3"/>
    <w:rsid w:val="004F338C"/>
    <w:rsid w:val="004F356E"/>
    <w:rsid w:val="004F40B1"/>
    <w:rsid w:val="004F41B5"/>
    <w:rsid w:val="004F7A21"/>
    <w:rsid w:val="005003FA"/>
    <w:rsid w:val="00500A24"/>
    <w:rsid w:val="00500F2D"/>
    <w:rsid w:val="00502351"/>
    <w:rsid w:val="0050286F"/>
    <w:rsid w:val="00506FF1"/>
    <w:rsid w:val="00507939"/>
    <w:rsid w:val="0051214D"/>
    <w:rsid w:val="0051371C"/>
    <w:rsid w:val="00515944"/>
    <w:rsid w:val="005172D2"/>
    <w:rsid w:val="00520A20"/>
    <w:rsid w:val="00520D4D"/>
    <w:rsid w:val="00521A81"/>
    <w:rsid w:val="00523D0F"/>
    <w:rsid w:val="005265C9"/>
    <w:rsid w:val="005279F9"/>
    <w:rsid w:val="00527C1C"/>
    <w:rsid w:val="00530259"/>
    <w:rsid w:val="00531DB0"/>
    <w:rsid w:val="005323B2"/>
    <w:rsid w:val="005326A5"/>
    <w:rsid w:val="005332FF"/>
    <w:rsid w:val="00534FF7"/>
    <w:rsid w:val="005358D8"/>
    <w:rsid w:val="00537DB0"/>
    <w:rsid w:val="0054134A"/>
    <w:rsid w:val="0054358D"/>
    <w:rsid w:val="005463C1"/>
    <w:rsid w:val="0055210F"/>
    <w:rsid w:val="005569C1"/>
    <w:rsid w:val="00556CC5"/>
    <w:rsid w:val="00564157"/>
    <w:rsid w:val="00564F1B"/>
    <w:rsid w:val="005653CD"/>
    <w:rsid w:val="00565969"/>
    <w:rsid w:val="00567397"/>
    <w:rsid w:val="00567D12"/>
    <w:rsid w:val="005705F3"/>
    <w:rsid w:val="00570A76"/>
    <w:rsid w:val="005721A8"/>
    <w:rsid w:val="005724CE"/>
    <w:rsid w:val="00580E7D"/>
    <w:rsid w:val="005818DE"/>
    <w:rsid w:val="00582041"/>
    <w:rsid w:val="00582CBD"/>
    <w:rsid w:val="00585961"/>
    <w:rsid w:val="005867D6"/>
    <w:rsid w:val="005901CA"/>
    <w:rsid w:val="005904E8"/>
    <w:rsid w:val="00590CA3"/>
    <w:rsid w:val="00591882"/>
    <w:rsid w:val="0059208B"/>
    <w:rsid w:val="0059718B"/>
    <w:rsid w:val="00597476"/>
    <w:rsid w:val="00597CC4"/>
    <w:rsid w:val="005A39AC"/>
    <w:rsid w:val="005A3DC4"/>
    <w:rsid w:val="005A53EA"/>
    <w:rsid w:val="005A729A"/>
    <w:rsid w:val="005B43DA"/>
    <w:rsid w:val="005B4E47"/>
    <w:rsid w:val="005B55DB"/>
    <w:rsid w:val="005B6258"/>
    <w:rsid w:val="005B64B2"/>
    <w:rsid w:val="005B6E5D"/>
    <w:rsid w:val="005B7627"/>
    <w:rsid w:val="005B7632"/>
    <w:rsid w:val="005C137A"/>
    <w:rsid w:val="005C1F37"/>
    <w:rsid w:val="005C2EF4"/>
    <w:rsid w:val="005C5916"/>
    <w:rsid w:val="005C5A8A"/>
    <w:rsid w:val="005D15A1"/>
    <w:rsid w:val="005D1B1E"/>
    <w:rsid w:val="005D2BEE"/>
    <w:rsid w:val="005D2C0E"/>
    <w:rsid w:val="005D40D4"/>
    <w:rsid w:val="005D52CD"/>
    <w:rsid w:val="005D5BF0"/>
    <w:rsid w:val="005D5E15"/>
    <w:rsid w:val="005E2939"/>
    <w:rsid w:val="005E36B6"/>
    <w:rsid w:val="005E3CBF"/>
    <w:rsid w:val="005E4264"/>
    <w:rsid w:val="005E710A"/>
    <w:rsid w:val="005E7610"/>
    <w:rsid w:val="005F10E4"/>
    <w:rsid w:val="005F2AD8"/>
    <w:rsid w:val="005F4675"/>
    <w:rsid w:val="005F5715"/>
    <w:rsid w:val="00602B54"/>
    <w:rsid w:val="00603271"/>
    <w:rsid w:val="00605934"/>
    <w:rsid w:val="00606433"/>
    <w:rsid w:val="0061087F"/>
    <w:rsid w:val="00612145"/>
    <w:rsid w:val="0061278D"/>
    <w:rsid w:val="00616185"/>
    <w:rsid w:val="00617086"/>
    <w:rsid w:val="006204A0"/>
    <w:rsid w:val="0062185F"/>
    <w:rsid w:val="006219EC"/>
    <w:rsid w:val="00622345"/>
    <w:rsid w:val="00622811"/>
    <w:rsid w:val="00623C4C"/>
    <w:rsid w:val="00624FEE"/>
    <w:rsid w:val="0062517A"/>
    <w:rsid w:val="00625995"/>
    <w:rsid w:val="0062708C"/>
    <w:rsid w:val="00630104"/>
    <w:rsid w:val="0063018C"/>
    <w:rsid w:val="00631ADA"/>
    <w:rsid w:val="00632BBD"/>
    <w:rsid w:val="006334F9"/>
    <w:rsid w:val="006364FC"/>
    <w:rsid w:val="00636A67"/>
    <w:rsid w:val="00641105"/>
    <w:rsid w:val="00641AA2"/>
    <w:rsid w:val="006428FC"/>
    <w:rsid w:val="006436B1"/>
    <w:rsid w:val="006446E4"/>
    <w:rsid w:val="00645C82"/>
    <w:rsid w:val="006472C6"/>
    <w:rsid w:val="00647582"/>
    <w:rsid w:val="006475B8"/>
    <w:rsid w:val="0064794D"/>
    <w:rsid w:val="00650BC4"/>
    <w:rsid w:val="00650F1A"/>
    <w:rsid w:val="0065148C"/>
    <w:rsid w:val="00653890"/>
    <w:rsid w:val="006545EA"/>
    <w:rsid w:val="00654EFD"/>
    <w:rsid w:val="00656C3D"/>
    <w:rsid w:val="006576C1"/>
    <w:rsid w:val="006607D2"/>
    <w:rsid w:val="00660EDD"/>
    <w:rsid w:val="00663022"/>
    <w:rsid w:val="006648F6"/>
    <w:rsid w:val="006657DD"/>
    <w:rsid w:val="00665B61"/>
    <w:rsid w:val="0066716D"/>
    <w:rsid w:val="00667A05"/>
    <w:rsid w:val="006703C3"/>
    <w:rsid w:val="00674469"/>
    <w:rsid w:val="00674583"/>
    <w:rsid w:val="00674E5B"/>
    <w:rsid w:val="00677AAD"/>
    <w:rsid w:val="00677E6B"/>
    <w:rsid w:val="00677F74"/>
    <w:rsid w:val="006829AF"/>
    <w:rsid w:val="006835A3"/>
    <w:rsid w:val="00684870"/>
    <w:rsid w:val="00686586"/>
    <w:rsid w:val="00686FA7"/>
    <w:rsid w:val="00687A7F"/>
    <w:rsid w:val="00687D44"/>
    <w:rsid w:val="0069048C"/>
    <w:rsid w:val="0069290E"/>
    <w:rsid w:val="00692FAB"/>
    <w:rsid w:val="006954F5"/>
    <w:rsid w:val="006A1238"/>
    <w:rsid w:val="006A1B59"/>
    <w:rsid w:val="006A316D"/>
    <w:rsid w:val="006A4947"/>
    <w:rsid w:val="006A502A"/>
    <w:rsid w:val="006A5404"/>
    <w:rsid w:val="006A5600"/>
    <w:rsid w:val="006B0619"/>
    <w:rsid w:val="006B0D78"/>
    <w:rsid w:val="006B1227"/>
    <w:rsid w:val="006B178A"/>
    <w:rsid w:val="006B1C08"/>
    <w:rsid w:val="006B4DF5"/>
    <w:rsid w:val="006C1FED"/>
    <w:rsid w:val="006C4E17"/>
    <w:rsid w:val="006C55F9"/>
    <w:rsid w:val="006C7FC0"/>
    <w:rsid w:val="006D0F7A"/>
    <w:rsid w:val="006D23B6"/>
    <w:rsid w:val="006D3FE8"/>
    <w:rsid w:val="006D40AC"/>
    <w:rsid w:val="006D496E"/>
    <w:rsid w:val="006D5AE4"/>
    <w:rsid w:val="006D6D17"/>
    <w:rsid w:val="006D6F69"/>
    <w:rsid w:val="006D70F4"/>
    <w:rsid w:val="006E18CF"/>
    <w:rsid w:val="006E54C7"/>
    <w:rsid w:val="006E61B0"/>
    <w:rsid w:val="006F0573"/>
    <w:rsid w:val="006F1046"/>
    <w:rsid w:val="006F2666"/>
    <w:rsid w:val="006F5654"/>
    <w:rsid w:val="006F646C"/>
    <w:rsid w:val="006F7C84"/>
    <w:rsid w:val="0070108E"/>
    <w:rsid w:val="0070240D"/>
    <w:rsid w:val="00702D55"/>
    <w:rsid w:val="0070542B"/>
    <w:rsid w:val="00705A14"/>
    <w:rsid w:val="00711A18"/>
    <w:rsid w:val="007132B6"/>
    <w:rsid w:val="00713D2D"/>
    <w:rsid w:val="00713EBC"/>
    <w:rsid w:val="0071783E"/>
    <w:rsid w:val="00724BC5"/>
    <w:rsid w:val="00725758"/>
    <w:rsid w:val="0072615A"/>
    <w:rsid w:val="00727B6C"/>
    <w:rsid w:val="007336B8"/>
    <w:rsid w:val="007344A9"/>
    <w:rsid w:val="0073510C"/>
    <w:rsid w:val="00736A97"/>
    <w:rsid w:val="00736CFF"/>
    <w:rsid w:val="00741F24"/>
    <w:rsid w:val="0074467E"/>
    <w:rsid w:val="0074499C"/>
    <w:rsid w:val="007456AB"/>
    <w:rsid w:val="00745B05"/>
    <w:rsid w:val="00745CC8"/>
    <w:rsid w:val="00746A64"/>
    <w:rsid w:val="00746D19"/>
    <w:rsid w:val="007509B7"/>
    <w:rsid w:val="00750DB7"/>
    <w:rsid w:val="00751FE9"/>
    <w:rsid w:val="00752127"/>
    <w:rsid w:val="00752616"/>
    <w:rsid w:val="00752B73"/>
    <w:rsid w:val="00753972"/>
    <w:rsid w:val="00753E2D"/>
    <w:rsid w:val="00753FA7"/>
    <w:rsid w:val="00754D86"/>
    <w:rsid w:val="007552F4"/>
    <w:rsid w:val="0075531A"/>
    <w:rsid w:val="007601FB"/>
    <w:rsid w:val="0076063B"/>
    <w:rsid w:val="007634AA"/>
    <w:rsid w:val="00766F10"/>
    <w:rsid w:val="00770628"/>
    <w:rsid w:val="00770E07"/>
    <w:rsid w:val="00770E89"/>
    <w:rsid w:val="007712A0"/>
    <w:rsid w:val="00771CCE"/>
    <w:rsid w:val="0077211D"/>
    <w:rsid w:val="00772A39"/>
    <w:rsid w:val="00773849"/>
    <w:rsid w:val="00777D48"/>
    <w:rsid w:val="00781682"/>
    <w:rsid w:val="007856DA"/>
    <w:rsid w:val="007859E9"/>
    <w:rsid w:val="007862AA"/>
    <w:rsid w:val="00787C44"/>
    <w:rsid w:val="0079279A"/>
    <w:rsid w:val="00792AB6"/>
    <w:rsid w:val="00794ED4"/>
    <w:rsid w:val="007956F5"/>
    <w:rsid w:val="0079597C"/>
    <w:rsid w:val="007A3FB2"/>
    <w:rsid w:val="007A4997"/>
    <w:rsid w:val="007A4A0D"/>
    <w:rsid w:val="007A5390"/>
    <w:rsid w:val="007A5DEB"/>
    <w:rsid w:val="007A745B"/>
    <w:rsid w:val="007A7CA4"/>
    <w:rsid w:val="007B1C53"/>
    <w:rsid w:val="007B714A"/>
    <w:rsid w:val="007B7965"/>
    <w:rsid w:val="007B7F87"/>
    <w:rsid w:val="007C014B"/>
    <w:rsid w:val="007C0EE9"/>
    <w:rsid w:val="007C1F7D"/>
    <w:rsid w:val="007C245A"/>
    <w:rsid w:val="007C2D4D"/>
    <w:rsid w:val="007C33C2"/>
    <w:rsid w:val="007C4926"/>
    <w:rsid w:val="007C6091"/>
    <w:rsid w:val="007C78EB"/>
    <w:rsid w:val="007D0444"/>
    <w:rsid w:val="007D0574"/>
    <w:rsid w:val="007D159C"/>
    <w:rsid w:val="007D2323"/>
    <w:rsid w:val="007D333C"/>
    <w:rsid w:val="007D3CF9"/>
    <w:rsid w:val="007D51B6"/>
    <w:rsid w:val="007D58EF"/>
    <w:rsid w:val="007D6A05"/>
    <w:rsid w:val="007E1319"/>
    <w:rsid w:val="007E16B0"/>
    <w:rsid w:val="007E23BC"/>
    <w:rsid w:val="007E41A2"/>
    <w:rsid w:val="007E4318"/>
    <w:rsid w:val="007E45B8"/>
    <w:rsid w:val="007E4921"/>
    <w:rsid w:val="007E6190"/>
    <w:rsid w:val="007E6EC3"/>
    <w:rsid w:val="007E6FE2"/>
    <w:rsid w:val="007F124B"/>
    <w:rsid w:val="007F32D0"/>
    <w:rsid w:val="007F3D7B"/>
    <w:rsid w:val="007F3E14"/>
    <w:rsid w:val="00801243"/>
    <w:rsid w:val="0080165C"/>
    <w:rsid w:val="00802E0F"/>
    <w:rsid w:val="00802E17"/>
    <w:rsid w:val="00804924"/>
    <w:rsid w:val="008072BC"/>
    <w:rsid w:val="008073E6"/>
    <w:rsid w:val="008102DD"/>
    <w:rsid w:val="008120AB"/>
    <w:rsid w:val="00813A45"/>
    <w:rsid w:val="008142E8"/>
    <w:rsid w:val="00814654"/>
    <w:rsid w:val="00814D58"/>
    <w:rsid w:val="008153BA"/>
    <w:rsid w:val="00815771"/>
    <w:rsid w:val="00820ED0"/>
    <w:rsid w:val="00821620"/>
    <w:rsid w:val="00822864"/>
    <w:rsid w:val="00822AAA"/>
    <w:rsid w:val="0082656D"/>
    <w:rsid w:val="008272E9"/>
    <w:rsid w:val="00830683"/>
    <w:rsid w:val="008312BB"/>
    <w:rsid w:val="00831B7F"/>
    <w:rsid w:val="00832FAA"/>
    <w:rsid w:val="00833D01"/>
    <w:rsid w:val="008344FD"/>
    <w:rsid w:val="008404FE"/>
    <w:rsid w:val="00840911"/>
    <w:rsid w:val="00840CD5"/>
    <w:rsid w:val="008413E4"/>
    <w:rsid w:val="008426F1"/>
    <w:rsid w:val="00842D43"/>
    <w:rsid w:val="00844990"/>
    <w:rsid w:val="00850417"/>
    <w:rsid w:val="00850757"/>
    <w:rsid w:val="00851941"/>
    <w:rsid w:val="00852940"/>
    <w:rsid w:val="00853043"/>
    <w:rsid w:val="00854CC9"/>
    <w:rsid w:val="00854E4A"/>
    <w:rsid w:val="00854E60"/>
    <w:rsid w:val="008550E6"/>
    <w:rsid w:val="00856992"/>
    <w:rsid w:val="00857D12"/>
    <w:rsid w:val="00860045"/>
    <w:rsid w:val="00860234"/>
    <w:rsid w:val="00861733"/>
    <w:rsid w:val="00862224"/>
    <w:rsid w:val="00862286"/>
    <w:rsid w:val="00862A93"/>
    <w:rsid w:val="00863347"/>
    <w:rsid w:val="00864AF5"/>
    <w:rsid w:val="00865DCD"/>
    <w:rsid w:val="00865E60"/>
    <w:rsid w:val="0086651F"/>
    <w:rsid w:val="0086763E"/>
    <w:rsid w:val="00867D9E"/>
    <w:rsid w:val="00872786"/>
    <w:rsid w:val="00872F10"/>
    <w:rsid w:val="00876F4A"/>
    <w:rsid w:val="00880CED"/>
    <w:rsid w:val="00881F73"/>
    <w:rsid w:val="0088450F"/>
    <w:rsid w:val="00884737"/>
    <w:rsid w:val="0088613C"/>
    <w:rsid w:val="00887DC8"/>
    <w:rsid w:val="0089116B"/>
    <w:rsid w:val="008914B8"/>
    <w:rsid w:val="00892053"/>
    <w:rsid w:val="00893556"/>
    <w:rsid w:val="008956BA"/>
    <w:rsid w:val="008959A5"/>
    <w:rsid w:val="00895EE1"/>
    <w:rsid w:val="00897BA9"/>
    <w:rsid w:val="00897C77"/>
    <w:rsid w:val="00897E1C"/>
    <w:rsid w:val="008A1BD9"/>
    <w:rsid w:val="008A1F54"/>
    <w:rsid w:val="008A4F92"/>
    <w:rsid w:val="008A6107"/>
    <w:rsid w:val="008A6414"/>
    <w:rsid w:val="008A771B"/>
    <w:rsid w:val="008A7E92"/>
    <w:rsid w:val="008B0576"/>
    <w:rsid w:val="008B324B"/>
    <w:rsid w:val="008B3B1B"/>
    <w:rsid w:val="008B6492"/>
    <w:rsid w:val="008B7883"/>
    <w:rsid w:val="008C0731"/>
    <w:rsid w:val="008C37CB"/>
    <w:rsid w:val="008C383D"/>
    <w:rsid w:val="008C5C8A"/>
    <w:rsid w:val="008C73A0"/>
    <w:rsid w:val="008D0245"/>
    <w:rsid w:val="008D0792"/>
    <w:rsid w:val="008D1071"/>
    <w:rsid w:val="008D1DF4"/>
    <w:rsid w:val="008D67D5"/>
    <w:rsid w:val="008D740F"/>
    <w:rsid w:val="008E0B29"/>
    <w:rsid w:val="008E2274"/>
    <w:rsid w:val="008E2CC0"/>
    <w:rsid w:val="008E39E1"/>
    <w:rsid w:val="008E4B6C"/>
    <w:rsid w:val="008E5C62"/>
    <w:rsid w:val="008F17E4"/>
    <w:rsid w:val="008F1BD4"/>
    <w:rsid w:val="008F2274"/>
    <w:rsid w:val="008F4959"/>
    <w:rsid w:val="008F5E6A"/>
    <w:rsid w:val="008F6C6D"/>
    <w:rsid w:val="008F6FD6"/>
    <w:rsid w:val="009004B0"/>
    <w:rsid w:val="00901F79"/>
    <w:rsid w:val="00902484"/>
    <w:rsid w:val="009034C6"/>
    <w:rsid w:val="00904F48"/>
    <w:rsid w:val="00907202"/>
    <w:rsid w:val="00907637"/>
    <w:rsid w:val="00911952"/>
    <w:rsid w:val="00911C91"/>
    <w:rsid w:val="00913529"/>
    <w:rsid w:val="009138B8"/>
    <w:rsid w:val="00913D30"/>
    <w:rsid w:val="00914244"/>
    <w:rsid w:val="00914ACC"/>
    <w:rsid w:val="00915A3D"/>
    <w:rsid w:val="00915D2E"/>
    <w:rsid w:val="009167D8"/>
    <w:rsid w:val="00916AA6"/>
    <w:rsid w:val="00916F50"/>
    <w:rsid w:val="00917280"/>
    <w:rsid w:val="0092081B"/>
    <w:rsid w:val="00921912"/>
    <w:rsid w:val="00922A77"/>
    <w:rsid w:val="00922C68"/>
    <w:rsid w:val="00923EC6"/>
    <w:rsid w:val="00924C15"/>
    <w:rsid w:val="00925423"/>
    <w:rsid w:val="00926F5C"/>
    <w:rsid w:val="00927B29"/>
    <w:rsid w:val="00933AD1"/>
    <w:rsid w:val="00936CB1"/>
    <w:rsid w:val="00936FF1"/>
    <w:rsid w:val="00937742"/>
    <w:rsid w:val="00937CCC"/>
    <w:rsid w:val="0094116E"/>
    <w:rsid w:val="00942B52"/>
    <w:rsid w:val="009506E4"/>
    <w:rsid w:val="00952BD5"/>
    <w:rsid w:val="009533E0"/>
    <w:rsid w:val="00953B92"/>
    <w:rsid w:val="00954E95"/>
    <w:rsid w:val="00954EDA"/>
    <w:rsid w:val="0095530E"/>
    <w:rsid w:val="009559BA"/>
    <w:rsid w:val="00955C00"/>
    <w:rsid w:val="00955F2A"/>
    <w:rsid w:val="00955FBD"/>
    <w:rsid w:val="009574A6"/>
    <w:rsid w:val="009617C7"/>
    <w:rsid w:val="0096233C"/>
    <w:rsid w:val="009658F6"/>
    <w:rsid w:val="009675A0"/>
    <w:rsid w:val="0097447F"/>
    <w:rsid w:val="009760DA"/>
    <w:rsid w:val="009805C4"/>
    <w:rsid w:val="00980A1C"/>
    <w:rsid w:val="009845A7"/>
    <w:rsid w:val="0098521E"/>
    <w:rsid w:val="009855DB"/>
    <w:rsid w:val="00985D4F"/>
    <w:rsid w:val="00986408"/>
    <w:rsid w:val="00986A93"/>
    <w:rsid w:val="009871BD"/>
    <w:rsid w:val="00991400"/>
    <w:rsid w:val="00992BDC"/>
    <w:rsid w:val="00993DA4"/>
    <w:rsid w:val="0099460E"/>
    <w:rsid w:val="009972E7"/>
    <w:rsid w:val="009973AA"/>
    <w:rsid w:val="00997913"/>
    <w:rsid w:val="00997F5D"/>
    <w:rsid w:val="009A073C"/>
    <w:rsid w:val="009A3EC0"/>
    <w:rsid w:val="009B034E"/>
    <w:rsid w:val="009B08D2"/>
    <w:rsid w:val="009B13E9"/>
    <w:rsid w:val="009B185C"/>
    <w:rsid w:val="009B4C54"/>
    <w:rsid w:val="009B690B"/>
    <w:rsid w:val="009C33CA"/>
    <w:rsid w:val="009C50FE"/>
    <w:rsid w:val="009C53BE"/>
    <w:rsid w:val="009D1DBA"/>
    <w:rsid w:val="009D2F8A"/>
    <w:rsid w:val="009D3151"/>
    <w:rsid w:val="009D77E1"/>
    <w:rsid w:val="009D78FD"/>
    <w:rsid w:val="009E02FE"/>
    <w:rsid w:val="009E1C78"/>
    <w:rsid w:val="009E31F2"/>
    <w:rsid w:val="009E5089"/>
    <w:rsid w:val="009E70A2"/>
    <w:rsid w:val="009E7D0D"/>
    <w:rsid w:val="009F1B32"/>
    <w:rsid w:val="009F4C04"/>
    <w:rsid w:val="009F54E3"/>
    <w:rsid w:val="009F556C"/>
    <w:rsid w:val="009F5817"/>
    <w:rsid w:val="009F5A72"/>
    <w:rsid w:val="009F6C13"/>
    <w:rsid w:val="009F7839"/>
    <w:rsid w:val="00A02A8D"/>
    <w:rsid w:val="00A06631"/>
    <w:rsid w:val="00A07755"/>
    <w:rsid w:val="00A10D7E"/>
    <w:rsid w:val="00A11FC5"/>
    <w:rsid w:val="00A159BD"/>
    <w:rsid w:val="00A16DC1"/>
    <w:rsid w:val="00A17C35"/>
    <w:rsid w:val="00A22801"/>
    <w:rsid w:val="00A23723"/>
    <w:rsid w:val="00A23C79"/>
    <w:rsid w:val="00A24874"/>
    <w:rsid w:val="00A24D4F"/>
    <w:rsid w:val="00A26259"/>
    <w:rsid w:val="00A27062"/>
    <w:rsid w:val="00A30480"/>
    <w:rsid w:val="00A35650"/>
    <w:rsid w:val="00A36FF3"/>
    <w:rsid w:val="00A375FC"/>
    <w:rsid w:val="00A37668"/>
    <w:rsid w:val="00A4413F"/>
    <w:rsid w:val="00A4619E"/>
    <w:rsid w:val="00A47990"/>
    <w:rsid w:val="00A50C2C"/>
    <w:rsid w:val="00A515FA"/>
    <w:rsid w:val="00A524CD"/>
    <w:rsid w:val="00A565A9"/>
    <w:rsid w:val="00A56E05"/>
    <w:rsid w:val="00A62B21"/>
    <w:rsid w:val="00A634C8"/>
    <w:rsid w:val="00A63624"/>
    <w:rsid w:val="00A63DFD"/>
    <w:rsid w:val="00A64690"/>
    <w:rsid w:val="00A64B7F"/>
    <w:rsid w:val="00A65099"/>
    <w:rsid w:val="00A65405"/>
    <w:rsid w:val="00A669FD"/>
    <w:rsid w:val="00A7244B"/>
    <w:rsid w:val="00A72B46"/>
    <w:rsid w:val="00A72BC7"/>
    <w:rsid w:val="00A7433D"/>
    <w:rsid w:val="00A74BEB"/>
    <w:rsid w:val="00A752FB"/>
    <w:rsid w:val="00A75E07"/>
    <w:rsid w:val="00A76919"/>
    <w:rsid w:val="00A76F1E"/>
    <w:rsid w:val="00A77FD8"/>
    <w:rsid w:val="00A82AA6"/>
    <w:rsid w:val="00A858E6"/>
    <w:rsid w:val="00A85E5A"/>
    <w:rsid w:val="00A86D8D"/>
    <w:rsid w:val="00A876D9"/>
    <w:rsid w:val="00A87D86"/>
    <w:rsid w:val="00A900D7"/>
    <w:rsid w:val="00A907C2"/>
    <w:rsid w:val="00A90F95"/>
    <w:rsid w:val="00A91147"/>
    <w:rsid w:val="00A91322"/>
    <w:rsid w:val="00A9230C"/>
    <w:rsid w:val="00A9384E"/>
    <w:rsid w:val="00A940F4"/>
    <w:rsid w:val="00A941CD"/>
    <w:rsid w:val="00A95E66"/>
    <w:rsid w:val="00A9641A"/>
    <w:rsid w:val="00A96C09"/>
    <w:rsid w:val="00A976FA"/>
    <w:rsid w:val="00A97857"/>
    <w:rsid w:val="00AA166A"/>
    <w:rsid w:val="00AA35C2"/>
    <w:rsid w:val="00AA651C"/>
    <w:rsid w:val="00AA7610"/>
    <w:rsid w:val="00AB0521"/>
    <w:rsid w:val="00AB1E57"/>
    <w:rsid w:val="00AB399D"/>
    <w:rsid w:val="00AB435C"/>
    <w:rsid w:val="00AB46A5"/>
    <w:rsid w:val="00AB4C60"/>
    <w:rsid w:val="00AB4FDA"/>
    <w:rsid w:val="00AC075E"/>
    <w:rsid w:val="00AC12AD"/>
    <w:rsid w:val="00AC138A"/>
    <w:rsid w:val="00AC15DF"/>
    <w:rsid w:val="00AC1647"/>
    <w:rsid w:val="00AC1A9E"/>
    <w:rsid w:val="00AC25EB"/>
    <w:rsid w:val="00AC2C85"/>
    <w:rsid w:val="00AC3139"/>
    <w:rsid w:val="00AC34EA"/>
    <w:rsid w:val="00AC5C02"/>
    <w:rsid w:val="00AC62A2"/>
    <w:rsid w:val="00AC72FE"/>
    <w:rsid w:val="00AD12C2"/>
    <w:rsid w:val="00AD4853"/>
    <w:rsid w:val="00AD4D54"/>
    <w:rsid w:val="00AD5B06"/>
    <w:rsid w:val="00AD628E"/>
    <w:rsid w:val="00AE03B1"/>
    <w:rsid w:val="00AE061A"/>
    <w:rsid w:val="00AE138A"/>
    <w:rsid w:val="00AE2ECA"/>
    <w:rsid w:val="00AE3729"/>
    <w:rsid w:val="00AE392F"/>
    <w:rsid w:val="00AE685D"/>
    <w:rsid w:val="00AE6E38"/>
    <w:rsid w:val="00AE7998"/>
    <w:rsid w:val="00AF4285"/>
    <w:rsid w:val="00AF4979"/>
    <w:rsid w:val="00AF4D61"/>
    <w:rsid w:val="00AF52C0"/>
    <w:rsid w:val="00AF56C5"/>
    <w:rsid w:val="00B00A2C"/>
    <w:rsid w:val="00B012C0"/>
    <w:rsid w:val="00B028ED"/>
    <w:rsid w:val="00B029E8"/>
    <w:rsid w:val="00B052D0"/>
    <w:rsid w:val="00B06207"/>
    <w:rsid w:val="00B06C74"/>
    <w:rsid w:val="00B07CC8"/>
    <w:rsid w:val="00B11565"/>
    <w:rsid w:val="00B1196A"/>
    <w:rsid w:val="00B11BD9"/>
    <w:rsid w:val="00B12E4C"/>
    <w:rsid w:val="00B12FD3"/>
    <w:rsid w:val="00B1363C"/>
    <w:rsid w:val="00B14ECA"/>
    <w:rsid w:val="00B15341"/>
    <w:rsid w:val="00B16F4D"/>
    <w:rsid w:val="00B1713F"/>
    <w:rsid w:val="00B205BF"/>
    <w:rsid w:val="00B20766"/>
    <w:rsid w:val="00B20BE2"/>
    <w:rsid w:val="00B23183"/>
    <w:rsid w:val="00B2641B"/>
    <w:rsid w:val="00B26FEA"/>
    <w:rsid w:val="00B27BF7"/>
    <w:rsid w:val="00B31902"/>
    <w:rsid w:val="00B3228E"/>
    <w:rsid w:val="00B32762"/>
    <w:rsid w:val="00B34AEF"/>
    <w:rsid w:val="00B36225"/>
    <w:rsid w:val="00B37743"/>
    <w:rsid w:val="00B377BE"/>
    <w:rsid w:val="00B379FC"/>
    <w:rsid w:val="00B40075"/>
    <w:rsid w:val="00B41019"/>
    <w:rsid w:val="00B44E9C"/>
    <w:rsid w:val="00B46765"/>
    <w:rsid w:val="00B47615"/>
    <w:rsid w:val="00B505C1"/>
    <w:rsid w:val="00B51E90"/>
    <w:rsid w:val="00B534B0"/>
    <w:rsid w:val="00B5420C"/>
    <w:rsid w:val="00B54DE0"/>
    <w:rsid w:val="00B55327"/>
    <w:rsid w:val="00B579CE"/>
    <w:rsid w:val="00B57A63"/>
    <w:rsid w:val="00B61CDD"/>
    <w:rsid w:val="00B63AB5"/>
    <w:rsid w:val="00B63BA9"/>
    <w:rsid w:val="00B66480"/>
    <w:rsid w:val="00B6658B"/>
    <w:rsid w:val="00B71222"/>
    <w:rsid w:val="00B72142"/>
    <w:rsid w:val="00B725A8"/>
    <w:rsid w:val="00B7344E"/>
    <w:rsid w:val="00B753B6"/>
    <w:rsid w:val="00B753D8"/>
    <w:rsid w:val="00B80F22"/>
    <w:rsid w:val="00B819D1"/>
    <w:rsid w:val="00B81B3A"/>
    <w:rsid w:val="00B81C06"/>
    <w:rsid w:val="00B82035"/>
    <w:rsid w:val="00B84DE5"/>
    <w:rsid w:val="00B8507C"/>
    <w:rsid w:val="00B8557D"/>
    <w:rsid w:val="00B85580"/>
    <w:rsid w:val="00B86DBA"/>
    <w:rsid w:val="00B86E7E"/>
    <w:rsid w:val="00B87618"/>
    <w:rsid w:val="00B90B13"/>
    <w:rsid w:val="00B90B4D"/>
    <w:rsid w:val="00B92631"/>
    <w:rsid w:val="00B95104"/>
    <w:rsid w:val="00B9592C"/>
    <w:rsid w:val="00B96134"/>
    <w:rsid w:val="00BA1F5E"/>
    <w:rsid w:val="00BA31DA"/>
    <w:rsid w:val="00BA481F"/>
    <w:rsid w:val="00BA4E53"/>
    <w:rsid w:val="00BA7B57"/>
    <w:rsid w:val="00BB06A2"/>
    <w:rsid w:val="00BB0D18"/>
    <w:rsid w:val="00BB0E63"/>
    <w:rsid w:val="00BB148A"/>
    <w:rsid w:val="00BB26F2"/>
    <w:rsid w:val="00BB3140"/>
    <w:rsid w:val="00BB3CC7"/>
    <w:rsid w:val="00BB6128"/>
    <w:rsid w:val="00BB6657"/>
    <w:rsid w:val="00BC1478"/>
    <w:rsid w:val="00BC14EA"/>
    <w:rsid w:val="00BC1FB9"/>
    <w:rsid w:val="00BC21BE"/>
    <w:rsid w:val="00BC2C70"/>
    <w:rsid w:val="00BC436D"/>
    <w:rsid w:val="00BC7FE1"/>
    <w:rsid w:val="00BD563E"/>
    <w:rsid w:val="00BD5D77"/>
    <w:rsid w:val="00BD6F4C"/>
    <w:rsid w:val="00BD7BE7"/>
    <w:rsid w:val="00BE1876"/>
    <w:rsid w:val="00BE2BEF"/>
    <w:rsid w:val="00BE3168"/>
    <w:rsid w:val="00BE3B79"/>
    <w:rsid w:val="00BE726F"/>
    <w:rsid w:val="00BF04DD"/>
    <w:rsid w:val="00BF0D8D"/>
    <w:rsid w:val="00BF1029"/>
    <w:rsid w:val="00BF2233"/>
    <w:rsid w:val="00BF2DB0"/>
    <w:rsid w:val="00BF3983"/>
    <w:rsid w:val="00BF49FA"/>
    <w:rsid w:val="00BF4BB0"/>
    <w:rsid w:val="00BF715F"/>
    <w:rsid w:val="00C00904"/>
    <w:rsid w:val="00C018DF"/>
    <w:rsid w:val="00C01E82"/>
    <w:rsid w:val="00C02386"/>
    <w:rsid w:val="00C02881"/>
    <w:rsid w:val="00C02E10"/>
    <w:rsid w:val="00C0335B"/>
    <w:rsid w:val="00C0546F"/>
    <w:rsid w:val="00C05F1C"/>
    <w:rsid w:val="00C066AC"/>
    <w:rsid w:val="00C06DEB"/>
    <w:rsid w:val="00C07805"/>
    <w:rsid w:val="00C10C5E"/>
    <w:rsid w:val="00C12856"/>
    <w:rsid w:val="00C12D61"/>
    <w:rsid w:val="00C1426D"/>
    <w:rsid w:val="00C16154"/>
    <w:rsid w:val="00C166E3"/>
    <w:rsid w:val="00C16C83"/>
    <w:rsid w:val="00C17431"/>
    <w:rsid w:val="00C2000A"/>
    <w:rsid w:val="00C2105E"/>
    <w:rsid w:val="00C21D1E"/>
    <w:rsid w:val="00C22338"/>
    <w:rsid w:val="00C228DB"/>
    <w:rsid w:val="00C23CF3"/>
    <w:rsid w:val="00C2670A"/>
    <w:rsid w:val="00C30C78"/>
    <w:rsid w:val="00C3421A"/>
    <w:rsid w:val="00C347D9"/>
    <w:rsid w:val="00C3621E"/>
    <w:rsid w:val="00C36398"/>
    <w:rsid w:val="00C4388D"/>
    <w:rsid w:val="00C43BBC"/>
    <w:rsid w:val="00C43C3A"/>
    <w:rsid w:val="00C43D61"/>
    <w:rsid w:val="00C4482F"/>
    <w:rsid w:val="00C4688F"/>
    <w:rsid w:val="00C46F56"/>
    <w:rsid w:val="00C50D19"/>
    <w:rsid w:val="00C50E96"/>
    <w:rsid w:val="00C5103B"/>
    <w:rsid w:val="00C51CD9"/>
    <w:rsid w:val="00C53AD6"/>
    <w:rsid w:val="00C54C1A"/>
    <w:rsid w:val="00C54C30"/>
    <w:rsid w:val="00C551B4"/>
    <w:rsid w:val="00C57CC0"/>
    <w:rsid w:val="00C57CEF"/>
    <w:rsid w:val="00C623D2"/>
    <w:rsid w:val="00C63D02"/>
    <w:rsid w:val="00C63E2C"/>
    <w:rsid w:val="00C63F16"/>
    <w:rsid w:val="00C640D0"/>
    <w:rsid w:val="00C665E3"/>
    <w:rsid w:val="00C66AF6"/>
    <w:rsid w:val="00C66F18"/>
    <w:rsid w:val="00C67CAD"/>
    <w:rsid w:val="00C67E8B"/>
    <w:rsid w:val="00C70E8C"/>
    <w:rsid w:val="00C72504"/>
    <w:rsid w:val="00C72DF5"/>
    <w:rsid w:val="00C74C65"/>
    <w:rsid w:val="00C77A0E"/>
    <w:rsid w:val="00C82632"/>
    <w:rsid w:val="00C828B9"/>
    <w:rsid w:val="00C842D5"/>
    <w:rsid w:val="00C85A9B"/>
    <w:rsid w:val="00C8767A"/>
    <w:rsid w:val="00C87EB5"/>
    <w:rsid w:val="00C9223F"/>
    <w:rsid w:val="00C93DAE"/>
    <w:rsid w:val="00C94966"/>
    <w:rsid w:val="00C94E0B"/>
    <w:rsid w:val="00C959EA"/>
    <w:rsid w:val="00C962DA"/>
    <w:rsid w:val="00C96374"/>
    <w:rsid w:val="00CA0206"/>
    <w:rsid w:val="00CA06A0"/>
    <w:rsid w:val="00CA0780"/>
    <w:rsid w:val="00CA1A1A"/>
    <w:rsid w:val="00CA2C00"/>
    <w:rsid w:val="00CA448C"/>
    <w:rsid w:val="00CA55EC"/>
    <w:rsid w:val="00CA6236"/>
    <w:rsid w:val="00CA625F"/>
    <w:rsid w:val="00CA7815"/>
    <w:rsid w:val="00CB0BC6"/>
    <w:rsid w:val="00CB0D46"/>
    <w:rsid w:val="00CB3BCE"/>
    <w:rsid w:val="00CB569B"/>
    <w:rsid w:val="00CB5ED7"/>
    <w:rsid w:val="00CB7211"/>
    <w:rsid w:val="00CB7B63"/>
    <w:rsid w:val="00CB7F62"/>
    <w:rsid w:val="00CC21CB"/>
    <w:rsid w:val="00CC34BB"/>
    <w:rsid w:val="00CC37BE"/>
    <w:rsid w:val="00CC3FD2"/>
    <w:rsid w:val="00CC54E9"/>
    <w:rsid w:val="00CC6126"/>
    <w:rsid w:val="00CD08FA"/>
    <w:rsid w:val="00CD1004"/>
    <w:rsid w:val="00CD11D5"/>
    <w:rsid w:val="00CD31B3"/>
    <w:rsid w:val="00CD31CA"/>
    <w:rsid w:val="00CD342C"/>
    <w:rsid w:val="00CD4ABA"/>
    <w:rsid w:val="00CD6266"/>
    <w:rsid w:val="00CD71C5"/>
    <w:rsid w:val="00CD7FF6"/>
    <w:rsid w:val="00CE0FF1"/>
    <w:rsid w:val="00CE174C"/>
    <w:rsid w:val="00CE1C2F"/>
    <w:rsid w:val="00CE36B3"/>
    <w:rsid w:val="00CE36B6"/>
    <w:rsid w:val="00CE3DD1"/>
    <w:rsid w:val="00CE48F4"/>
    <w:rsid w:val="00CE53A6"/>
    <w:rsid w:val="00CE5E0B"/>
    <w:rsid w:val="00CE60F5"/>
    <w:rsid w:val="00CE61A2"/>
    <w:rsid w:val="00CE642E"/>
    <w:rsid w:val="00CE64F2"/>
    <w:rsid w:val="00CE6649"/>
    <w:rsid w:val="00CE70F5"/>
    <w:rsid w:val="00CE71F9"/>
    <w:rsid w:val="00CE7EED"/>
    <w:rsid w:val="00CF04F5"/>
    <w:rsid w:val="00CF06FD"/>
    <w:rsid w:val="00CF1ABF"/>
    <w:rsid w:val="00CF2528"/>
    <w:rsid w:val="00CF5BDF"/>
    <w:rsid w:val="00CF6FD3"/>
    <w:rsid w:val="00CF704C"/>
    <w:rsid w:val="00D0011B"/>
    <w:rsid w:val="00D02EF7"/>
    <w:rsid w:val="00D03555"/>
    <w:rsid w:val="00D0458A"/>
    <w:rsid w:val="00D05BBE"/>
    <w:rsid w:val="00D07003"/>
    <w:rsid w:val="00D07064"/>
    <w:rsid w:val="00D10D54"/>
    <w:rsid w:val="00D11DD5"/>
    <w:rsid w:val="00D13302"/>
    <w:rsid w:val="00D13FB2"/>
    <w:rsid w:val="00D1460B"/>
    <w:rsid w:val="00D1499F"/>
    <w:rsid w:val="00D159D2"/>
    <w:rsid w:val="00D163E6"/>
    <w:rsid w:val="00D16FF5"/>
    <w:rsid w:val="00D17A11"/>
    <w:rsid w:val="00D17DF3"/>
    <w:rsid w:val="00D204F4"/>
    <w:rsid w:val="00D20EC0"/>
    <w:rsid w:val="00D21860"/>
    <w:rsid w:val="00D22DB2"/>
    <w:rsid w:val="00D25956"/>
    <w:rsid w:val="00D26E18"/>
    <w:rsid w:val="00D30A26"/>
    <w:rsid w:val="00D311AC"/>
    <w:rsid w:val="00D32DF0"/>
    <w:rsid w:val="00D3427C"/>
    <w:rsid w:val="00D3475B"/>
    <w:rsid w:val="00D402EA"/>
    <w:rsid w:val="00D4067D"/>
    <w:rsid w:val="00D40D88"/>
    <w:rsid w:val="00D43A2C"/>
    <w:rsid w:val="00D4573E"/>
    <w:rsid w:val="00D45D10"/>
    <w:rsid w:val="00D46239"/>
    <w:rsid w:val="00D47D41"/>
    <w:rsid w:val="00D47F89"/>
    <w:rsid w:val="00D51DB2"/>
    <w:rsid w:val="00D535BC"/>
    <w:rsid w:val="00D53B29"/>
    <w:rsid w:val="00D53E36"/>
    <w:rsid w:val="00D57233"/>
    <w:rsid w:val="00D57839"/>
    <w:rsid w:val="00D60304"/>
    <w:rsid w:val="00D60999"/>
    <w:rsid w:val="00D60E7D"/>
    <w:rsid w:val="00D60FE2"/>
    <w:rsid w:val="00D61A48"/>
    <w:rsid w:val="00D621CD"/>
    <w:rsid w:val="00D62E43"/>
    <w:rsid w:val="00D66DF8"/>
    <w:rsid w:val="00D716C3"/>
    <w:rsid w:val="00D74940"/>
    <w:rsid w:val="00D757BF"/>
    <w:rsid w:val="00D75984"/>
    <w:rsid w:val="00D75ABC"/>
    <w:rsid w:val="00D76094"/>
    <w:rsid w:val="00D80C22"/>
    <w:rsid w:val="00D81029"/>
    <w:rsid w:val="00D825BB"/>
    <w:rsid w:val="00D83255"/>
    <w:rsid w:val="00D83264"/>
    <w:rsid w:val="00D83715"/>
    <w:rsid w:val="00D87347"/>
    <w:rsid w:val="00D90A2E"/>
    <w:rsid w:val="00D911C5"/>
    <w:rsid w:val="00D91237"/>
    <w:rsid w:val="00D92024"/>
    <w:rsid w:val="00D92C76"/>
    <w:rsid w:val="00D933BF"/>
    <w:rsid w:val="00D943FE"/>
    <w:rsid w:val="00D95A29"/>
    <w:rsid w:val="00DA143A"/>
    <w:rsid w:val="00DA296A"/>
    <w:rsid w:val="00DA3766"/>
    <w:rsid w:val="00DA4D60"/>
    <w:rsid w:val="00DA59D3"/>
    <w:rsid w:val="00DA5CEB"/>
    <w:rsid w:val="00DA5F21"/>
    <w:rsid w:val="00DA62FE"/>
    <w:rsid w:val="00DA73B6"/>
    <w:rsid w:val="00DB00BB"/>
    <w:rsid w:val="00DB078C"/>
    <w:rsid w:val="00DB0A39"/>
    <w:rsid w:val="00DB0A76"/>
    <w:rsid w:val="00DB0D9C"/>
    <w:rsid w:val="00DB1444"/>
    <w:rsid w:val="00DB1510"/>
    <w:rsid w:val="00DB199B"/>
    <w:rsid w:val="00DB1AB3"/>
    <w:rsid w:val="00DB3CEA"/>
    <w:rsid w:val="00DB4209"/>
    <w:rsid w:val="00DB762E"/>
    <w:rsid w:val="00DC0785"/>
    <w:rsid w:val="00DC26A5"/>
    <w:rsid w:val="00DC299E"/>
    <w:rsid w:val="00DC3E33"/>
    <w:rsid w:val="00DC5522"/>
    <w:rsid w:val="00DC5F03"/>
    <w:rsid w:val="00DC7132"/>
    <w:rsid w:val="00DD0640"/>
    <w:rsid w:val="00DD118A"/>
    <w:rsid w:val="00DD47EE"/>
    <w:rsid w:val="00DD489C"/>
    <w:rsid w:val="00DD54FD"/>
    <w:rsid w:val="00DD7F67"/>
    <w:rsid w:val="00DE0C9D"/>
    <w:rsid w:val="00DE3560"/>
    <w:rsid w:val="00DE3B55"/>
    <w:rsid w:val="00DE65E3"/>
    <w:rsid w:val="00DE702F"/>
    <w:rsid w:val="00DF1841"/>
    <w:rsid w:val="00DF294F"/>
    <w:rsid w:val="00DF3926"/>
    <w:rsid w:val="00DF4152"/>
    <w:rsid w:val="00DF529C"/>
    <w:rsid w:val="00DF537D"/>
    <w:rsid w:val="00DF7EAC"/>
    <w:rsid w:val="00E01830"/>
    <w:rsid w:val="00E02A5E"/>
    <w:rsid w:val="00E02F35"/>
    <w:rsid w:val="00E049C9"/>
    <w:rsid w:val="00E05D46"/>
    <w:rsid w:val="00E07223"/>
    <w:rsid w:val="00E11CAA"/>
    <w:rsid w:val="00E158A3"/>
    <w:rsid w:val="00E16C4D"/>
    <w:rsid w:val="00E214FC"/>
    <w:rsid w:val="00E252F2"/>
    <w:rsid w:val="00E27421"/>
    <w:rsid w:val="00E27A5E"/>
    <w:rsid w:val="00E3019C"/>
    <w:rsid w:val="00E314FF"/>
    <w:rsid w:val="00E35159"/>
    <w:rsid w:val="00E3643D"/>
    <w:rsid w:val="00E4060C"/>
    <w:rsid w:val="00E420F5"/>
    <w:rsid w:val="00E428AB"/>
    <w:rsid w:val="00E43A78"/>
    <w:rsid w:val="00E450B4"/>
    <w:rsid w:val="00E46B83"/>
    <w:rsid w:val="00E47DAB"/>
    <w:rsid w:val="00E51597"/>
    <w:rsid w:val="00E516B4"/>
    <w:rsid w:val="00E516D4"/>
    <w:rsid w:val="00E51AB7"/>
    <w:rsid w:val="00E51CDF"/>
    <w:rsid w:val="00E52F85"/>
    <w:rsid w:val="00E549B1"/>
    <w:rsid w:val="00E54C71"/>
    <w:rsid w:val="00E5714B"/>
    <w:rsid w:val="00E57219"/>
    <w:rsid w:val="00E57BEA"/>
    <w:rsid w:val="00E57D1C"/>
    <w:rsid w:val="00E610E5"/>
    <w:rsid w:val="00E62032"/>
    <w:rsid w:val="00E622A4"/>
    <w:rsid w:val="00E6257B"/>
    <w:rsid w:val="00E62AD3"/>
    <w:rsid w:val="00E65887"/>
    <w:rsid w:val="00E66854"/>
    <w:rsid w:val="00E714ED"/>
    <w:rsid w:val="00E739B3"/>
    <w:rsid w:val="00E73FC9"/>
    <w:rsid w:val="00E745F2"/>
    <w:rsid w:val="00E75F25"/>
    <w:rsid w:val="00E75F6A"/>
    <w:rsid w:val="00E768C7"/>
    <w:rsid w:val="00E77CB3"/>
    <w:rsid w:val="00E80BD8"/>
    <w:rsid w:val="00E815A9"/>
    <w:rsid w:val="00E82898"/>
    <w:rsid w:val="00E82E81"/>
    <w:rsid w:val="00E838E0"/>
    <w:rsid w:val="00E83D24"/>
    <w:rsid w:val="00E86C5E"/>
    <w:rsid w:val="00E86DEA"/>
    <w:rsid w:val="00E873F0"/>
    <w:rsid w:val="00E87421"/>
    <w:rsid w:val="00E910B9"/>
    <w:rsid w:val="00E9270E"/>
    <w:rsid w:val="00E92F23"/>
    <w:rsid w:val="00E94DCF"/>
    <w:rsid w:val="00E957ED"/>
    <w:rsid w:val="00E95A05"/>
    <w:rsid w:val="00E968E8"/>
    <w:rsid w:val="00E97224"/>
    <w:rsid w:val="00E97BE9"/>
    <w:rsid w:val="00E97EDC"/>
    <w:rsid w:val="00E97F58"/>
    <w:rsid w:val="00EA1151"/>
    <w:rsid w:val="00EA20F3"/>
    <w:rsid w:val="00EA2BFA"/>
    <w:rsid w:val="00EA3C92"/>
    <w:rsid w:val="00EA617B"/>
    <w:rsid w:val="00EA744F"/>
    <w:rsid w:val="00EA7875"/>
    <w:rsid w:val="00EA7A97"/>
    <w:rsid w:val="00EB06F1"/>
    <w:rsid w:val="00EB269C"/>
    <w:rsid w:val="00EB2A6D"/>
    <w:rsid w:val="00EB33A4"/>
    <w:rsid w:val="00EB3F41"/>
    <w:rsid w:val="00EB7984"/>
    <w:rsid w:val="00EB7EDF"/>
    <w:rsid w:val="00EC03CE"/>
    <w:rsid w:val="00EC111D"/>
    <w:rsid w:val="00EC34F0"/>
    <w:rsid w:val="00EC36DD"/>
    <w:rsid w:val="00EC507E"/>
    <w:rsid w:val="00EC516A"/>
    <w:rsid w:val="00EC606B"/>
    <w:rsid w:val="00EC62E2"/>
    <w:rsid w:val="00EC718E"/>
    <w:rsid w:val="00ED09F9"/>
    <w:rsid w:val="00ED236F"/>
    <w:rsid w:val="00ED36AA"/>
    <w:rsid w:val="00ED43FF"/>
    <w:rsid w:val="00ED6887"/>
    <w:rsid w:val="00ED6A34"/>
    <w:rsid w:val="00EE01FD"/>
    <w:rsid w:val="00EE0C7A"/>
    <w:rsid w:val="00EE0F8A"/>
    <w:rsid w:val="00EE1974"/>
    <w:rsid w:val="00EE198A"/>
    <w:rsid w:val="00EE39AD"/>
    <w:rsid w:val="00EE4173"/>
    <w:rsid w:val="00EE42A0"/>
    <w:rsid w:val="00EE5217"/>
    <w:rsid w:val="00EE5DF5"/>
    <w:rsid w:val="00EE6562"/>
    <w:rsid w:val="00EE6866"/>
    <w:rsid w:val="00EE7A82"/>
    <w:rsid w:val="00EF0A3D"/>
    <w:rsid w:val="00EF0E35"/>
    <w:rsid w:val="00EF28A7"/>
    <w:rsid w:val="00EF3BAE"/>
    <w:rsid w:val="00EF4D1D"/>
    <w:rsid w:val="00EF7FBB"/>
    <w:rsid w:val="00F0160F"/>
    <w:rsid w:val="00F0411C"/>
    <w:rsid w:val="00F055B8"/>
    <w:rsid w:val="00F059F7"/>
    <w:rsid w:val="00F06739"/>
    <w:rsid w:val="00F06AAF"/>
    <w:rsid w:val="00F113D8"/>
    <w:rsid w:val="00F1166B"/>
    <w:rsid w:val="00F119F9"/>
    <w:rsid w:val="00F12110"/>
    <w:rsid w:val="00F12687"/>
    <w:rsid w:val="00F13E07"/>
    <w:rsid w:val="00F15387"/>
    <w:rsid w:val="00F16734"/>
    <w:rsid w:val="00F169C1"/>
    <w:rsid w:val="00F1759E"/>
    <w:rsid w:val="00F17BD5"/>
    <w:rsid w:val="00F20058"/>
    <w:rsid w:val="00F22A2F"/>
    <w:rsid w:val="00F23C28"/>
    <w:rsid w:val="00F305C4"/>
    <w:rsid w:val="00F31868"/>
    <w:rsid w:val="00F31904"/>
    <w:rsid w:val="00F35D16"/>
    <w:rsid w:val="00F3681A"/>
    <w:rsid w:val="00F3705F"/>
    <w:rsid w:val="00F37366"/>
    <w:rsid w:val="00F41A20"/>
    <w:rsid w:val="00F425F8"/>
    <w:rsid w:val="00F4330B"/>
    <w:rsid w:val="00F434B3"/>
    <w:rsid w:val="00F44F3E"/>
    <w:rsid w:val="00F50955"/>
    <w:rsid w:val="00F52264"/>
    <w:rsid w:val="00F5463E"/>
    <w:rsid w:val="00F54698"/>
    <w:rsid w:val="00F5509C"/>
    <w:rsid w:val="00F55E60"/>
    <w:rsid w:val="00F578EA"/>
    <w:rsid w:val="00F57957"/>
    <w:rsid w:val="00F62181"/>
    <w:rsid w:val="00F633D5"/>
    <w:rsid w:val="00F63560"/>
    <w:rsid w:val="00F635A7"/>
    <w:rsid w:val="00F6445F"/>
    <w:rsid w:val="00F65ADA"/>
    <w:rsid w:val="00F70D32"/>
    <w:rsid w:val="00F71601"/>
    <w:rsid w:val="00F71749"/>
    <w:rsid w:val="00F7437C"/>
    <w:rsid w:val="00F74942"/>
    <w:rsid w:val="00F75279"/>
    <w:rsid w:val="00F766FD"/>
    <w:rsid w:val="00F831E4"/>
    <w:rsid w:val="00F83EBF"/>
    <w:rsid w:val="00F84024"/>
    <w:rsid w:val="00F8475D"/>
    <w:rsid w:val="00F84845"/>
    <w:rsid w:val="00F869FD"/>
    <w:rsid w:val="00F86FEC"/>
    <w:rsid w:val="00F90120"/>
    <w:rsid w:val="00F9199B"/>
    <w:rsid w:val="00F93234"/>
    <w:rsid w:val="00F94EE5"/>
    <w:rsid w:val="00F96FF0"/>
    <w:rsid w:val="00F9793C"/>
    <w:rsid w:val="00FA1BBF"/>
    <w:rsid w:val="00FA3407"/>
    <w:rsid w:val="00FA6089"/>
    <w:rsid w:val="00FB0183"/>
    <w:rsid w:val="00FB0DF6"/>
    <w:rsid w:val="00FB16A4"/>
    <w:rsid w:val="00FB1F5B"/>
    <w:rsid w:val="00FB21AE"/>
    <w:rsid w:val="00FB21E5"/>
    <w:rsid w:val="00FB583B"/>
    <w:rsid w:val="00FB5A79"/>
    <w:rsid w:val="00FB70FF"/>
    <w:rsid w:val="00FC1CBA"/>
    <w:rsid w:val="00FC4AA5"/>
    <w:rsid w:val="00FC5328"/>
    <w:rsid w:val="00FC58EF"/>
    <w:rsid w:val="00FC5B3E"/>
    <w:rsid w:val="00FC67A5"/>
    <w:rsid w:val="00FC694D"/>
    <w:rsid w:val="00FD19BD"/>
    <w:rsid w:val="00FD34DD"/>
    <w:rsid w:val="00FD3E1C"/>
    <w:rsid w:val="00FD512E"/>
    <w:rsid w:val="00FD63AC"/>
    <w:rsid w:val="00FD75BD"/>
    <w:rsid w:val="00FE0F68"/>
    <w:rsid w:val="00FE399D"/>
    <w:rsid w:val="00FE4643"/>
    <w:rsid w:val="00FE4C46"/>
    <w:rsid w:val="00FE5B8F"/>
    <w:rsid w:val="00FE762F"/>
    <w:rsid w:val="00FE7D07"/>
    <w:rsid w:val="00FF00CF"/>
    <w:rsid w:val="00FF21B0"/>
    <w:rsid w:val="00FF2B06"/>
    <w:rsid w:val="00FF2DC6"/>
    <w:rsid w:val="00FF3761"/>
    <w:rsid w:val="00FF4FA9"/>
    <w:rsid w:val="00FF646E"/>
    <w:rsid w:val="00FF6483"/>
    <w:rsid w:val="00FF67CD"/>
    <w:rsid w:val="017CFAA8"/>
    <w:rsid w:val="11828DEC"/>
    <w:rsid w:val="13123A4B"/>
    <w:rsid w:val="1979B382"/>
    <w:rsid w:val="27C076BD"/>
    <w:rsid w:val="2B44659B"/>
    <w:rsid w:val="2E2942B8"/>
    <w:rsid w:val="2FF94968"/>
    <w:rsid w:val="323477FE"/>
    <w:rsid w:val="344C0B27"/>
    <w:rsid w:val="3ABE21DC"/>
    <w:rsid w:val="3C5D4A67"/>
    <w:rsid w:val="3D05BD5A"/>
    <w:rsid w:val="44B61590"/>
    <w:rsid w:val="45CAC95E"/>
    <w:rsid w:val="46833D4E"/>
    <w:rsid w:val="4AC5B1C5"/>
    <w:rsid w:val="4FB08917"/>
    <w:rsid w:val="5248DA9A"/>
    <w:rsid w:val="56F945B0"/>
    <w:rsid w:val="60CB19FF"/>
    <w:rsid w:val="6467928D"/>
    <w:rsid w:val="6D9D951A"/>
    <w:rsid w:val="749F7C14"/>
    <w:rsid w:val="787B3A2E"/>
    <w:rsid w:val="7B5FEC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E4601"/>
  <w15:chartTrackingRefBased/>
  <w15:docId w15:val="{949AF42A-39DE-4C74-9B25-9EDDCD21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D8"/>
    <w:rPr>
      <w:rFonts w:ascii="VIC" w:hAnsi="VIC"/>
      <w:sz w:val="20"/>
      <w:szCs w:val="21"/>
    </w:rPr>
  </w:style>
  <w:style w:type="paragraph" w:styleId="Heading1">
    <w:name w:val="heading 1"/>
    <w:basedOn w:val="Normal"/>
    <w:next w:val="Normal"/>
    <w:link w:val="Heading1Char"/>
    <w:uiPriority w:val="9"/>
    <w:qFormat/>
    <w:rsid w:val="00033643"/>
    <w:pPr>
      <w:keepNext/>
      <w:keepLines/>
      <w:spacing w:before="360" w:after="80"/>
      <w:outlineLvl w:val="0"/>
    </w:pPr>
    <w:rPr>
      <w:rFonts w:eastAsiaTheme="majorEastAsia" w:cstheme="majorBidi"/>
      <w:b/>
      <w:bCs/>
      <w:color w:val="0071CE" w:themeColor="accent1"/>
      <w:sz w:val="44"/>
      <w:szCs w:val="40"/>
    </w:rPr>
  </w:style>
  <w:style w:type="paragraph" w:styleId="Heading2">
    <w:name w:val="heading 2"/>
    <w:basedOn w:val="Normal"/>
    <w:next w:val="Normal"/>
    <w:link w:val="Heading2Char"/>
    <w:uiPriority w:val="9"/>
    <w:unhideWhenUsed/>
    <w:qFormat/>
    <w:rsid w:val="00033643"/>
    <w:pPr>
      <w:keepNext/>
      <w:keepLines/>
      <w:spacing w:before="160" w:after="80"/>
      <w:outlineLvl w:val="1"/>
    </w:pPr>
    <w:rPr>
      <w:rFonts w:eastAsiaTheme="majorEastAsia" w:cstheme="majorBidi"/>
      <w:b/>
      <w:color w:val="0071CE" w:themeColor="accent1"/>
      <w:sz w:val="28"/>
      <w:szCs w:val="32"/>
    </w:rPr>
  </w:style>
  <w:style w:type="paragraph" w:styleId="Heading3">
    <w:name w:val="heading 3"/>
    <w:basedOn w:val="Normal"/>
    <w:next w:val="Normal"/>
    <w:link w:val="Heading3Char"/>
    <w:uiPriority w:val="9"/>
    <w:unhideWhenUsed/>
    <w:qFormat/>
    <w:rsid w:val="008A771B"/>
    <w:pPr>
      <w:keepNext/>
      <w:keepLines/>
      <w:spacing w:before="160" w:after="80"/>
      <w:outlineLvl w:val="2"/>
    </w:pPr>
    <w:rPr>
      <w:rFonts w:ascii="VIC Medium" w:eastAsiaTheme="majorEastAsia" w:hAnsi="VIC Medium" w:cs="Times New Roman (Headings CS)"/>
      <w:color w:val="004C97" w:themeColor="accent2"/>
      <w:sz w:val="22"/>
      <w:szCs w:val="28"/>
    </w:rPr>
  </w:style>
  <w:style w:type="paragraph" w:styleId="Heading4">
    <w:name w:val="heading 4"/>
    <w:basedOn w:val="Normal"/>
    <w:next w:val="Normal"/>
    <w:link w:val="Heading4Char"/>
    <w:uiPriority w:val="9"/>
    <w:unhideWhenUsed/>
    <w:qFormat/>
    <w:rsid w:val="008A771B"/>
    <w:pPr>
      <w:keepNext/>
      <w:keepLines/>
      <w:spacing w:before="80" w:after="40"/>
      <w:outlineLvl w:val="3"/>
    </w:pPr>
    <w:rPr>
      <w:rFonts w:eastAsiaTheme="majorEastAsia" w:cstheme="majorBidi"/>
      <w:iCs/>
      <w:color w:val="201547" w:themeColor="text2"/>
    </w:rPr>
  </w:style>
  <w:style w:type="paragraph" w:styleId="Heading5">
    <w:name w:val="heading 5"/>
    <w:basedOn w:val="Normal"/>
    <w:next w:val="Normal"/>
    <w:link w:val="Heading5Char"/>
    <w:uiPriority w:val="9"/>
    <w:semiHidden/>
    <w:unhideWhenUsed/>
    <w:qFormat/>
    <w:rsid w:val="00CF1ABF"/>
    <w:pPr>
      <w:keepNext/>
      <w:keepLines/>
      <w:spacing w:before="80" w:after="40"/>
      <w:outlineLvl w:val="4"/>
    </w:pPr>
    <w:rPr>
      <w:rFonts w:eastAsiaTheme="majorEastAsia" w:cstheme="majorBidi"/>
      <w:color w:val="00539A" w:themeColor="accent1" w:themeShade="BF"/>
    </w:rPr>
  </w:style>
  <w:style w:type="paragraph" w:styleId="Heading6">
    <w:name w:val="heading 6"/>
    <w:basedOn w:val="Normal"/>
    <w:next w:val="Normal"/>
    <w:link w:val="Heading6Char"/>
    <w:uiPriority w:val="9"/>
    <w:semiHidden/>
    <w:unhideWhenUsed/>
    <w:qFormat/>
    <w:rsid w:val="00CF1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643"/>
    <w:rPr>
      <w:rFonts w:ascii="VIC" w:eastAsiaTheme="majorEastAsia" w:hAnsi="VIC" w:cstheme="majorBidi"/>
      <w:b/>
      <w:bCs/>
      <w:color w:val="0071CE" w:themeColor="accent1"/>
      <w:sz w:val="44"/>
      <w:szCs w:val="40"/>
    </w:rPr>
  </w:style>
  <w:style w:type="character" w:customStyle="1" w:styleId="Heading2Char">
    <w:name w:val="Heading 2 Char"/>
    <w:basedOn w:val="DefaultParagraphFont"/>
    <w:link w:val="Heading2"/>
    <w:uiPriority w:val="9"/>
    <w:rsid w:val="00033643"/>
    <w:rPr>
      <w:rFonts w:ascii="VIC" w:eastAsiaTheme="majorEastAsia" w:hAnsi="VIC" w:cstheme="majorBidi"/>
      <w:b/>
      <w:color w:val="0071CE" w:themeColor="accent1"/>
      <w:sz w:val="28"/>
      <w:szCs w:val="32"/>
    </w:rPr>
  </w:style>
  <w:style w:type="character" w:customStyle="1" w:styleId="Heading3Char">
    <w:name w:val="Heading 3 Char"/>
    <w:basedOn w:val="DefaultParagraphFont"/>
    <w:link w:val="Heading3"/>
    <w:uiPriority w:val="9"/>
    <w:rsid w:val="008A771B"/>
    <w:rPr>
      <w:rFonts w:ascii="VIC Medium" w:eastAsiaTheme="majorEastAsia" w:hAnsi="VIC Medium" w:cs="Times New Roman (Headings CS)"/>
      <w:color w:val="004C97" w:themeColor="accent2"/>
      <w:sz w:val="22"/>
      <w:szCs w:val="28"/>
    </w:rPr>
  </w:style>
  <w:style w:type="character" w:customStyle="1" w:styleId="Heading4Char">
    <w:name w:val="Heading 4 Char"/>
    <w:basedOn w:val="DefaultParagraphFont"/>
    <w:link w:val="Heading4"/>
    <w:uiPriority w:val="9"/>
    <w:rsid w:val="008A771B"/>
    <w:rPr>
      <w:rFonts w:eastAsiaTheme="majorEastAsia" w:cstheme="majorBidi"/>
      <w:iCs/>
      <w:color w:val="201547" w:themeColor="text2"/>
      <w:sz w:val="20"/>
      <w:szCs w:val="21"/>
    </w:rPr>
  </w:style>
  <w:style w:type="character" w:customStyle="1" w:styleId="Heading5Char">
    <w:name w:val="Heading 5 Char"/>
    <w:basedOn w:val="DefaultParagraphFont"/>
    <w:link w:val="Heading5"/>
    <w:uiPriority w:val="9"/>
    <w:semiHidden/>
    <w:rsid w:val="00CF1ABF"/>
    <w:rPr>
      <w:rFonts w:eastAsiaTheme="majorEastAsia" w:cstheme="majorBidi"/>
      <w:color w:val="00539A" w:themeColor="accent1" w:themeShade="BF"/>
    </w:rPr>
  </w:style>
  <w:style w:type="character" w:customStyle="1" w:styleId="Heading6Char">
    <w:name w:val="Heading 6 Char"/>
    <w:basedOn w:val="DefaultParagraphFont"/>
    <w:link w:val="Heading6"/>
    <w:uiPriority w:val="9"/>
    <w:semiHidden/>
    <w:rsid w:val="00CF1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ABF"/>
    <w:rPr>
      <w:rFonts w:eastAsiaTheme="majorEastAsia" w:cstheme="majorBidi"/>
      <w:color w:val="272727" w:themeColor="text1" w:themeTint="D8"/>
    </w:rPr>
  </w:style>
  <w:style w:type="paragraph" w:styleId="Title">
    <w:name w:val="Title"/>
    <w:basedOn w:val="Normal"/>
    <w:next w:val="Normal"/>
    <w:link w:val="TitleChar"/>
    <w:uiPriority w:val="10"/>
    <w:qFormat/>
    <w:rsid w:val="000D32B5"/>
    <w:pPr>
      <w:spacing w:after="80" w:line="240" w:lineRule="auto"/>
      <w:contextualSpacing/>
    </w:pPr>
    <w:rPr>
      <w:rFonts w:asciiTheme="majorHAnsi" w:eastAsiaTheme="majorEastAsia" w:hAnsiTheme="majorHAnsi" w:cstheme="majorBidi"/>
      <w:b/>
      <w:bCs/>
      <w:color w:val="FFFFFF" w:themeColor="background1"/>
      <w:spacing w:val="-10"/>
      <w:kern w:val="28"/>
      <w:sz w:val="56"/>
      <w:szCs w:val="56"/>
    </w:rPr>
  </w:style>
  <w:style w:type="character" w:customStyle="1" w:styleId="TitleChar">
    <w:name w:val="Title Char"/>
    <w:basedOn w:val="DefaultParagraphFont"/>
    <w:link w:val="Title"/>
    <w:uiPriority w:val="10"/>
    <w:rsid w:val="000D32B5"/>
    <w:rPr>
      <w:rFonts w:asciiTheme="majorHAnsi" w:eastAsiaTheme="majorEastAsia" w:hAnsiTheme="majorHAnsi" w:cstheme="majorBidi"/>
      <w:b/>
      <w:bCs/>
      <w:color w:val="FFFFFF" w:themeColor="background1"/>
      <w:spacing w:val="-10"/>
      <w:kern w:val="28"/>
      <w:sz w:val="56"/>
      <w:szCs w:val="56"/>
    </w:rPr>
  </w:style>
  <w:style w:type="paragraph" w:styleId="Subtitle">
    <w:name w:val="Subtitle"/>
    <w:basedOn w:val="Normal"/>
    <w:next w:val="Normal"/>
    <w:link w:val="SubtitleChar"/>
    <w:uiPriority w:val="11"/>
    <w:qFormat/>
    <w:rsid w:val="00CF1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ABF"/>
    <w:pPr>
      <w:spacing w:before="160"/>
      <w:jc w:val="center"/>
    </w:pPr>
    <w:rPr>
      <w:i/>
      <w:iCs/>
      <w:color w:val="404040" w:themeColor="text1" w:themeTint="BF"/>
    </w:rPr>
  </w:style>
  <w:style w:type="character" w:customStyle="1" w:styleId="QuoteChar">
    <w:name w:val="Quote Char"/>
    <w:basedOn w:val="DefaultParagraphFont"/>
    <w:link w:val="Quote"/>
    <w:uiPriority w:val="29"/>
    <w:rsid w:val="00CF1ABF"/>
    <w:rPr>
      <w:i/>
      <w:iCs/>
      <w:color w:val="404040" w:themeColor="text1" w:themeTint="BF"/>
    </w:rPr>
  </w:style>
  <w:style w:type="paragraph" w:styleId="ListParagraph">
    <w:name w:val="List Paragraph"/>
    <w:basedOn w:val="Normal"/>
    <w:uiPriority w:val="1"/>
    <w:qFormat/>
    <w:rsid w:val="00623C4C"/>
    <w:pPr>
      <w:numPr>
        <w:numId w:val="22"/>
      </w:numPr>
      <w:contextualSpacing/>
    </w:pPr>
  </w:style>
  <w:style w:type="character" w:styleId="IntenseEmphasis">
    <w:name w:val="Intense Emphasis"/>
    <w:basedOn w:val="DefaultParagraphFont"/>
    <w:uiPriority w:val="21"/>
    <w:qFormat/>
    <w:rsid w:val="00CF1ABF"/>
    <w:rPr>
      <w:i/>
      <w:iCs/>
      <w:color w:val="00539A" w:themeColor="accent1" w:themeShade="BF"/>
    </w:rPr>
  </w:style>
  <w:style w:type="paragraph" w:styleId="TOC1">
    <w:name w:val="toc 1"/>
    <w:basedOn w:val="Normal"/>
    <w:next w:val="Normal"/>
    <w:autoRedefine/>
    <w:uiPriority w:val="39"/>
    <w:unhideWhenUsed/>
    <w:rsid w:val="00D17DF3"/>
    <w:pPr>
      <w:spacing w:after="100"/>
    </w:pPr>
    <w:rPr>
      <w:rFonts w:asciiTheme="majorHAnsi" w:hAnsiTheme="majorHAnsi"/>
      <w:b/>
      <w:color w:val="0071CE" w:themeColor="accent1"/>
    </w:rPr>
  </w:style>
  <w:style w:type="paragraph" w:styleId="TOC2">
    <w:name w:val="toc 2"/>
    <w:basedOn w:val="Normal"/>
    <w:next w:val="Normal"/>
    <w:autoRedefine/>
    <w:uiPriority w:val="39"/>
    <w:unhideWhenUsed/>
    <w:rsid w:val="00942B52"/>
    <w:pPr>
      <w:spacing w:after="100"/>
      <w:ind w:left="200"/>
    </w:pPr>
  </w:style>
  <w:style w:type="character" w:styleId="Hyperlink">
    <w:name w:val="Hyperlink"/>
    <w:basedOn w:val="DefaultParagraphFont"/>
    <w:uiPriority w:val="99"/>
    <w:unhideWhenUsed/>
    <w:rsid w:val="00942B52"/>
    <w:rPr>
      <w:color w:val="0071CE" w:themeColor="hyperlink"/>
      <w:u w:val="single"/>
    </w:rPr>
  </w:style>
  <w:style w:type="paragraph" w:styleId="Footer">
    <w:name w:val="footer"/>
    <w:basedOn w:val="Normal"/>
    <w:link w:val="FooterChar"/>
    <w:uiPriority w:val="99"/>
    <w:unhideWhenUsed/>
    <w:rsid w:val="008A771B"/>
    <w:pPr>
      <w:tabs>
        <w:tab w:val="center" w:pos="4513"/>
        <w:tab w:val="right" w:pos="9026"/>
      </w:tabs>
      <w:spacing w:after="0" w:line="240" w:lineRule="auto"/>
    </w:pPr>
    <w:rPr>
      <w:color w:val="343741" w:themeColor="accent5"/>
      <w:sz w:val="18"/>
    </w:rPr>
  </w:style>
  <w:style w:type="character" w:customStyle="1" w:styleId="FooterChar">
    <w:name w:val="Footer Char"/>
    <w:basedOn w:val="DefaultParagraphFont"/>
    <w:link w:val="Footer"/>
    <w:uiPriority w:val="99"/>
    <w:rsid w:val="008A771B"/>
    <w:rPr>
      <w:color w:val="343741" w:themeColor="accent5"/>
      <w:sz w:val="18"/>
      <w:szCs w:val="21"/>
    </w:rPr>
  </w:style>
  <w:style w:type="paragraph" w:styleId="Header">
    <w:name w:val="header"/>
    <w:basedOn w:val="Normal"/>
    <w:link w:val="HeaderChar"/>
    <w:uiPriority w:val="99"/>
    <w:unhideWhenUsed/>
    <w:rsid w:val="008A771B"/>
    <w:pPr>
      <w:tabs>
        <w:tab w:val="center" w:pos="4513"/>
        <w:tab w:val="right" w:pos="9026"/>
      </w:tabs>
      <w:spacing w:after="0" w:line="240" w:lineRule="auto"/>
    </w:pPr>
    <w:rPr>
      <w:color w:val="343741" w:themeColor="accent5"/>
      <w:sz w:val="18"/>
    </w:rPr>
  </w:style>
  <w:style w:type="character" w:customStyle="1" w:styleId="HeaderChar">
    <w:name w:val="Header Char"/>
    <w:basedOn w:val="DefaultParagraphFont"/>
    <w:link w:val="Header"/>
    <w:uiPriority w:val="99"/>
    <w:rsid w:val="008A771B"/>
    <w:rPr>
      <w:color w:val="343741" w:themeColor="accent5"/>
      <w:sz w:val="18"/>
      <w:szCs w:val="21"/>
    </w:rPr>
  </w:style>
  <w:style w:type="paragraph" w:styleId="NoSpacing">
    <w:name w:val="No Spacing"/>
    <w:uiPriority w:val="1"/>
    <w:qFormat/>
    <w:rsid w:val="00BF4BB0"/>
    <w:pPr>
      <w:spacing w:after="0" w:line="240" w:lineRule="auto"/>
    </w:pPr>
    <w:rPr>
      <w:sz w:val="20"/>
      <w:szCs w:val="21"/>
    </w:rPr>
  </w:style>
  <w:style w:type="table" w:styleId="TableGrid">
    <w:name w:val="Table Grid"/>
    <w:basedOn w:val="TableNormal"/>
    <w:uiPriority w:val="39"/>
    <w:rsid w:val="0051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A1297"/>
    <w:pPr>
      <w:spacing w:after="0" w:line="240" w:lineRule="auto"/>
    </w:pPr>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insideV w:val="single" w:sz="4" w:space="0" w:color="48ABFF" w:themeColor="accent1" w:themeTint="99"/>
      </w:tblBorders>
      <w:tblCellMar>
        <w:top w:w="85" w:type="dxa"/>
        <w:left w:w="85" w:type="dxa"/>
        <w:bottom w:w="85" w:type="dxa"/>
        <w:right w:w="85" w:type="dxa"/>
      </w:tblCellMar>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insideV w:val="nil"/>
        </w:tcBorders>
        <w:shd w:val="clear" w:color="auto" w:fill="0071CE" w:themeFill="accent1"/>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character" w:styleId="CommentReference">
    <w:name w:val="annotation reference"/>
    <w:basedOn w:val="DefaultParagraphFont"/>
    <w:uiPriority w:val="99"/>
    <w:semiHidden/>
    <w:unhideWhenUsed/>
    <w:rsid w:val="00ED09F9"/>
    <w:rPr>
      <w:sz w:val="16"/>
      <w:szCs w:val="16"/>
    </w:rPr>
  </w:style>
  <w:style w:type="paragraph" w:styleId="CommentText">
    <w:name w:val="annotation text"/>
    <w:basedOn w:val="Normal"/>
    <w:link w:val="CommentTextChar"/>
    <w:uiPriority w:val="99"/>
    <w:unhideWhenUsed/>
    <w:rsid w:val="00ED09F9"/>
    <w:pPr>
      <w:widowControl w:val="0"/>
      <w:autoSpaceDE w:val="0"/>
      <w:autoSpaceDN w:val="0"/>
      <w:spacing w:after="0" w:line="240" w:lineRule="auto"/>
    </w:pPr>
    <w:rPr>
      <w:rFonts w:eastAsia="VIC" w:cs="VIC"/>
      <w:kern w:val="0"/>
      <w:szCs w:val="20"/>
      <w:lang w:val="en-US"/>
      <w14:ligatures w14:val="none"/>
    </w:rPr>
  </w:style>
  <w:style w:type="character" w:customStyle="1" w:styleId="CommentTextChar">
    <w:name w:val="Comment Text Char"/>
    <w:basedOn w:val="DefaultParagraphFont"/>
    <w:link w:val="CommentText"/>
    <w:uiPriority w:val="99"/>
    <w:rsid w:val="00ED09F9"/>
    <w:rPr>
      <w:rFonts w:ascii="VIC" w:eastAsia="VIC" w:hAnsi="VIC" w:cs="VIC"/>
      <w:kern w:val="0"/>
      <w:sz w:val="20"/>
      <w:szCs w:val="20"/>
      <w:lang w:val="en-US"/>
      <w14:ligatures w14:val="none"/>
    </w:rPr>
  </w:style>
  <w:style w:type="numbering" w:customStyle="1" w:styleId="CurrentList1">
    <w:name w:val="Current List1"/>
    <w:uiPriority w:val="99"/>
    <w:rsid w:val="001024CC"/>
    <w:pPr>
      <w:numPr>
        <w:numId w:val="20"/>
      </w:numPr>
    </w:pPr>
  </w:style>
  <w:style w:type="character" w:styleId="FootnoteReference">
    <w:name w:val="footnote reference"/>
    <w:basedOn w:val="DefaultParagraphFont"/>
    <w:uiPriority w:val="99"/>
    <w:unhideWhenUsed/>
    <w:rsid w:val="008A771B"/>
    <w:rPr>
      <w:color w:val="343741" w:themeColor="accent5"/>
      <w:vertAlign w:val="superscript"/>
    </w:rPr>
  </w:style>
  <w:style w:type="character" w:styleId="PageNumber">
    <w:name w:val="page number"/>
    <w:basedOn w:val="DefaultParagraphFont"/>
    <w:uiPriority w:val="99"/>
    <w:semiHidden/>
    <w:unhideWhenUsed/>
    <w:rsid w:val="006657DD"/>
  </w:style>
  <w:style w:type="table" w:styleId="GridTable4-Accent2">
    <w:name w:val="Grid Table 4 Accent 2"/>
    <w:basedOn w:val="TableNormal"/>
    <w:uiPriority w:val="49"/>
    <w:rsid w:val="002A01AA"/>
    <w:pPr>
      <w:spacing w:after="0" w:line="240" w:lineRule="auto"/>
    </w:pPr>
    <w:tblPr>
      <w:tblStyleRowBandSize w:val="1"/>
      <w:tblStyleColBandSize w:val="1"/>
      <w:tblBorders>
        <w:top w:val="single" w:sz="4" w:space="0" w:color="2793FF" w:themeColor="accent2" w:themeTint="99"/>
        <w:left w:val="single" w:sz="4" w:space="0" w:color="2793FF" w:themeColor="accent2" w:themeTint="99"/>
        <w:bottom w:val="single" w:sz="4" w:space="0" w:color="2793FF" w:themeColor="accent2" w:themeTint="99"/>
        <w:right w:val="single" w:sz="4" w:space="0" w:color="2793FF" w:themeColor="accent2" w:themeTint="99"/>
        <w:insideH w:val="single" w:sz="4" w:space="0" w:color="2793FF" w:themeColor="accent2" w:themeTint="99"/>
        <w:insideV w:val="single" w:sz="4" w:space="0" w:color="2793FF" w:themeColor="accent2" w:themeTint="99"/>
      </w:tblBorders>
      <w:tblCellMar>
        <w:top w:w="85" w:type="dxa"/>
        <w:left w:w="85" w:type="dxa"/>
        <w:bottom w:w="85" w:type="dxa"/>
        <w:right w:w="85" w:type="dxa"/>
      </w:tblCellMar>
    </w:tblPr>
    <w:tblStylePr w:type="firstRow">
      <w:rPr>
        <w:b/>
        <w:bCs/>
        <w:color w:val="FFFFFF" w:themeColor="background1"/>
      </w:rPr>
      <w:tblPr/>
      <w:tcPr>
        <w:tcBorders>
          <w:top w:val="single" w:sz="4" w:space="0" w:color="004C97" w:themeColor="accent2"/>
          <w:left w:val="single" w:sz="4" w:space="0" w:color="004C97" w:themeColor="accent2"/>
          <w:bottom w:val="single" w:sz="4" w:space="0" w:color="004C97" w:themeColor="accent2"/>
          <w:right w:val="single" w:sz="4" w:space="0" w:color="004C97" w:themeColor="accent2"/>
          <w:insideH w:val="nil"/>
          <w:insideV w:val="nil"/>
        </w:tcBorders>
        <w:shd w:val="clear" w:color="auto" w:fill="004C97" w:themeFill="accent2"/>
      </w:tcPr>
    </w:tblStylePr>
    <w:tblStylePr w:type="lastRow">
      <w:rPr>
        <w:b/>
        <w:bCs/>
      </w:rPr>
      <w:tblPr/>
      <w:tcPr>
        <w:tcBorders>
          <w:top w:val="double" w:sz="4" w:space="0" w:color="004C97" w:themeColor="accent2"/>
        </w:tcBorders>
      </w:tcPr>
    </w:tblStylePr>
    <w:tblStylePr w:type="firstCol">
      <w:rPr>
        <w:b/>
        <w:bCs/>
      </w:rPr>
    </w:tblStylePr>
    <w:tblStylePr w:type="lastCol">
      <w:rPr>
        <w:b/>
        <w:bCs/>
      </w:rPr>
    </w:tblStylePr>
    <w:tblStylePr w:type="band1Vert">
      <w:tblPr/>
      <w:tcPr>
        <w:shd w:val="clear" w:color="auto" w:fill="B7DBFF" w:themeFill="accent2" w:themeFillTint="33"/>
      </w:tcPr>
    </w:tblStylePr>
    <w:tblStylePr w:type="band1Horz">
      <w:tblPr/>
      <w:tcPr>
        <w:shd w:val="clear" w:color="auto" w:fill="B7DBFF" w:themeFill="accent2" w:themeFillTint="33"/>
      </w:tcPr>
    </w:tblStylePr>
  </w:style>
  <w:style w:type="paragraph" w:styleId="BodyText">
    <w:name w:val="Body Text"/>
    <w:basedOn w:val="Normal"/>
    <w:link w:val="BodyTextChar"/>
    <w:uiPriority w:val="1"/>
    <w:qFormat/>
    <w:rsid w:val="009004B0"/>
    <w:pPr>
      <w:widowControl w:val="0"/>
      <w:autoSpaceDE w:val="0"/>
      <w:autoSpaceDN w:val="0"/>
      <w:spacing w:after="0" w:line="240" w:lineRule="auto"/>
    </w:pPr>
    <w:rPr>
      <w:rFonts w:eastAsia="VIC" w:cs="VIC"/>
      <w:kern w:val="0"/>
      <w:sz w:val="21"/>
      <w:lang w:val="en-US"/>
      <w14:ligatures w14:val="none"/>
    </w:rPr>
  </w:style>
  <w:style w:type="character" w:customStyle="1" w:styleId="BodyTextChar">
    <w:name w:val="Body Text Char"/>
    <w:basedOn w:val="DefaultParagraphFont"/>
    <w:link w:val="BodyText"/>
    <w:uiPriority w:val="1"/>
    <w:rsid w:val="009004B0"/>
    <w:rPr>
      <w:rFonts w:ascii="VIC" w:eastAsia="VIC" w:hAnsi="VIC" w:cs="VIC"/>
      <w:kern w:val="0"/>
      <w:sz w:val="21"/>
      <w:szCs w:val="21"/>
      <w:lang w:val="en-US"/>
      <w14:ligatures w14:val="none"/>
    </w:rPr>
  </w:style>
  <w:style w:type="character" w:styleId="Mention">
    <w:name w:val="Mention"/>
    <w:basedOn w:val="DefaultParagraphFont"/>
    <w:uiPriority w:val="99"/>
    <w:unhideWhenUsed/>
    <w:rsid w:val="009004B0"/>
    <w:rPr>
      <w:color w:val="2B579A"/>
      <w:shd w:val="clear" w:color="auto" w:fill="E1DFDD"/>
    </w:rPr>
  </w:style>
  <w:style w:type="character" w:styleId="UnresolvedMention">
    <w:name w:val="Unresolved Mention"/>
    <w:basedOn w:val="DefaultParagraphFont"/>
    <w:uiPriority w:val="99"/>
    <w:semiHidden/>
    <w:unhideWhenUsed/>
    <w:rsid w:val="0062599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C55F9"/>
    <w:pPr>
      <w:widowControl/>
      <w:autoSpaceDE/>
      <w:autoSpaceDN/>
      <w:spacing w:after="160"/>
    </w:pPr>
    <w:rPr>
      <w:rFonts w:eastAsiaTheme="minorHAnsi" w:cstheme="minorBidi"/>
      <w:b/>
      <w:bCs/>
      <w:kern w:val="2"/>
      <w:lang w:val="en-AU"/>
      <w14:ligatures w14:val="standardContextual"/>
    </w:rPr>
  </w:style>
  <w:style w:type="character" w:customStyle="1" w:styleId="CommentSubjectChar">
    <w:name w:val="Comment Subject Char"/>
    <w:basedOn w:val="CommentTextChar"/>
    <w:link w:val="CommentSubject"/>
    <w:uiPriority w:val="99"/>
    <w:semiHidden/>
    <w:rsid w:val="006C55F9"/>
    <w:rPr>
      <w:rFonts w:ascii="VIC" w:eastAsia="VIC" w:hAnsi="VIC" w:cs="VIC"/>
      <w:b/>
      <w:bCs/>
      <w:kern w:val="0"/>
      <w:sz w:val="20"/>
      <w:szCs w:val="20"/>
      <w:lang w:val="en-US"/>
      <w14:ligatures w14:val="none"/>
    </w:rPr>
  </w:style>
  <w:style w:type="paragraph" w:customStyle="1" w:styleId="paragraph">
    <w:name w:val="paragraph"/>
    <w:basedOn w:val="Normal"/>
    <w:rsid w:val="00033E9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033E9C"/>
  </w:style>
  <w:style w:type="character" w:customStyle="1" w:styleId="eop">
    <w:name w:val="eop"/>
    <w:basedOn w:val="DefaultParagraphFont"/>
    <w:rsid w:val="00033E9C"/>
  </w:style>
  <w:style w:type="paragraph" w:customStyle="1" w:styleId="TableParagraph">
    <w:name w:val="Table Paragraph"/>
    <w:basedOn w:val="Normal"/>
    <w:uiPriority w:val="1"/>
    <w:qFormat/>
    <w:rsid w:val="00E51AB7"/>
    <w:pPr>
      <w:widowControl w:val="0"/>
      <w:autoSpaceDE w:val="0"/>
      <w:autoSpaceDN w:val="0"/>
      <w:spacing w:after="0" w:line="240" w:lineRule="auto"/>
      <w:ind w:left="108"/>
    </w:pPr>
    <w:rPr>
      <w:rFonts w:eastAsia="VIC" w:cs="VIC"/>
      <w:kern w:val="0"/>
      <w:sz w:val="22"/>
      <w:szCs w:val="22"/>
      <w:lang w:val="en-US"/>
      <w14:ligatures w14:val="none"/>
    </w:rPr>
  </w:style>
  <w:style w:type="paragraph" w:styleId="Revision">
    <w:name w:val="Revision"/>
    <w:hidden/>
    <w:uiPriority w:val="99"/>
    <w:semiHidden/>
    <w:rsid w:val="00656C3D"/>
    <w:pPr>
      <w:spacing w:after="0" w:line="240" w:lineRule="auto"/>
    </w:pPr>
    <w:rPr>
      <w:rFonts w:ascii="VIC" w:hAnsi="VIC"/>
      <w:sz w:val="20"/>
      <w:szCs w:val="21"/>
    </w:rPr>
  </w:style>
  <w:style w:type="character" w:styleId="FollowedHyperlink">
    <w:name w:val="FollowedHyperlink"/>
    <w:basedOn w:val="DefaultParagraphFont"/>
    <w:uiPriority w:val="99"/>
    <w:semiHidden/>
    <w:unhideWhenUsed/>
    <w:rsid w:val="00F305C4"/>
    <w:rPr>
      <w:color w:val="00A8E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icgov.sharepoint.com/sites/msteams_4f336f/Shared%20Documents/001%20Funded%20Services%20Program%20Reviews/07%20Renter%20services%20tender%20planning/Program%20Guides%20-%20in%20templates/fundedservices.consumer.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onsumer.vic.gov.au/renter-righ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languageloop.com.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AV 2026">
      <a:dk1>
        <a:srgbClr val="000000"/>
      </a:dk1>
      <a:lt1>
        <a:srgbClr val="FFFFFF"/>
      </a:lt1>
      <a:dk2>
        <a:srgbClr val="201547"/>
      </a:dk2>
      <a:lt2>
        <a:srgbClr val="D9D9D6"/>
      </a:lt2>
      <a:accent1>
        <a:srgbClr val="0071CE"/>
      </a:accent1>
      <a:accent2>
        <a:srgbClr val="004C97"/>
      </a:accent2>
      <a:accent3>
        <a:srgbClr val="CEDB00"/>
      </a:accent3>
      <a:accent4>
        <a:srgbClr val="00A8E1"/>
      </a:accent4>
      <a:accent5>
        <a:srgbClr val="343741"/>
      </a:accent5>
      <a:accent6>
        <a:srgbClr val="88DBDF"/>
      </a:accent6>
      <a:hlink>
        <a:srgbClr val="0071CE"/>
      </a:hlink>
      <a:folHlink>
        <a:srgbClr val="00A8E1"/>
      </a:folHlink>
    </a:clrScheme>
    <a:fontScheme name="VIC Font TTF">
      <a:majorFont>
        <a:latin typeface="VIC 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4AF1CEDF05C144B22736302A05CA23" ma:contentTypeVersion="20" ma:contentTypeDescription="Create a new document." ma:contentTypeScope="" ma:versionID="afb98fd3e64d56b46a9ba4f4fc96f674">
  <xsd:schema xmlns:xsd="http://www.w3.org/2001/XMLSchema" xmlns:xs="http://www.w3.org/2001/XMLSchema" xmlns:p="http://schemas.microsoft.com/office/2006/metadata/properties" xmlns:ns2="97ed7861-5a5c-46b3-8fd8-36382c42c787" xmlns:ns3="2e102adb-6bc9-42d3-acd6-4c955dee0e66" targetNamespace="http://schemas.microsoft.com/office/2006/metadata/properties" ma:root="true" ma:fieldsID="41fcc6725462a9c43ae5b6e91db6e853" ns2:_="" ns3:_="">
    <xsd:import namespace="97ed7861-5a5c-46b3-8fd8-36382c42c787"/>
    <xsd:import namespace="2e102adb-6bc9-42d3-acd6-4c955dee0e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Status" minOccurs="0"/>
                <xsd:element ref="ns2:Allocated" minOccurs="0"/>
                <xsd:element ref="ns2:_Flow_SignoffStatus" minOccurs="0"/>
                <xsd:element ref="ns2:MediaServiceBillingMetadata" minOccurs="0"/>
                <xsd:element ref="ns2:TRI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d7861-5a5c-46b3-8fd8-36382c42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Status" ma:index="23" nillable="true" ma:displayName="Status" ma:format="Dropdown" ma:internalName="Status">
      <xsd:simpleType>
        <xsd:union memberTypes="dms:Text">
          <xsd:simpleType>
            <xsd:restriction base="dms:Choice">
              <xsd:enumeration value="DRAFTING"/>
              <xsd:enumeration value="IN PROGRESS"/>
              <xsd:enumeration value="QA CHECK COMPLETED"/>
              <xsd:enumeration value="UNDER APPROVAL"/>
              <xsd:enumeration value="ENDORSED"/>
              <xsd:enumeration value="APPROVED"/>
              <xsd:enumeration value="PAID"/>
            </xsd:restriction>
          </xsd:simpleType>
        </xsd:union>
      </xsd:simpleType>
    </xsd:element>
    <xsd:element name="Allocated" ma:index="24" nillable="true" ma:displayName="Allocated" ma:format="Dropdown" ma:list="UserInfo" ma:SharePointGroup="0" ma:internalName="Alloc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RIMreference" ma:index="27" nillable="true" ma:displayName="TRIM reference" ma:format="Dropdown" ma:internalName="TRIM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02adb-6bc9-42d3-acd6-4c955dee0e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fba3f0-04c4-468c-9359-30c975f7aab3}" ma:internalName="TaxCatchAll" ma:showField="CatchAllData" ma:web="2e102adb-6bc9-42d3-acd6-4c955dee0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d7861-5a5c-46b3-8fd8-36382c42c787">
      <Terms xmlns="http://schemas.microsoft.com/office/infopath/2007/PartnerControls"/>
    </lcf76f155ced4ddcb4097134ff3c332f>
    <TaxCatchAll xmlns="2e102adb-6bc9-42d3-acd6-4c955dee0e66"/>
    <TRIMreference xmlns="97ed7861-5a5c-46b3-8fd8-36382c42c787" xsi:nil="true"/>
    <Allocated xmlns="97ed7861-5a5c-46b3-8fd8-36382c42c787">
      <UserInfo>
        <DisplayName/>
        <AccountId xsi:nil="true"/>
        <AccountType/>
      </UserInfo>
    </Allocated>
    <_Flow_SignoffStatus xmlns="97ed7861-5a5c-46b3-8fd8-36382c42c787" xsi:nil="true"/>
    <Status xmlns="97ed7861-5a5c-46b3-8fd8-36382c42c787" xsi:nil="true"/>
  </documentManagement>
</p:properti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F9D0A-784C-4D20-9F26-0E1AAB06B827}">
  <ds:schemaRefs>
    <ds:schemaRef ds:uri="http://schemas.microsoft.com/sharepoint/v3/contenttype/forms"/>
  </ds:schemaRefs>
</ds:datastoreItem>
</file>

<file path=customXml/itemProps2.xml><?xml version="1.0" encoding="utf-8"?>
<ds:datastoreItem xmlns:ds="http://schemas.openxmlformats.org/officeDocument/2006/customXml" ds:itemID="{107FE213-D96A-4131-8CD1-0CBA598EC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d7861-5a5c-46b3-8fd8-36382c42c787"/>
    <ds:schemaRef ds:uri="2e102adb-6bc9-42d3-acd6-4c955dee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F9E3D-8128-48A2-9C82-65824E5FB8C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7ed7861-5a5c-46b3-8fd8-36382c42c787"/>
    <ds:schemaRef ds:uri="http://purl.org/dc/terms/"/>
    <ds:schemaRef ds:uri="http://schemas.microsoft.com/office/infopath/2007/PartnerControls"/>
    <ds:schemaRef ds:uri="2e102adb-6bc9-42d3-acd6-4c955dee0e66"/>
    <ds:schemaRef ds:uri="http://www.w3.org/XML/1998/namespace"/>
    <ds:schemaRef ds:uri="http://purl.org/dc/dcmitype/"/>
  </ds:schemaRefs>
</ds:datastoreItem>
</file>

<file path=customXml/itemProps4.xml><?xml version="1.0" encoding="utf-8"?>
<ds:datastoreItem xmlns:ds="http://schemas.openxmlformats.org/officeDocument/2006/customXml" ds:itemID="{2E77D2D8-E25A-42F6-A3E2-44C5720DA947}">
  <ds:schemaRefs>
    <ds:schemaRef ds:uri="http://www.w3.org/2001/XMLSchema"/>
  </ds:schemaRefs>
</ds:datastoreItem>
</file>

<file path=customXml/itemProps5.xml><?xml version="1.0" encoding="utf-8"?>
<ds:datastoreItem xmlns:ds="http://schemas.openxmlformats.org/officeDocument/2006/customXml" ds:itemID="{78A81B0A-229F-924D-B14E-3C3FFA62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4931</Words>
  <Characters>28158</Characters>
  <Application>Microsoft Office Word</Application>
  <DocSecurity>0</DocSecurity>
  <Lines>1126</Lines>
  <Paragraphs>435</Paragraphs>
  <ScaleCrop>false</ScaleCrop>
  <Company/>
  <LinksUpToDate>false</LinksUpToDate>
  <CharactersWithSpaces>32654</CharactersWithSpaces>
  <SharedDoc>false</SharedDoc>
  <HLinks>
    <vt:vector size="282" baseType="variant">
      <vt:variant>
        <vt:i4>4980809</vt:i4>
      </vt:variant>
      <vt:variant>
        <vt:i4>276</vt:i4>
      </vt:variant>
      <vt:variant>
        <vt:i4>0</vt:i4>
      </vt:variant>
      <vt:variant>
        <vt:i4>5</vt:i4>
      </vt:variant>
      <vt:variant>
        <vt:lpwstr>https://languageloop.com.au/</vt:lpwstr>
      </vt:variant>
      <vt:variant>
        <vt:lpwstr/>
      </vt:variant>
      <vt:variant>
        <vt:i4>3538984</vt:i4>
      </vt:variant>
      <vt:variant>
        <vt:i4>273</vt:i4>
      </vt:variant>
      <vt:variant>
        <vt:i4>0</vt:i4>
      </vt:variant>
      <vt:variant>
        <vt:i4>5</vt:i4>
      </vt:variant>
      <vt:variant>
        <vt:lpwstr>fundedservices.consumer.vic.gov.au</vt:lpwstr>
      </vt:variant>
      <vt:variant>
        <vt:lpwstr/>
      </vt:variant>
      <vt:variant>
        <vt:i4>1441849</vt:i4>
      </vt:variant>
      <vt:variant>
        <vt:i4>266</vt:i4>
      </vt:variant>
      <vt:variant>
        <vt:i4>0</vt:i4>
      </vt:variant>
      <vt:variant>
        <vt:i4>5</vt:i4>
      </vt:variant>
      <vt:variant>
        <vt:lpwstr/>
      </vt:variant>
      <vt:variant>
        <vt:lpwstr>_Toc219978512</vt:lpwstr>
      </vt:variant>
      <vt:variant>
        <vt:i4>1441849</vt:i4>
      </vt:variant>
      <vt:variant>
        <vt:i4>260</vt:i4>
      </vt:variant>
      <vt:variant>
        <vt:i4>0</vt:i4>
      </vt:variant>
      <vt:variant>
        <vt:i4>5</vt:i4>
      </vt:variant>
      <vt:variant>
        <vt:lpwstr/>
      </vt:variant>
      <vt:variant>
        <vt:lpwstr>_Toc219978511</vt:lpwstr>
      </vt:variant>
      <vt:variant>
        <vt:i4>1441849</vt:i4>
      </vt:variant>
      <vt:variant>
        <vt:i4>254</vt:i4>
      </vt:variant>
      <vt:variant>
        <vt:i4>0</vt:i4>
      </vt:variant>
      <vt:variant>
        <vt:i4>5</vt:i4>
      </vt:variant>
      <vt:variant>
        <vt:lpwstr/>
      </vt:variant>
      <vt:variant>
        <vt:lpwstr>_Toc219978510</vt:lpwstr>
      </vt:variant>
      <vt:variant>
        <vt:i4>1507385</vt:i4>
      </vt:variant>
      <vt:variant>
        <vt:i4>248</vt:i4>
      </vt:variant>
      <vt:variant>
        <vt:i4>0</vt:i4>
      </vt:variant>
      <vt:variant>
        <vt:i4>5</vt:i4>
      </vt:variant>
      <vt:variant>
        <vt:lpwstr/>
      </vt:variant>
      <vt:variant>
        <vt:lpwstr>_Toc219978509</vt:lpwstr>
      </vt:variant>
      <vt:variant>
        <vt:i4>1507385</vt:i4>
      </vt:variant>
      <vt:variant>
        <vt:i4>242</vt:i4>
      </vt:variant>
      <vt:variant>
        <vt:i4>0</vt:i4>
      </vt:variant>
      <vt:variant>
        <vt:i4>5</vt:i4>
      </vt:variant>
      <vt:variant>
        <vt:lpwstr/>
      </vt:variant>
      <vt:variant>
        <vt:lpwstr>_Toc219978508</vt:lpwstr>
      </vt:variant>
      <vt:variant>
        <vt:i4>1507385</vt:i4>
      </vt:variant>
      <vt:variant>
        <vt:i4>236</vt:i4>
      </vt:variant>
      <vt:variant>
        <vt:i4>0</vt:i4>
      </vt:variant>
      <vt:variant>
        <vt:i4>5</vt:i4>
      </vt:variant>
      <vt:variant>
        <vt:lpwstr/>
      </vt:variant>
      <vt:variant>
        <vt:lpwstr>_Toc219978507</vt:lpwstr>
      </vt:variant>
      <vt:variant>
        <vt:i4>1507385</vt:i4>
      </vt:variant>
      <vt:variant>
        <vt:i4>230</vt:i4>
      </vt:variant>
      <vt:variant>
        <vt:i4>0</vt:i4>
      </vt:variant>
      <vt:variant>
        <vt:i4>5</vt:i4>
      </vt:variant>
      <vt:variant>
        <vt:lpwstr/>
      </vt:variant>
      <vt:variant>
        <vt:lpwstr>_Toc219978506</vt:lpwstr>
      </vt:variant>
      <vt:variant>
        <vt:i4>1507385</vt:i4>
      </vt:variant>
      <vt:variant>
        <vt:i4>224</vt:i4>
      </vt:variant>
      <vt:variant>
        <vt:i4>0</vt:i4>
      </vt:variant>
      <vt:variant>
        <vt:i4>5</vt:i4>
      </vt:variant>
      <vt:variant>
        <vt:lpwstr/>
      </vt:variant>
      <vt:variant>
        <vt:lpwstr>_Toc219978505</vt:lpwstr>
      </vt:variant>
      <vt:variant>
        <vt:i4>1507385</vt:i4>
      </vt:variant>
      <vt:variant>
        <vt:i4>218</vt:i4>
      </vt:variant>
      <vt:variant>
        <vt:i4>0</vt:i4>
      </vt:variant>
      <vt:variant>
        <vt:i4>5</vt:i4>
      </vt:variant>
      <vt:variant>
        <vt:lpwstr/>
      </vt:variant>
      <vt:variant>
        <vt:lpwstr>_Toc219978504</vt:lpwstr>
      </vt:variant>
      <vt:variant>
        <vt:i4>1507385</vt:i4>
      </vt:variant>
      <vt:variant>
        <vt:i4>212</vt:i4>
      </vt:variant>
      <vt:variant>
        <vt:i4>0</vt:i4>
      </vt:variant>
      <vt:variant>
        <vt:i4>5</vt:i4>
      </vt:variant>
      <vt:variant>
        <vt:lpwstr/>
      </vt:variant>
      <vt:variant>
        <vt:lpwstr>_Toc219978503</vt:lpwstr>
      </vt:variant>
      <vt:variant>
        <vt:i4>1507385</vt:i4>
      </vt:variant>
      <vt:variant>
        <vt:i4>206</vt:i4>
      </vt:variant>
      <vt:variant>
        <vt:i4>0</vt:i4>
      </vt:variant>
      <vt:variant>
        <vt:i4>5</vt:i4>
      </vt:variant>
      <vt:variant>
        <vt:lpwstr/>
      </vt:variant>
      <vt:variant>
        <vt:lpwstr>_Toc219978502</vt:lpwstr>
      </vt:variant>
      <vt:variant>
        <vt:i4>1507385</vt:i4>
      </vt:variant>
      <vt:variant>
        <vt:i4>200</vt:i4>
      </vt:variant>
      <vt:variant>
        <vt:i4>0</vt:i4>
      </vt:variant>
      <vt:variant>
        <vt:i4>5</vt:i4>
      </vt:variant>
      <vt:variant>
        <vt:lpwstr/>
      </vt:variant>
      <vt:variant>
        <vt:lpwstr>_Toc219978501</vt:lpwstr>
      </vt:variant>
      <vt:variant>
        <vt:i4>1507385</vt:i4>
      </vt:variant>
      <vt:variant>
        <vt:i4>194</vt:i4>
      </vt:variant>
      <vt:variant>
        <vt:i4>0</vt:i4>
      </vt:variant>
      <vt:variant>
        <vt:i4>5</vt:i4>
      </vt:variant>
      <vt:variant>
        <vt:lpwstr/>
      </vt:variant>
      <vt:variant>
        <vt:lpwstr>_Toc219978500</vt:lpwstr>
      </vt:variant>
      <vt:variant>
        <vt:i4>1966136</vt:i4>
      </vt:variant>
      <vt:variant>
        <vt:i4>188</vt:i4>
      </vt:variant>
      <vt:variant>
        <vt:i4>0</vt:i4>
      </vt:variant>
      <vt:variant>
        <vt:i4>5</vt:i4>
      </vt:variant>
      <vt:variant>
        <vt:lpwstr/>
      </vt:variant>
      <vt:variant>
        <vt:lpwstr>_Toc219978499</vt:lpwstr>
      </vt:variant>
      <vt:variant>
        <vt:i4>1966136</vt:i4>
      </vt:variant>
      <vt:variant>
        <vt:i4>182</vt:i4>
      </vt:variant>
      <vt:variant>
        <vt:i4>0</vt:i4>
      </vt:variant>
      <vt:variant>
        <vt:i4>5</vt:i4>
      </vt:variant>
      <vt:variant>
        <vt:lpwstr/>
      </vt:variant>
      <vt:variant>
        <vt:lpwstr>_Toc219978498</vt:lpwstr>
      </vt:variant>
      <vt:variant>
        <vt:i4>1966136</vt:i4>
      </vt:variant>
      <vt:variant>
        <vt:i4>176</vt:i4>
      </vt:variant>
      <vt:variant>
        <vt:i4>0</vt:i4>
      </vt:variant>
      <vt:variant>
        <vt:i4>5</vt:i4>
      </vt:variant>
      <vt:variant>
        <vt:lpwstr/>
      </vt:variant>
      <vt:variant>
        <vt:lpwstr>_Toc219978497</vt:lpwstr>
      </vt:variant>
      <vt:variant>
        <vt:i4>1966136</vt:i4>
      </vt:variant>
      <vt:variant>
        <vt:i4>170</vt:i4>
      </vt:variant>
      <vt:variant>
        <vt:i4>0</vt:i4>
      </vt:variant>
      <vt:variant>
        <vt:i4>5</vt:i4>
      </vt:variant>
      <vt:variant>
        <vt:lpwstr/>
      </vt:variant>
      <vt:variant>
        <vt:lpwstr>_Toc219978496</vt:lpwstr>
      </vt:variant>
      <vt:variant>
        <vt:i4>1966136</vt:i4>
      </vt:variant>
      <vt:variant>
        <vt:i4>164</vt:i4>
      </vt:variant>
      <vt:variant>
        <vt:i4>0</vt:i4>
      </vt:variant>
      <vt:variant>
        <vt:i4>5</vt:i4>
      </vt:variant>
      <vt:variant>
        <vt:lpwstr/>
      </vt:variant>
      <vt:variant>
        <vt:lpwstr>_Toc219978495</vt:lpwstr>
      </vt:variant>
      <vt:variant>
        <vt:i4>1966136</vt:i4>
      </vt:variant>
      <vt:variant>
        <vt:i4>158</vt:i4>
      </vt:variant>
      <vt:variant>
        <vt:i4>0</vt:i4>
      </vt:variant>
      <vt:variant>
        <vt:i4>5</vt:i4>
      </vt:variant>
      <vt:variant>
        <vt:lpwstr/>
      </vt:variant>
      <vt:variant>
        <vt:lpwstr>_Toc219978494</vt:lpwstr>
      </vt:variant>
      <vt:variant>
        <vt:i4>1966136</vt:i4>
      </vt:variant>
      <vt:variant>
        <vt:i4>152</vt:i4>
      </vt:variant>
      <vt:variant>
        <vt:i4>0</vt:i4>
      </vt:variant>
      <vt:variant>
        <vt:i4>5</vt:i4>
      </vt:variant>
      <vt:variant>
        <vt:lpwstr/>
      </vt:variant>
      <vt:variant>
        <vt:lpwstr>_Toc219978493</vt:lpwstr>
      </vt:variant>
      <vt:variant>
        <vt:i4>1966136</vt:i4>
      </vt:variant>
      <vt:variant>
        <vt:i4>146</vt:i4>
      </vt:variant>
      <vt:variant>
        <vt:i4>0</vt:i4>
      </vt:variant>
      <vt:variant>
        <vt:i4>5</vt:i4>
      </vt:variant>
      <vt:variant>
        <vt:lpwstr/>
      </vt:variant>
      <vt:variant>
        <vt:lpwstr>_Toc219978492</vt:lpwstr>
      </vt:variant>
      <vt:variant>
        <vt:i4>1966136</vt:i4>
      </vt:variant>
      <vt:variant>
        <vt:i4>140</vt:i4>
      </vt:variant>
      <vt:variant>
        <vt:i4>0</vt:i4>
      </vt:variant>
      <vt:variant>
        <vt:i4>5</vt:i4>
      </vt:variant>
      <vt:variant>
        <vt:lpwstr/>
      </vt:variant>
      <vt:variant>
        <vt:lpwstr>_Toc219978491</vt:lpwstr>
      </vt:variant>
      <vt:variant>
        <vt:i4>1966136</vt:i4>
      </vt:variant>
      <vt:variant>
        <vt:i4>134</vt:i4>
      </vt:variant>
      <vt:variant>
        <vt:i4>0</vt:i4>
      </vt:variant>
      <vt:variant>
        <vt:i4>5</vt:i4>
      </vt:variant>
      <vt:variant>
        <vt:lpwstr/>
      </vt:variant>
      <vt:variant>
        <vt:lpwstr>_Toc219978490</vt:lpwstr>
      </vt:variant>
      <vt:variant>
        <vt:i4>2031672</vt:i4>
      </vt:variant>
      <vt:variant>
        <vt:i4>128</vt:i4>
      </vt:variant>
      <vt:variant>
        <vt:i4>0</vt:i4>
      </vt:variant>
      <vt:variant>
        <vt:i4>5</vt:i4>
      </vt:variant>
      <vt:variant>
        <vt:lpwstr/>
      </vt:variant>
      <vt:variant>
        <vt:lpwstr>_Toc219978489</vt:lpwstr>
      </vt:variant>
      <vt:variant>
        <vt:i4>2031672</vt:i4>
      </vt:variant>
      <vt:variant>
        <vt:i4>122</vt:i4>
      </vt:variant>
      <vt:variant>
        <vt:i4>0</vt:i4>
      </vt:variant>
      <vt:variant>
        <vt:i4>5</vt:i4>
      </vt:variant>
      <vt:variant>
        <vt:lpwstr/>
      </vt:variant>
      <vt:variant>
        <vt:lpwstr>_Toc219978488</vt:lpwstr>
      </vt:variant>
      <vt:variant>
        <vt:i4>2031672</vt:i4>
      </vt:variant>
      <vt:variant>
        <vt:i4>116</vt:i4>
      </vt:variant>
      <vt:variant>
        <vt:i4>0</vt:i4>
      </vt:variant>
      <vt:variant>
        <vt:i4>5</vt:i4>
      </vt:variant>
      <vt:variant>
        <vt:lpwstr/>
      </vt:variant>
      <vt:variant>
        <vt:lpwstr>_Toc219978487</vt:lpwstr>
      </vt:variant>
      <vt:variant>
        <vt:i4>2031672</vt:i4>
      </vt:variant>
      <vt:variant>
        <vt:i4>110</vt:i4>
      </vt:variant>
      <vt:variant>
        <vt:i4>0</vt:i4>
      </vt:variant>
      <vt:variant>
        <vt:i4>5</vt:i4>
      </vt:variant>
      <vt:variant>
        <vt:lpwstr/>
      </vt:variant>
      <vt:variant>
        <vt:lpwstr>_Toc219978486</vt:lpwstr>
      </vt:variant>
      <vt:variant>
        <vt:i4>2031672</vt:i4>
      </vt:variant>
      <vt:variant>
        <vt:i4>104</vt:i4>
      </vt:variant>
      <vt:variant>
        <vt:i4>0</vt:i4>
      </vt:variant>
      <vt:variant>
        <vt:i4>5</vt:i4>
      </vt:variant>
      <vt:variant>
        <vt:lpwstr/>
      </vt:variant>
      <vt:variant>
        <vt:lpwstr>_Toc219978485</vt:lpwstr>
      </vt:variant>
      <vt:variant>
        <vt:i4>2031672</vt:i4>
      </vt:variant>
      <vt:variant>
        <vt:i4>98</vt:i4>
      </vt:variant>
      <vt:variant>
        <vt:i4>0</vt:i4>
      </vt:variant>
      <vt:variant>
        <vt:i4>5</vt:i4>
      </vt:variant>
      <vt:variant>
        <vt:lpwstr/>
      </vt:variant>
      <vt:variant>
        <vt:lpwstr>_Toc219978484</vt:lpwstr>
      </vt:variant>
      <vt:variant>
        <vt:i4>2031672</vt:i4>
      </vt:variant>
      <vt:variant>
        <vt:i4>92</vt:i4>
      </vt:variant>
      <vt:variant>
        <vt:i4>0</vt:i4>
      </vt:variant>
      <vt:variant>
        <vt:i4>5</vt:i4>
      </vt:variant>
      <vt:variant>
        <vt:lpwstr/>
      </vt:variant>
      <vt:variant>
        <vt:lpwstr>_Toc219978483</vt:lpwstr>
      </vt:variant>
      <vt:variant>
        <vt:i4>2031672</vt:i4>
      </vt:variant>
      <vt:variant>
        <vt:i4>86</vt:i4>
      </vt:variant>
      <vt:variant>
        <vt:i4>0</vt:i4>
      </vt:variant>
      <vt:variant>
        <vt:i4>5</vt:i4>
      </vt:variant>
      <vt:variant>
        <vt:lpwstr/>
      </vt:variant>
      <vt:variant>
        <vt:lpwstr>_Toc219978482</vt:lpwstr>
      </vt:variant>
      <vt:variant>
        <vt:i4>2031672</vt:i4>
      </vt:variant>
      <vt:variant>
        <vt:i4>80</vt:i4>
      </vt:variant>
      <vt:variant>
        <vt:i4>0</vt:i4>
      </vt:variant>
      <vt:variant>
        <vt:i4>5</vt:i4>
      </vt:variant>
      <vt:variant>
        <vt:lpwstr/>
      </vt:variant>
      <vt:variant>
        <vt:lpwstr>_Toc219978481</vt:lpwstr>
      </vt:variant>
      <vt:variant>
        <vt:i4>2031672</vt:i4>
      </vt:variant>
      <vt:variant>
        <vt:i4>74</vt:i4>
      </vt:variant>
      <vt:variant>
        <vt:i4>0</vt:i4>
      </vt:variant>
      <vt:variant>
        <vt:i4>5</vt:i4>
      </vt:variant>
      <vt:variant>
        <vt:lpwstr/>
      </vt:variant>
      <vt:variant>
        <vt:lpwstr>_Toc219978480</vt:lpwstr>
      </vt:variant>
      <vt:variant>
        <vt:i4>1048632</vt:i4>
      </vt:variant>
      <vt:variant>
        <vt:i4>68</vt:i4>
      </vt:variant>
      <vt:variant>
        <vt:i4>0</vt:i4>
      </vt:variant>
      <vt:variant>
        <vt:i4>5</vt:i4>
      </vt:variant>
      <vt:variant>
        <vt:lpwstr/>
      </vt:variant>
      <vt:variant>
        <vt:lpwstr>_Toc219978479</vt:lpwstr>
      </vt:variant>
      <vt:variant>
        <vt:i4>1048632</vt:i4>
      </vt:variant>
      <vt:variant>
        <vt:i4>62</vt:i4>
      </vt:variant>
      <vt:variant>
        <vt:i4>0</vt:i4>
      </vt:variant>
      <vt:variant>
        <vt:i4>5</vt:i4>
      </vt:variant>
      <vt:variant>
        <vt:lpwstr/>
      </vt:variant>
      <vt:variant>
        <vt:lpwstr>_Toc219978478</vt:lpwstr>
      </vt:variant>
      <vt:variant>
        <vt:i4>1048632</vt:i4>
      </vt:variant>
      <vt:variant>
        <vt:i4>56</vt:i4>
      </vt:variant>
      <vt:variant>
        <vt:i4>0</vt:i4>
      </vt:variant>
      <vt:variant>
        <vt:i4>5</vt:i4>
      </vt:variant>
      <vt:variant>
        <vt:lpwstr/>
      </vt:variant>
      <vt:variant>
        <vt:lpwstr>_Toc219978477</vt:lpwstr>
      </vt:variant>
      <vt:variant>
        <vt:i4>1048632</vt:i4>
      </vt:variant>
      <vt:variant>
        <vt:i4>50</vt:i4>
      </vt:variant>
      <vt:variant>
        <vt:i4>0</vt:i4>
      </vt:variant>
      <vt:variant>
        <vt:i4>5</vt:i4>
      </vt:variant>
      <vt:variant>
        <vt:lpwstr/>
      </vt:variant>
      <vt:variant>
        <vt:lpwstr>_Toc219978476</vt:lpwstr>
      </vt:variant>
      <vt:variant>
        <vt:i4>1048632</vt:i4>
      </vt:variant>
      <vt:variant>
        <vt:i4>44</vt:i4>
      </vt:variant>
      <vt:variant>
        <vt:i4>0</vt:i4>
      </vt:variant>
      <vt:variant>
        <vt:i4>5</vt:i4>
      </vt:variant>
      <vt:variant>
        <vt:lpwstr/>
      </vt:variant>
      <vt:variant>
        <vt:lpwstr>_Toc219978475</vt:lpwstr>
      </vt:variant>
      <vt:variant>
        <vt:i4>1048632</vt:i4>
      </vt:variant>
      <vt:variant>
        <vt:i4>38</vt:i4>
      </vt:variant>
      <vt:variant>
        <vt:i4>0</vt:i4>
      </vt:variant>
      <vt:variant>
        <vt:i4>5</vt:i4>
      </vt:variant>
      <vt:variant>
        <vt:lpwstr/>
      </vt:variant>
      <vt:variant>
        <vt:lpwstr>_Toc219978474</vt:lpwstr>
      </vt:variant>
      <vt:variant>
        <vt:i4>1048632</vt:i4>
      </vt:variant>
      <vt:variant>
        <vt:i4>32</vt:i4>
      </vt:variant>
      <vt:variant>
        <vt:i4>0</vt:i4>
      </vt:variant>
      <vt:variant>
        <vt:i4>5</vt:i4>
      </vt:variant>
      <vt:variant>
        <vt:lpwstr/>
      </vt:variant>
      <vt:variant>
        <vt:lpwstr>_Toc219978473</vt:lpwstr>
      </vt:variant>
      <vt:variant>
        <vt:i4>1048632</vt:i4>
      </vt:variant>
      <vt:variant>
        <vt:i4>26</vt:i4>
      </vt:variant>
      <vt:variant>
        <vt:i4>0</vt:i4>
      </vt:variant>
      <vt:variant>
        <vt:i4>5</vt:i4>
      </vt:variant>
      <vt:variant>
        <vt:lpwstr/>
      </vt:variant>
      <vt:variant>
        <vt:lpwstr>_Toc219978472</vt:lpwstr>
      </vt:variant>
      <vt:variant>
        <vt:i4>1048632</vt:i4>
      </vt:variant>
      <vt:variant>
        <vt:i4>20</vt:i4>
      </vt:variant>
      <vt:variant>
        <vt:i4>0</vt:i4>
      </vt:variant>
      <vt:variant>
        <vt:i4>5</vt:i4>
      </vt:variant>
      <vt:variant>
        <vt:lpwstr/>
      </vt:variant>
      <vt:variant>
        <vt:lpwstr>_Toc219978471</vt:lpwstr>
      </vt:variant>
      <vt:variant>
        <vt:i4>1048632</vt:i4>
      </vt:variant>
      <vt:variant>
        <vt:i4>14</vt:i4>
      </vt:variant>
      <vt:variant>
        <vt:i4>0</vt:i4>
      </vt:variant>
      <vt:variant>
        <vt:i4>5</vt:i4>
      </vt:variant>
      <vt:variant>
        <vt:lpwstr/>
      </vt:variant>
      <vt:variant>
        <vt:lpwstr>_Toc219978470</vt:lpwstr>
      </vt:variant>
      <vt:variant>
        <vt:i4>1114168</vt:i4>
      </vt:variant>
      <vt:variant>
        <vt:i4>8</vt:i4>
      </vt:variant>
      <vt:variant>
        <vt:i4>0</vt:i4>
      </vt:variant>
      <vt:variant>
        <vt:i4>5</vt:i4>
      </vt:variant>
      <vt:variant>
        <vt:lpwstr/>
      </vt:variant>
      <vt:variant>
        <vt:lpwstr>_Toc219978469</vt:lpwstr>
      </vt:variant>
      <vt:variant>
        <vt:i4>1114168</vt:i4>
      </vt:variant>
      <vt:variant>
        <vt:i4>2</vt:i4>
      </vt:variant>
      <vt:variant>
        <vt:i4>0</vt:i4>
      </vt:variant>
      <vt:variant>
        <vt:i4>5</vt:i4>
      </vt:variant>
      <vt:variant>
        <vt:lpwstr/>
      </vt:variant>
      <vt:variant>
        <vt:lpwstr>_Toc219978468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Pracy (DGS)</dc:creator>
  <cp:keywords/>
  <dc:description/>
  <cp:lastModifiedBy>David M Darragh (DGS)</cp:lastModifiedBy>
  <cp:revision>2</cp:revision>
  <dcterms:created xsi:type="dcterms:W3CDTF">2026-02-01T22:41:00Z</dcterms:created>
  <dcterms:modified xsi:type="dcterms:W3CDTF">2026-02-01T22:41:00Z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7ca4abde,2b6e72ee,6a509686</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2026-01-06T04:07:46Z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b34b946f-c896-43d2-8715-e6d580fea00d</vt:lpwstr>
  </property>
  <property fmtid="{D5CDD505-2E9C-101B-9397-08002B2CF9AE}" pid="11" name="MSIP_Label_7158ebbd-6c5e-441f-bfc9-4eb8c11e3978_ContentBits">
    <vt:lpwstr>2</vt:lpwstr>
  </property>
  <property fmtid="{D5CDD505-2E9C-101B-9397-08002B2CF9AE}" pid="12" name="MSIP_Label_7158ebbd-6c5e-441f-bfc9-4eb8c11e3978_Tag">
    <vt:lpwstr>50, 0, 1, 1</vt:lpwstr>
  </property>
  <property fmtid="{D5CDD505-2E9C-101B-9397-08002B2CF9AE}" pid="13" name="MediaServiceImageTags">
    <vt:lpwstr/>
  </property>
  <property fmtid="{D5CDD505-2E9C-101B-9397-08002B2CF9AE}" pid="14" name="ContentTypeId">
    <vt:lpwstr>0x010100354AF1CEDF05C144B22736302A05CA23</vt:lpwstr>
  </property>
  <property fmtid="{D5CDD505-2E9C-101B-9397-08002B2CF9AE}" pid="15" name="_dlc_DocIdItemGuid">
    <vt:lpwstr>c4a344c2-c45f-4fd4-9d7d-95dc0a1977ff</vt:lpwstr>
  </property>
</Properties>
</file>