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D5569" w14:textId="77777777" w:rsidR="00AA2ED6" w:rsidRDefault="00AA2ED6" w:rsidP="006D5CF1">
      <w:pPr>
        <w:pStyle w:val="Heading1"/>
      </w:pPr>
      <w:bookmarkStart w:id="0" w:name="_Toc4141151"/>
      <w:r w:rsidRPr="006D5CF1">
        <w:t>Detailed Reference Guide 1</w:t>
      </w:r>
      <w:r w:rsidR="007769DB">
        <w:t>:</w:t>
      </w:r>
      <w:bookmarkEnd w:id="0"/>
      <w:r w:rsidR="007769DB">
        <w:t xml:space="preserve"> </w:t>
      </w:r>
      <w:r w:rsidRPr="006D5CF1">
        <w:t>Change in terminology and change to structure of ‘Part 6 – Termination’</w:t>
      </w:r>
    </w:p>
    <w:p w14:paraId="75729241" w14:textId="77777777" w:rsidR="007769DB" w:rsidRPr="007769DB" w:rsidRDefault="007769DB" w:rsidP="007769DB">
      <w:pPr>
        <w:pStyle w:val="BodyText"/>
      </w:pPr>
      <w:r>
        <w:t xml:space="preserve">This reform starts on </w:t>
      </w:r>
      <w:r w:rsidR="00A121A1">
        <w:t>29 March 2021</w:t>
      </w:r>
      <w:r>
        <w:t>.</w:t>
      </w:r>
    </w:p>
    <w:p w14:paraId="4761C425" w14:textId="77777777" w:rsidR="00AA2ED6" w:rsidRDefault="00AA2ED6" w:rsidP="00AA2ED6">
      <w:pPr>
        <w:pStyle w:val="Heading2"/>
      </w:pPr>
      <w:r>
        <w:t>New requirement</w:t>
      </w:r>
    </w:p>
    <w:p w14:paraId="0CAE9517" w14:textId="77777777" w:rsidR="00AA2ED6" w:rsidRDefault="00AA2ED6" w:rsidP="00AA2ED6">
      <w:pPr>
        <w:pStyle w:val="Heading3"/>
      </w:pPr>
      <w:r w:rsidRPr="00AA2ED6">
        <w:t>Change in terminology</w:t>
      </w:r>
    </w:p>
    <w:p w14:paraId="209A3813" w14:textId="77777777" w:rsidR="00AA2ED6" w:rsidRPr="00AA2ED6" w:rsidRDefault="00AA2ED6" w:rsidP="00AA2ED6">
      <w:pPr>
        <w:pStyle w:val="BodyText"/>
      </w:pPr>
      <w:r w:rsidRPr="00AA2ED6">
        <w:t>The terminology for residential tenancies is changed as follows:</w:t>
      </w:r>
    </w:p>
    <w:p w14:paraId="5765E487" w14:textId="77777777" w:rsidR="00AA2ED6" w:rsidRPr="00AA2ED6" w:rsidRDefault="00AA2ED6" w:rsidP="00551483">
      <w:pPr>
        <w:pStyle w:val="ListBullet"/>
      </w:pPr>
      <w:r w:rsidRPr="00AA2ED6">
        <w:t>tenants are now renters</w:t>
      </w:r>
    </w:p>
    <w:p w14:paraId="7AFCEEA6" w14:textId="77777777" w:rsidR="00AA2ED6" w:rsidRPr="00AA2ED6" w:rsidRDefault="00AA2ED6" w:rsidP="00551483">
      <w:pPr>
        <w:pStyle w:val="ListBullet"/>
      </w:pPr>
      <w:r w:rsidRPr="00AA2ED6">
        <w:t>landlords are now residential rental providers (</w:t>
      </w:r>
      <w:r w:rsidR="007769DB">
        <w:t>‘</w:t>
      </w:r>
      <w:r w:rsidRPr="00AA2ED6">
        <w:t>rental providers</w:t>
      </w:r>
      <w:r w:rsidR="007769DB">
        <w:t>’</w:t>
      </w:r>
      <w:r w:rsidRPr="00AA2ED6">
        <w:t>)</w:t>
      </w:r>
    </w:p>
    <w:p w14:paraId="545C4DD0" w14:textId="77777777" w:rsidR="00AA2ED6" w:rsidRPr="00AA2ED6" w:rsidRDefault="00AA2ED6" w:rsidP="00551483">
      <w:pPr>
        <w:pStyle w:val="ListBullet"/>
      </w:pPr>
      <w:r w:rsidRPr="00AA2ED6">
        <w:t>tenancy agreements are now residential rental agreements (</w:t>
      </w:r>
      <w:r w:rsidR="007769DB">
        <w:t>‘</w:t>
      </w:r>
      <w:r w:rsidRPr="00AA2ED6">
        <w:t>rental agreements</w:t>
      </w:r>
      <w:r w:rsidR="007769DB">
        <w:t>’</w:t>
      </w:r>
      <w:r w:rsidRPr="00AA2ED6">
        <w:t>)</w:t>
      </w:r>
    </w:p>
    <w:p w14:paraId="742219F9" w14:textId="77777777" w:rsidR="00AA2ED6" w:rsidRPr="00AA2ED6" w:rsidRDefault="00AA2ED6" w:rsidP="00551483">
      <w:pPr>
        <w:pStyle w:val="ListBullet"/>
      </w:pPr>
      <w:r w:rsidRPr="00AA2ED6">
        <w:t>rooming house owners are now rooming house operators.</w:t>
      </w:r>
    </w:p>
    <w:p w14:paraId="5B4B577F" w14:textId="77777777" w:rsidR="00AA2ED6" w:rsidRDefault="00AA2ED6" w:rsidP="00AA2ED6">
      <w:pPr>
        <w:pStyle w:val="BodyText"/>
      </w:pPr>
      <w:r w:rsidRPr="0036189D">
        <w:t>The definitions ha</w:t>
      </w:r>
      <w:r>
        <w:t>ve</w:t>
      </w:r>
      <w:r w:rsidRPr="0036189D">
        <w:t xml:space="preserve"> not changed.</w:t>
      </w:r>
    </w:p>
    <w:p w14:paraId="74688EA8" w14:textId="77777777" w:rsidR="00551483" w:rsidRDefault="00551483" w:rsidP="00551483">
      <w:pPr>
        <w:pStyle w:val="Heading3"/>
      </w:pPr>
      <w:r>
        <w:t>Change to structure of ‘Part 6 – Termination’</w:t>
      </w:r>
    </w:p>
    <w:p w14:paraId="6A35B5F8" w14:textId="77777777" w:rsidR="00551483" w:rsidRPr="00551483" w:rsidRDefault="00551483" w:rsidP="00551483">
      <w:pPr>
        <w:pStyle w:val="BodyText"/>
      </w:pPr>
      <w:r w:rsidRPr="00551483">
        <w:t>Provisions relating to termination of rental agreements,</w:t>
      </w:r>
      <w:bookmarkStart w:id="1" w:name="_GoBack"/>
      <w:bookmarkEnd w:id="1"/>
      <w:r w:rsidRPr="00551483">
        <w:t xml:space="preserve"> residency rights in rooming houses and caravan parks</w:t>
      </w:r>
      <w:r w:rsidR="007769DB">
        <w:t>,</w:t>
      </w:r>
      <w:r w:rsidRPr="00551483">
        <w:t xml:space="preserve"> and site agreements in Part 4A parks have been relocated within the </w:t>
      </w:r>
      <w:r w:rsidRPr="007769DB">
        <w:rPr>
          <w:i/>
        </w:rPr>
        <w:t xml:space="preserve">Residential Tenancies Act </w:t>
      </w:r>
      <w:r w:rsidR="007769DB" w:rsidRPr="007769DB">
        <w:rPr>
          <w:i/>
        </w:rPr>
        <w:t>1997</w:t>
      </w:r>
      <w:r w:rsidR="007769DB">
        <w:t xml:space="preserve"> </w:t>
      </w:r>
      <w:r w:rsidRPr="00551483">
        <w:t>(the Act).</w:t>
      </w:r>
    </w:p>
    <w:p w14:paraId="2992DD83" w14:textId="77777777" w:rsidR="00551483" w:rsidRPr="00551483" w:rsidRDefault="00551483" w:rsidP="00551483">
      <w:pPr>
        <w:pStyle w:val="BodyText"/>
      </w:pPr>
      <w:r w:rsidRPr="00551483">
        <w:t>Previously provisions relating to termination of each rental type were all included in Part 6 of the Act.</w:t>
      </w:r>
    </w:p>
    <w:p w14:paraId="0248AC15" w14:textId="77777777" w:rsidR="00551483" w:rsidRPr="00551483" w:rsidRDefault="00551483" w:rsidP="00551483">
      <w:pPr>
        <w:pStyle w:val="BodyText"/>
      </w:pPr>
      <w:r w:rsidRPr="00551483">
        <w:t>Now, former Part 6 of the Act has been split up and the provisions relating to termination of each rental type are included in the Part of the Act which governs that rental type, as follows:</w:t>
      </w:r>
    </w:p>
    <w:p w14:paraId="38FE4BAA" w14:textId="77777777" w:rsidR="00551483" w:rsidRPr="00551483" w:rsidRDefault="00551483" w:rsidP="00551483">
      <w:pPr>
        <w:pStyle w:val="ListBullet"/>
      </w:pPr>
      <w:r w:rsidRPr="00551483">
        <w:t>Division 9 of Part 2 – Termination of residential rental agreements</w:t>
      </w:r>
    </w:p>
    <w:p w14:paraId="0EA98EC8" w14:textId="77777777" w:rsidR="00551483" w:rsidRPr="00551483" w:rsidRDefault="00551483" w:rsidP="00551483">
      <w:pPr>
        <w:pStyle w:val="ListBullet"/>
      </w:pPr>
      <w:r w:rsidRPr="00551483">
        <w:t>Division 10 of Part 3 – Termination of residency rights in rooming houses</w:t>
      </w:r>
    </w:p>
    <w:p w14:paraId="19D746DB" w14:textId="77777777" w:rsidR="00551483" w:rsidRPr="00551483" w:rsidRDefault="00551483" w:rsidP="00551483">
      <w:pPr>
        <w:pStyle w:val="ListBullet"/>
      </w:pPr>
      <w:r w:rsidRPr="00551483">
        <w:t>Division 9 of Part 4 – Termination of residency rights in caravan parks</w:t>
      </w:r>
    </w:p>
    <w:p w14:paraId="72C5FBE0" w14:textId="77777777" w:rsidR="00551483" w:rsidRPr="00551483" w:rsidRDefault="00551483" w:rsidP="00551483">
      <w:pPr>
        <w:pStyle w:val="ListBullet"/>
      </w:pPr>
      <w:r w:rsidRPr="00551483">
        <w:t>Division 11 of Part 4A – Termination of site agreements in Part 4A parks</w:t>
      </w:r>
      <w:r w:rsidR="007769DB">
        <w:t>.</w:t>
      </w:r>
    </w:p>
    <w:p w14:paraId="305CA2AF" w14:textId="77777777" w:rsidR="00AA2ED6" w:rsidRDefault="00551483" w:rsidP="00AA2ED6">
      <w:pPr>
        <w:pStyle w:val="BodyText"/>
      </w:pPr>
      <w:r w:rsidRPr="00551483">
        <w:t>These changes are technical in nature and do not impact on the operation of the provisions relating to termination of a rental agreement. Because of the relocation of these provisions they have been assigned new section numbers.</w:t>
      </w:r>
    </w:p>
    <w:p w14:paraId="6CD9D309" w14:textId="77777777" w:rsidR="00551483" w:rsidRPr="00551483" w:rsidRDefault="00551483" w:rsidP="00551483">
      <w:pPr>
        <w:pStyle w:val="Heading2"/>
      </w:pPr>
      <w:r w:rsidRPr="00551483">
        <w:t>Previous requirement</w:t>
      </w:r>
    </w:p>
    <w:p w14:paraId="7B81FAB3" w14:textId="77777777" w:rsidR="00551483" w:rsidRPr="00551483" w:rsidRDefault="00551483" w:rsidP="00551483">
      <w:pPr>
        <w:pStyle w:val="BodyText"/>
      </w:pPr>
      <w:r w:rsidRPr="00551483">
        <w:t xml:space="preserve">Previously, the terms </w:t>
      </w:r>
      <w:r w:rsidR="007769DB">
        <w:t>‘</w:t>
      </w:r>
      <w:r w:rsidRPr="00551483">
        <w:t>tenant</w:t>
      </w:r>
      <w:r w:rsidR="007769DB">
        <w:t>’</w:t>
      </w:r>
      <w:r w:rsidRPr="00551483">
        <w:t xml:space="preserve">, </w:t>
      </w:r>
      <w:r w:rsidR="007769DB">
        <w:t>‘</w:t>
      </w:r>
      <w:r w:rsidRPr="00551483">
        <w:t>landlord</w:t>
      </w:r>
      <w:r w:rsidR="007769DB">
        <w:t>’</w:t>
      </w:r>
      <w:r w:rsidRPr="00551483">
        <w:t xml:space="preserve">, </w:t>
      </w:r>
      <w:r w:rsidR="007769DB">
        <w:t>‘</w:t>
      </w:r>
      <w:r w:rsidRPr="00551483">
        <w:t>tenancy agreement</w:t>
      </w:r>
      <w:r w:rsidR="007769DB">
        <w:t>’</w:t>
      </w:r>
      <w:r w:rsidRPr="00551483">
        <w:t xml:space="preserve"> and </w:t>
      </w:r>
      <w:r w:rsidR="007769DB">
        <w:t>‘</w:t>
      </w:r>
      <w:r w:rsidRPr="00551483">
        <w:t>rooming house owner</w:t>
      </w:r>
      <w:r w:rsidR="007769DB">
        <w:t>’</w:t>
      </w:r>
      <w:r w:rsidRPr="00551483">
        <w:t xml:space="preserve"> were used in the Act.</w:t>
      </w:r>
    </w:p>
    <w:p w14:paraId="447B9DBD" w14:textId="77777777" w:rsidR="00551483" w:rsidRPr="00551483" w:rsidRDefault="00551483" w:rsidP="00551483">
      <w:pPr>
        <w:pStyle w:val="BodyText"/>
      </w:pPr>
      <w:r w:rsidRPr="00551483">
        <w:t>Provisions relating to termination of each rental type were all included in Part 6 of the Act.</w:t>
      </w:r>
    </w:p>
    <w:p w14:paraId="555F271D" w14:textId="77777777" w:rsidR="00551483" w:rsidRPr="00551483" w:rsidRDefault="00551483" w:rsidP="00551483">
      <w:pPr>
        <w:pStyle w:val="Heading2"/>
      </w:pPr>
      <w:bookmarkStart w:id="2" w:name="_Toc526339631"/>
      <w:r w:rsidRPr="00551483">
        <w:t xml:space="preserve">Relevant legislation in the </w:t>
      </w:r>
      <w:r w:rsidRPr="007769DB">
        <w:rPr>
          <w:i/>
        </w:rPr>
        <w:t>Residential Tenancies Act</w:t>
      </w:r>
      <w:bookmarkEnd w:id="2"/>
      <w:r w:rsidR="007769DB" w:rsidRPr="007769DB">
        <w:rPr>
          <w:i/>
        </w:rPr>
        <w:t xml:space="preserve"> 1997</w:t>
      </w:r>
    </w:p>
    <w:p w14:paraId="3E6C5A01" w14:textId="77777777" w:rsidR="00551483" w:rsidRDefault="00551483" w:rsidP="00551483">
      <w:pPr>
        <w:pStyle w:val="BodyText"/>
      </w:pPr>
      <w:bookmarkStart w:id="3" w:name="_Toc499104810"/>
      <w:bookmarkStart w:id="4" w:name="_Toc526339632"/>
      <w:r>
        <w:t>Note</w:t>
      </w:r>
      <w:r w:rsidR="007769DB">
        <w:t>:</w:t>
      </w:r>
      <w:r>
        <w:t xml:space="preserve"> </w:t>
      </w:r>
      <w:r w:rsidR="007769DB">
        <w:t>T</w:t>
      </w:r>
      <w:r>
        <w:t>he definition</w:t>
      </w:r>
      <w:r w:rsidR="007769DB">
        <w:t>s</w:t>
      </w:r>
      <w:r>
        <w:t xml:space="preserve"> of ‘renter’, ‘residential rental provider’, ‘residential rental agreement’ and ‘rooming house operator’ are contained in section 3</w:t>
      </w:r>
      <w:r w:rsidR="007769DB">
        <w:t>.</w:t>
      </w:r>
    </w:p>
    <w:bookmarkEnd w:id="3"/>
    <w:bookmarkEnd w:id="4"/>
    <w:p w14:paraId="5DC5A35D" w14:textId="77777777" w:rsidR="00CA31C2" w:rsidRPr="00510F74" w:rsidRDefault="00551483" w:rsidP="007769DB">
      <w:pPr>
        <w:pStyle w:val="BodyText"/>
      </w:pPr>
      <w:r>
        <w:t xml:space="preserve">Note: This was Reform 1 in the Fairer Safer Housing review. </w:t>
      </w:r>
    </w:p>
    <w:sectPr w:rsidR="00CA31C2" w:rsidRPr="00510F74" w:rsidSect="00230BBE">
      <w:footerReference w:type="default" r:id="rId8"/>
      <w:footerReference w:type="first" r:id="rId9"/>
      <w:type w:val="continuous"/>
      <w:pgSz w:w="11906" w:h="16838"/>
      <w:pgMar w:top="1134" w:right="1134" w:bottom="1134" w:left="1134" w:header="567"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5D561" w14:textId="77777777" w:rsidR="00067998" w:rsidRDefault="00067998">
      <w:r>
        <w:separator/>
      </w:r>
    </w:p>
    <w:p w14:paraId="6ED79612" w14:textId="77777777" w:rsidR="00067998" w:rsidRDefault="00067998"/>
  </w:endnote>
  <w:endnote w:type="continuationSeparator" w:id="0">
    <w:p w14:paraId="5B0A4BB5" w14:textId="77777777" w:rsidR="00067998" w:rsidRDefault="00067998">
      <w:r>
        <w:continuationSeparator/>
      </w:r>
    </w:p>
    <w:p w14:paraId="3507537E" w14:textId="77777777" w:rsidR="00067998" w:rsidRDefault="000679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22A7" w14:textId="77777777" w:rsidR="00543073" w:rsidRPr="005545CA" w:rsidRDefault="00543073" w:rsidP="005545CA">
    <w:pPr>
      <w:pStyle w:val="Footercentered"/>
    </w:pPr>
    <w:r w:rsidRPr="00176A29">
      <w:t xml:space="preserve">Page </w:t>
    </w:r>
    <w:r w:rsidRPr="00482C9D">
      <w:rPr>
        <w:b/>
        <w:sz w:val="24"/>
        <w:szCs w:val="24"/>
      </w:rPr>
      <w:fldChar w:fldCharType="begin"/>
    </w:r>
    <w:r w:rsidRPr="00482C9D">
      <w:rPr>
        <w:b/>
      </w:rPr>
      <w:instrText xml:space="preserve"> PAGE </w:instrText>
    </w:r>
    <w:r w:rsidRPr="00482C9D">
      <w:rPr>
        <w:b/>
        <w:sz w:val="24"/>
        <w:szCs w:val="24"/>
      </w:rPr>
      <w:fldChar w:fldCharType="separate"/>
    </w:r>
    <w:r w:rsidR="007864F0">
      <w:rPr>
        <w:b/>
        <w:noProof/>
      </w:rPr>
      <w:t>2</w:t>
    </w:r>
    <w:r w:rsidRPr="00482C9D">
      <w:rPr>
        <w:b/>
        <w:sz w:val="24"/>
        <w:szCs w:val="24"/>
      </w:rPr>
      <w:fldChar w:fldCharType="end"/>
    </w:r>
    <w:r>
      <w:t xml:space="preserve"> of </w:t>
    </w:r>
    <w:r w:rsidRPr="00482C9D">
      <w:rPr>
        <w:b/>
        <w:sz w:val="24"/>
        <w:szCs w:val="24"/>
      </w:rPr>
      <w:fldChar w:fldCharType="begin"/>
    </w:r>
    <w:r w:rsidRPr="00482C9D">
      <w:rPr>
        <w:b/>
      </w:rPr>
      <w:instrText xml:space="preserve"> NUMPAGES  </w:instrText>
    </w:r>
    <w:r w:rsidRPr="00482C9D">
      <w:rPr>
        <w:b/>
        <w:sz w:val="24"/>
        <w:szCs w:val="24"/>
      </w:rPr>
      <w:fldChar w:fldCharType="separate"/>
    </w:r>
    <w:r w:rsidR="004A46ED">
      <w:rPr>
        <w:b/>
        <w:noProof/>
      </w:rPr>
      <w:t>1</w:t>
    </w:r>
    <w:r w:rsidRPr="00482C9D">
      <w:rPr>
        <w:b/>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F7169" w14:textId="77777777" w:rsidR="00510F74" w:rsidRPr="004A46ED" w:rsidRDefault="007769DB" w:rsidP="007769DB">
    <w:pPr>
      <w:pStyle w:val="Footer"/>
    </w:pPr>
    <w:r>
      <w:t>consumer.vic.gov.au/</w:t>
    </w:r>
    <w:proofErr w:type="spellStart"/>
    <w:r>
      <w:t>rentinglawchanges</w:t>
    </w:r>
    <w:proofErr w:type="spellEnd"/>
    <w:r w:rsidR="004A46ED">
      <w:tab/>
    </w:r>
    <w:r w:rsidR="004A46ED" w:rsidRPr="00176A29">
      <w:t xml:space="preserve">Page </w:t>
    </w:r>
    <w:r w:rsidR="004A46ED">
      <w:rPr>
        <w:b/>
        <w:bCs/>
      </w:rPr>
      <w:fldChar w:fldCharType="begin"/>
    </w:r>
    <w:r w:rsidR="004A46ED">
      <w:rPr>
        <w:b/>
        <w:bCs/>
      </w:rPr>
      <w:instrText xml:space="preserve"> PAGE </w:instrText>
    </w:r>
    <w:r w:rsidR="004A46ED">
      <w:rPr>
        <w:b/>
        <w:bCs/>
      </w:rPr>
      <w:fldChar w:fldCharType="separate"/>
    </w:r>
    <w:r w:rsidR="004A46ED">
      <w:rPr>
        <w:b/>
        <w:bCs/>
        <w:noProof/>
      </w:rPr>
      <w:t>1</w:t>
    </w:r>
    <w:r w:rsidR="004A46ED">
      <w:rPr>
        <w:b/>
        <w:bCs/>
      </w:rPr>
      <w:fldChar w:fldCharType="end"/>
    </w:r>
    <w:r w:rsidR="004A46ED">
      <w:t xml:space="preserve"> of </w:t>
    </w:r>
    <w:r w:rsidR="00551483">
      <w:rPr>
        <w:b/>
        <w:bCs/>
      </w:rPr>
      <w:t>1</w:t>
    </w:r>
    <w:r w:rsidR="004A46ED">
      <w:rPr>
        <w:b/>
        <w:bCs/>
      </w:rPr>
      <w:tab/>
    </w:r>
    <w:r w:rsidR="004A46ED" w:rsidRPr="00B6136A">
      <w:rPr>
        <w:rFonts w:cs="Helv"/>
        <w:b/>
        <w:noProof/>
        <w:color w:val="FF0000"/>
      </w:rPr>
      <w:drawing>
        <wp:inline distT="0" distB="0" distL="0" distR="0" wp14:anchorId="4B8DA369" wp14:editId="13C2D90D">
          <wp:extent cx="1666875" cy="466725"/>
          <wp:effectExtent l="0" t="0" r="9525" b="9525"/>
          <wp:docPr id="1" name="Picture 1"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onsumer Affairs Victo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E4FCD" w14:textId="77777777" w:rsidR="00067998" w:rsidRDefault="00067998">
      <w:r>
        <w:separator/>
      </w:r>
    </w:p>
    <w:p w14:paraId="37B82AA3" w14:textId="77777777" w:rsidR="00067998" w:rsidRDefault="00067998"/>
  </w:footnote>
  <w:footnote w:type="continuationSeparator" w:id="0">
    <w:p w14:paraId="0D73C79D" w14:textId="77777777" w:rsidR="00067998" w:rsidRDefault="00067998">
      <w:r>
        <w:continuationSeparator/>
      </w:r>
    </w:p>
    <w:p w14:paraId="2DBD8DFB" w14:textId="77777777" w:rsidR="00067998" w:rsidRDefault="000679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40CE5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CF8744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25ED40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8CF898CC"/>
    <w:lvl w:ilvl="0">
      <w:start w:val="1"/>
      <w:numFmt w:val="lowerLetter"/>
      <w:pStyle w:val="ListNumber2"/>
      <w:lvlText w:val="%1)"/>
      <w:lvlJc w:val="left"/>
      <w:pPr>
        <w:ind w:left="680" w:hanging="340"/>
      </w:pPr>
      <w:rPr>
        <w:rFonts w:hint="default"/>
      </w:rPr>
    </w:lvl>
  </w:abstractNum>
  <w:abstractNum w:abstractNumId="5" w15:restartNumberingAfterBreak="0">
    <w:nsid w:val="FFFFFF80"/>
    <w:multiLevelType w:val="singleLevel"/>
    <w:tmpl w:val="B2784E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56852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4E6AA5C"/>
    <w:lvl w:ilvl="0">
      <w:start w:val="1"/>
      <w:numFmt w:val="bullet"/>
      <w:pStyle w:val="ListBullet2"/>
      <w:lvlText w:val="o"/>
      <w:lvlJc w:val="left"/>
      <w:pPr>
        <w:ind w:left="454" w:hanging="227"/>
      </w:pPr>
      <w:rPr>
        <w:rFonts w:ascii="Courier New" w:hAnsi="Courier New" w:hint="default"/>
      </w:rPr>
    </w:lvl>
  </w:abstractNum>
  <w:abstractNum w:abstractNumId="9" w15:restartNumberingAfterBreak="0">
    <w:nsid w:val="FFFFFF88"/>
    <w:multiLevelType w:val="singleLevel"/>
    <w:tmpl w:val="4A088EAE"/>
    <w:lvl w:ilvl="0">
      <w:start w:val="1"/>
      <w:numFmt w:val="decimal"/>
      <w:pStyle w:val="ListNumber"/>
      <w:lvlText w:val="%1."/>
      <w:lvlJc w:val="left"/>
      <w:pPr>
        <w:ind w:left="340" w:hanging="340"/>
      </w:pPr>
      <w:rPr>
        <w:rFonts w:hint="default"/>
        <w:i w:val="0"/>
      </w:rPr>
    </w:lvl>
  </w:abstractNum>
  <w:abstractNum w:abstractNumId="10" w15:restartNumberingAfterBreak="0">
    <w:nsid w:val="FFFFFF89"/>
    <w:multiLevelType w:val="singleLevel"/>
    <w:tmpl w:val="4692E09C"/>
    <w:lvl w:ilvl="0">
      <w:start w:val="1"/>
      <w:numFmt w:val="bullet"/>
      <w:pStyle w:val="ListBullet"/>
      <w:lvlText w:val=""/>
      <w:lvlJc w:val="left"/>
      <w:pPr>
        <w:ind w:left="227" w:hanging="227"/>
      </w:pPr>
      <w:rPr>
        <w:rFonts w:ascii="Symbol" w:hAnsi="Symbol" w:hint="default"/>
      </w:rPr>
    </w:lvl>
  </w:abstractNum>
  <w:abstractNum w:abstractNumId="11" w15:restartNumberingAfterBreak="0">
    <w:nsid w:val="02F22E44"/>
    <w:multiLevelType w:val="hybridMultilevel"/>
    <w:tmpl w:val="34FE60CC"/>
    <w:lvl w:ilvl="0" w:tplc="2F16A99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36337E"/>
    <w:multiLevelType w:val="multilevel"/>
    <w:tmpl w:val="3558EC06"/>
    <w:lvl w:ilvl="0">
      <w:start w:val="1"/>
      <w:numFmt w:val="decimal"/>
      <w:lvlText w:val="%1."/>
      <w:lvlJc w:val="left"/>
      <w:pPr>
        <w:ind w:left="357"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EA0E8C"/>
    <w:multiLevelType w:val="hybridMultilevel"/>
    <w:tmpl w:val="0D1E77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71D427E"/>
    <w:multiLevelType w:val="hybridMultilevel"/>
    <w:tmpl w:val="B7C6D2E0"/>
    <w:lvl w:ilvl="0" w:tplc="AA923C1E">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B55D48"/>
    <w:multiLevelType w:val="hybridMultilevel"/>
    <w:tmpl w:val="DDB4BE28"/>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6" w15:restartNumberingAfterBreak="0">
    <w:nsid w:val="39455056"/>
    <w:multiLevelType w:val="hybridMultilevel"/>
    <w:tmpl w:val="70F26E1A"/>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605028"/>
    <w:multiLevelType w:val="hybridMultilevel"/>
    <w:tmpl w:val="AC0CC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942856"/>
    <w:multiLevelType w:val="hybridMultilevel"/>
    <w:tmpl w:val="3A0E8800"/>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A6661B"/>
    <w:multiLevelType w:val="hybridMultilevel"/>
    <w:tmpl w:val="C5C47BFA"/>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A2256E"/>
    <w:multiLevelType w:val="hybridMultilevel"/>
    <w:tmpl w:val="3558EC06"/>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453472"/>
    <w:multiLevelType w:val="multilevel"/>
    <w:tmpl w:val="F4C489E6"/>
    <w:lvl w:ilvl="0">
      <w:start w:val="1"/>
      <w:numFmt w:val="decimal"/>
      <w:lvlText w:val="%1."/>
      <w:lvlJc w:val="left"/>
      <w:pPr>
        <w:ind w:left="357"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A5B3886"/>
    <w:multiLevelType w:val="hybridMultilevel"/>
    <w:tmpl w:val="5F1E95FC"/>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3" w15:restartNumberingAfterBreak="0">
    <w:nsid w:val="4C163738"/>
    <w:multiLevelType w:val="hybridMultilevel"/>
    <w:tmpl w:val="25384AA2"/>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8D0A0E"/>
    <w:multiLevelType w:val="hybridMultilevel"/>
    <w:tmpl w:val="F4C489E6"/>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A06FB6"/>
    <w:multiLevelType w:val="multilevel"/>
    <w:tmpl w:val="3E548662"/>
    <w:lvl w:ilvl="0">
      <w:start w:val="1"/>
      <w:numFmt w:val="decimal"/>
      <w:lvlText w:val="%1."/>
      <w:lvlJc w:val="left"/>
      <w:pPr>
        <w:ind w:left="357"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70C09E0"/>
    <w:multiLevelType w:val="hybridMultilevel"/>
    <w:tmpl w:val="FE8A86DC"/>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C6725E"/>
    <w:multiLevelType w:val="hybridMultilevel"/>
    <w:tmpl w:val="CD527856"/>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685669"/>
    <w:multiLevelType w:val="hybridMultilevel"/>
    <w:tmpl w:val="8850F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922CAA"/>
    <w:multiLevelType w:val="hybridMultilevel"/>
    <w:tmpl w:val="3E548662"/>
    <w:lvl w:ilvl="0" w:tplc="2F16A99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ED1A7E"/>
    <w:multiLevelType w:val="hybridMultilevel"/>
    <w:tmpl w:val="E446DC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0"/>
  </w:num>
  <w:num w:numId="3">
    <w:abstractNumId w:val="10"/>
  </w:num>
  <w:num w:numId="4">
    <w:abstractNumId w:val="8"/>
  </w:num>
  <w:num w:numId="5">
    <w:abstractNumId w:val="9"/>
  </w:num>
  <w:num w:numId="6">
    <w:abstractNumId w:val="4"/>
  </w:num>
  <w:num w:numId="7">
    <w:abstractNumId w:val="3"/>
  </w:num>
  <w:num w:numId="8">
    <w:abstractNumId w:val="14"/>
  </w:num>
  <w:num w:numId="9">
    <w:abstractNumId w:val="9"/>
    <w:lvlOverride w:ilvl="0">
      <w:startOverride w:val="1"/>
    </w:lvlOverride>
  </w:num>
  <w:num w:numId="10">
    <w:abstractNumId w:val="9"/>
    <w:lvlOverride w:ilvl="0">
      <w:startOverride w:val="1"/>
    </w:lvlOverride>
  </w:num>
  <w:num w:numId="11">
    <w:abstractNumId w:val="0"/>
  </w:num>
  <w:num w:numId="12">
    <w:abstractNumId w:val="31"/>
  </w:num>
  <w:num w:numId="13">
    <w:abstractNumId w:val="27"/>
  </w:num>
  <w:num w:numId="14">
    <w:abstractNumId w:val="24"/>
  </w:num>
  <w:num w:numId="15">
    <w:abstractNumId w:val="23"/>
  </w:num>
  <w:num w:numId="16">
    <w:abstractNumId w:val="26"/>
  </w:num>
  <w:num w:numId="17">
    <w:abstractNumId w:val="16"/>
  </w:num>
  <w:num w:numId="18">
    <w:abstractNumId w:val="19"/>
  </w:num>
  <w:num w:numId="19">
    <w:abstractNumId w:val="18"/>
  </w:num>
  <w:num w:numId="20">
    <w:abstractNumId w:val="21"/>
  </w:num>
  <w:num w:numId="21">
    <w:abstractNumId w:val="20"/>
  </w:num>
  <w:num w:numId="22">
    <w:abstractNumId w:val="12"/>
  </w:num>
  <w:num w:numId="23">
    <w:abstractNumId w:val="13"/>
  </w:num>
  <w:num w:numId="24">
    <w:abstractNumId w:val="11"/>
  </w:num>
  <w:num w:numId="25">
    <w:abstractNumId w:val="29"/>
  </w:num>
  <w:num w:numId="26">
    <w:abstractNumId w:val="25"/>
  </w:num>
  <w:num w:numId="27">
    <w:abstractNumId w:val="7"/>
  </w:num>
  <w:num w:numId="28">
    <w:abstractNumId w:val="6"/>
  </w:num>
  <w:num w:numId="29">
    <w:abstractNumId w:val="5"/>
  </w:num>
  <w:num w:numId="30">
    <w:abstractNumId w:val="2"/>
  </w:num>
  <w:num w:numId="31">
    <w:abstractNumId w:val="1"/>
  </w:num>
  <w:num w:numId="32">
    <w:abstractNumId w:val="9"/>
    <w:lvlOverride w:ilvl="0">
      <w:startOverride w:val="1"/>
    </w:lvlOverride>
  </w:num>
  <w:num w:numId="33">
    <w:abstractNumId w:val="9"/>
    <w:lvlOverride w:ilvl="0">
      <w:startOverride w:val="1"/>
    </w:lvlOverride>
  </w:num>
  <w:num w:numId="34">
    <w:abstractNumId w:val="32"/>
  </w:num>
  <w:num w:numId="35">
    <w:abstractNumId w:val="10"/>
  </w:num>
  <w:num w:numId="36">
    <w:abstractNumId w:val="8"/>
  </w:num>
  <w:num w:numId="37">
    <w:abstractNumId w:val="9"/>
  </w:num>
  <w:num w:numId="38">
    <w:abstractNumId w:val="4"/>
  </w:num>
  <w:num w:numId="39">
    <w:abstractNumId w:val="3"/>
  </w:num>
  <w:num w:numId="40">
    <w:abstractNumId w:val="30"/>
  </w:num>
  <w:num w:numId="41">
    <w:abstractNumId w:val="8"/>
  </w:num>
  <w:num w:numId="42">
    <w:abstractNumId w:val="8"/>
  </w:num>
  <w:num w:numId="43">
    <w:abstractNumId w:val="7"/>
  </w:num>
  <w:num w:numId="44">
    <w:abstractNumId w:val="4"/>
  </w:num>
  <w:num w:numId="45">
    <w:abstractNumId w:val="3"/>
  </w:num>
  <w:num w:numId="46">
    <w:abstractNumId w:val="15"/>
  </w:num>
  <w:num w:numId="47">
    <w:abstractNumId w:val="28"/>
  </w:num>
  <w:num w:numId="48">
    <w:abstractNumId w:val="22"/>
  </w:num>
  <w:num w:numId="49">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362"/>
    <w:rsid w:val="000037CA"/>
    <w:rsid w:val="000168A1"/>
    <w:rsid w:val="000220CA"/>
    <w:rsid w:val="000355C2"/>
    <w:rsid w:val="00037895"/>
    <w:rsid w:val="000422C4"/>
    <w:rsid w:val="00043557"/>
    <w:rsid w:val="00046307"/>
    <w:rsid w:val="0005581F"/>
    <w:rsid w:val="00056795"/>
    <w:rsid w:val="00056A2B"/>
    <w:rsid w:val="00056F69"/>
    <w:rsid w:val="0006239C"/>
    <w:rsid w:val="0006318E"/>
    <w:rsid w:val="00066F81"/>
    <w:rsid w:val="00067998"/>
    <w:rsid w:val="00067AA8"/>
    <w:rsid w:val="0007437B"/>
    <w:rsid w:val="00080E8C"/>
    <w:rsid w:val="00085AFF"/>
    <w:rsid w:val="000A05C2"/>
    <w:rsid w:val="000A1E6A"/>
    <w:rsid w:val="000A280C"/>
    <w:rsid w:val="000A4445"/>
    <w:rsid w:val="000A5E17"/>
    <w:rsid w:val="000A6C1A"/>
    <w:rsid w:val="000B5EDC"/>
    <w:rsid w:val="000B65D4"/>
    <w:rsid w:val="000B7347"/>
    <w:rsid w:val="000C2798"/>
    <w:rsid w:val="000C3171"/>
    <w:rsid w:val="000C620E"/>
    <w:rsid w:val="000C7A60"/>
    <w:rsid w:val="000D780B"/>
    <w:rsid w:val="000D7EA7"/>
    <w:rsid w:val="000E0C11"/>
    <w:rsid w:val="000E3132"/>
    <w:rsid w:val="000E3EE0"/>
    <w:rsid w:val="000E5829"/>
    <w:rsid w:val="000E69CF"/>
    <w:rsid w:val="001011A2"/>
    <w:rsid w:val="00103A0B"/>
    <w:rsid w:val="00106914"/>
    <w:rsid w:val="0011355C"/>
    <w:rsid w:val="0012093B"/>
    <w:rsid w:val="00121599"/>
    <w:rsid w:val="0012684E"/>
    <w:rsid w:val="00126958"/>
    <w:rsid w:val="0013188A"/>
    <w:rsid w:val="00134668"/>
    <w:rsid w:val="001424CD"/>
    <w:rsid w:val="00151CDA"/>
    <w:rsid w:val="00151FFF"/>
    <w:rsid w:val="001530A6"/>
    <w:rsid w:val="0016060A"/>
    <w:rsid w:val="0016458D"/>
    <w:rsid w:val="00165E75"/>
    <w:rsid w:val="00167AA0"/>
    <w:rsid w:val="0017595D"/>
    <w:rsid w:val="00175B1C"/>
    <w:rsid w:val="00176A29"/>
    <w:rsid w:val="00185BEB"/>
    <w:rsid w:val="00193C70"/>
    <w:rsid w:val="0019654D"/>
    <w:rsid w:val="001A277F"/>
    <w:rsid w:val="001B44A6"/>
    <w:rsid w:val="001B47B8"/>
    <w:rsid w:val="001B5F47"/>
    <w:rsid w:val="001C0C14"/>
    <w:rsid w:val="001D2FE7"/>
    <w:rsid w:val="001D5AC2"/>
    <w:rsid w:val="001E2177"/>
    <w:rsid w:val="001E59E9"/>
    <w:rsid w:val="001E6366"/>
    <w:rsid w:val="001F260E"/>
    <w:rsid w:val="001F7271"/>
    <w:rsid w:val="0020362C"/>
    <w:rsid w:val="002130E8"/>
    <w:rsid w:val="00213B65"/>
    <w:rsid w:val="0022011C"/>
    <w:rsid w:val="00220917"/>
    <w:rsid w:val="00220BFA"/>
    <w:rsid w:val="00222C13"/>
    <w:rsid w:val="00230BBE"/>
    <w:rsid w:val="002325A7"/>
    <w:rsid w:val="00233F44"/>
    <w:rsid w:val="0024319C"/>
    <w:rsid w:val="0024452E"/>
    <w:rsid w:val="00250A4D"/>
    <w:rsid w:val="00254903"/>
    <w:rsid w:val="00254AB9"/>
    <w:rsid w:val="0026293D"/>
    <w:rsid w:val="0026293E"/>
    <w:rsid w:val="0026346A"/>
    <w:rsid w:val="002645FC"/>
    <w:rsid w:val="002660A7"/>
    <w:rsid w:val="002749A3"/>
    <w:rsid w:val="00275B66"/>
    <w:rsid w:val="00275ECB"/>
    <w:rsid w:val="00276618"/>
    <w:rsid w:val="00277089"/>
    <w:rsid w:val="002778E8"/>
    <w:rsid w:val="00277DCB"/>
    <w:rsid w:val="00285E9F"/>
    <w:rsid w:val="002867A9"/>
    <w:rsid w:val="0028766F"/>
    <w:rsid w:val="0029246A"/>
    <w:rsid w:val="00292A69"/>
    <w:rsid w:val="00294C52"/>
    <w:rsid w:val="002A1F82"/>
    <w:rsid w:val="002A2A8C"/>
    <w:rsid w:val="002B0278"/>
    <w:rsid w:val="002B1C94"/>
    <w:rsid w:val="002B2F0C"/>
    <w:rsid w:val="002B4410"/>
    <w:rsid w:val="002C6B45"/>
    <w:rsid w:val="002C7148"/>
    <w:rsid w:val="002D243D"/>
    <w:rsid w:val="002D4DC2"/>
    <w:rsid w:val="002D51D9"/>
    <w:rsid w:val="002D78BC"/>
    <w:rsid w:val="002E1AED"/>
    <w:rsid w:val="002E79FA"/>
    <w:rsid w:val="002F1B76"/>
    <w:rsid w:val="002F64C1"/>
    <w:rsid w:val="002F6912"/>
    <w:rsid w:val="00300E5B"/>
    <w:rsid w:val="003035FD"/>
    <w:rsid w:val="00307DEC"/>
    <w:rsid w:val="003102FE"/>
    <w:rsid w:val="00311BA5"/>
    <w:rsid w:val="0032298B"/>
    <w:rsid w:val="00323759"/>
    <w:rsid w:val="00330CC8"/>
    <w:rsid w:val="00335793"/>
    <w:rsid w:val="00336A96"/>
    <w:rsid w:val="0034343A"/>
    <w:rsid w:val="003435C6"/>
    <w:rsid w:val="00346A3D"/>
    <w:rsid w:val="00353DC2"/>
    <w:rsid w:val="003551C8"/>
    <w:rsid w:val="00355566"/>
    <w:rsid w:val="00356C19"/>
    <w:rsid w:val="00357B57"/>
    <w:rsid w:val="00375E18"/>
    <w:rsid w:val="0037704E"/>
    <w:rsid w:val="00396AC2"/>
    <w:rsid w:val="00397C7D"/>
    <w:rsid w:val="003A0694"/>
    <w:rsid w:val="003A2AC9"/>
    <w:rsid w:val="003A5AC7"/>
    <w:rsid w:val="003A6DFB"/>
    <w:rsid w:val="003B2B25"/>
    <w:rsid w:val="003B6EEB"/>
    <w:rsid w:val="003C03A6"/>
    <w:rsid w:val="003C2C28"/>
    <w:rsid w:val="003C3F1B"/>
    <w:rsid w:val="003D1C95"/>
    <w:rsid w:val="003D25A6"/>
    <w:rsid w:val="003D4A4F"/>
    <w:rsid w:val="003E544D"/>
    <w:rsid w:val="003E60DE"/>
    <w:rsid w:val="003E7037"/>
    <w:rsid w:val="003F3404"/>
    <w:rsid w:val="003F3BF0"/>
    <w:rsid w:val="003F5034"/>
    <w:rsid w:val="00404089"/>
    <w:rsid w:val="00406892"/>
    <w:rsid w:val="004101B5"/>
    <w:rsid w:val="0041515A"/>
    <w:rsid w:val="00415DF2"/>
    <w:rsid w:val="00417260"/>
    <w:rsid w:val="00432BFC"/>
    <w:rsid w:val="00436138"/>
    <w:rsid w:val="00443192"/>
    <w:rsid w:val="00443AE0"/>
    <w:rsid w:val="00444B97"/>
    <w:rsid w:val="00445223"/>
    <w:rsid w:val="00446BA5"/>
    <w:rsid w:val="00450CFF"/>
    <w:rsid w:val="00451315"/>
    <w:rsid w:val="004564E9"/>
    <w:rsid w:val="00462315"/>
    <w:rsid w:val="00462ED7"/>
    <w:rsid w:val="004639CE"/>
    <w:rsid w:val="004660C6"/>
    <w:rsid w:val="00467231"/>
    <w:rsid w:val="00467FB0"/>
    <w:rsid w:val="00473E0E"/>
    <w:rsid w:val="00482C9D"/>
    <w:rsid w:val="00483049"/>
    <w:rsid w:val="004832C7"/>
    <w:rsid w:val="00493982"/>
    <w:rsid w:val="00494230"/>
    <w:rsid w:val="004A09F3"/>
    <w:rsid w:val="004A0D0C"/>
    <w:rsid w:val="004A1891"/>
    <w:rsid w:val="004A46ED"/>
    <w:rsid w:val="004A6437"/>
    <w:rsid w:val="004B244A"/>
    <w:rsid w:val="004B3730"/>
    <w:rsid w:val="004B3D9D"/>
    <w:rsid w:val="004C1FA9"/>
    <w:rsid w:val="004C2D1C"/>
    <w:rsid w:val="004C467F"/>
    <w:rsid w:val="004C530C"/>
    <w:rsid w:val="004C559E"/>
    <w:rsid w:val="004D4603"/>
    <w:rsid w:val="004E444A"/>
    <w:rsid w:val="004E486A"/>
    <w:rsid w:val="004E5C0F"/>
    <w:rsid w:val="004E5D70"/>
    <w:rsid w:val="004E7B70"/>
    <w:rsid w:val="004F1C98"/>
    <w:rsid w:val="004F2160"/>
    <w:rsid w:val="004F5654"/>
    <w:rsid w:val="00501F1A"/>
    <w:rsid w:val="00503C5C"/>
    <w:rsid w:val="00503E7C"/>
    <w:rsid w:val="005055F8"/>
    <w:rsid w:val="00505DF7"/>
    <w:rsid w:val="005076EB"/>
    <w:rsid w:val="00510F74"/>
    <w:rsid w:val="00512239"/>
    <w:rsid w:val="00517A0A"/>
    <w:rsid w:val="00517F6B"/>
    <w:rsid w:val="0052285C"/>
    <w:rsid w:val="005268B2"/>
    <w:rsid w:val="00537FF8"/>
    <w:rsid w:val="00543073"/>
    <w:rsid w:val="00547023"/>
    <w:rsid w:val="0054782B"/>
    <w:rsid w:val="00551483"/>
    <w:rsid w:val="00552BA8"/>
    <w:rsid w:val="00554168"/>
    <w:rsid w:val="005545CA"/>
    <w:rsid w:val="00562A61"/>
    <w:rsid w:val="00562BA1"/>
    <w:rsid w:val="00564978"/>
    <w:rsid w:val="00564F67"/>
    <w:rsid w:val="00574FF7"/>
    <w:rsid w:val="005755C6"/>
    <w:rsid w:val="005768A4"/>
    <w:rsid w:val="00577013"/>
    <w:rsid w:val="00580C9E"/>
    <w:rsid w:val="00581D61"/>
    <w:rsid w:val="00583950"/>
    <w:rsid w:val="00587D1A"/>
    <w:rsid w:val="0059064C"/>
    <w:rsid w:val="00591D58"/>
    <w:rsid w:val="00595524"/>
    <w:rsid w:val="005A1056"/>
    <w:rsid w:val="005A2426"/>
    <w:rsid w:val="005A4BDE"/>
    <w:rsid w:val="005B02D1"/>
    <w:rsid w:val="005B6073"/>
    <w:rsid w:val="005B7F0A"/>
    <w:rsid w:val="005C26AA"/>
    <w:rsid w:val="005C4493"/>
    <w:rsid w:val="005C4D70"/>
    <w:rsid w:val="005C71EE"/>
    <w:rsid w:val="005C7735"/>
    <w:rsid w:val="005D58A5"/>
    <w:rsid w:val="005D7242"/>
    <w:rsid w:val="005E2A83"/>
    <w:rsid w:val="005E3D71"/>
    <w:rsid w:val="005E7960"/>
    <w:rsid w:val="005F4E94"/>
    <w:rsid w:val="005F5DC6"/>
    <w:rsid w:val="006013E6"/>
    <w:rsid w:val="00602362"/>
    <w:rsid w:val="00602919"/>
    <w:rsid w:val="006059E2"/>
    <w:rsid w:val="00605FDC"/>
    <w:rsid w:val="006130D5"/>
    <w:rsid w:val="00613C8D"/>
    <w:rsid w:val="00615BBC"/>
    <w:rsid w:val="006226DE"/>
    <w:rsid w:val="00625B7E"/>
    <w:rsid w:val="006309FD"/>
    <w:rsid w:val="006352BF"/>
    <w:rsid w:val="00644B7A"/>
    <w:rsid w:val="0064693A"/>
    <w:rsid w:val="00650FA9"/>
    <w:rsid w:val="00653F9F"/>
    <w:rsid w:val="00654F23"/>
    <w:rsid w:val="006556E4"/>
    <w:rsid w:val="00661680"/>
    <w:rsid w:val="00661DBE"/>
    <w:rsid w:val="006620EC"/>
    <w:rsid w:val="00670AFF"/>
    <w:rsid w:val="00670DB8"/>
    <w:rsid w:val="00675403"/>
    <w:rsid w:val="00677A37"/>
    <w:rsid w:val="00683199"/>
    <w:rsid w:val="00683DA8"/>
    <w:rsid w:val="006844C6"/>
    <w:rsid w:val="006848DA"/>
    <w:rsid w:val="006918F7"/>
    <w:rsid w:val="00692736"/>
    <w:rsid w:val="006956E0"/>
    <w:rsid w:val="00695BAC"/>
    <w:rsid w:val="006B46D0"/>
    <w:rsid w:val="006B4F0B"/>
    <w:rsid w:val="006B61D3"/>
    <w:rsid w:val="006C350C"/>
    <w:rsid w:val="006C7C7F"/>
    <w:rsid w:val="006D11AD"/>
    <w:rsid w:val="006D44B0"/>
    <w:rsid w:val="006D5CF1"/>
    <w:rsid w:val="006D6AFD"/>
    <w:rsid w:val="006E0F77"/>
    <w:rsid w:val="006E3FC4"/>
    <w:rsid w:val="006E5263"/>
    <w:rsid w:val="006E556F"/>
    <w:rsid w:val="006F098C"/>
    <w:rsid w:val="006F0AE0"/>
    <w:rsid w:val="006F0D9B"/>
    <w:rsid w:val="006F2D93"/>
    <w:rsid w:val="006F6AF1"/>
    <w:rsid w:val="00702FF1"/>
    <w:rsid w:val="00704578"/>
    <w:rsid w:val="00706650"/>
    <w:rsid w:val="00712650"/>
    <w:rsid w:val="0071380D"/>
    <w:rsid w:val="00721629"/>
    <w:rsid w:val="00723808"/>
    <w:rsid w:val="00733B8C"/>
    <w:rsid w:val="00737D7F"/>
    <w:rsid w:val="00741010"/>
    <w:rsid w:val="00741054"/>
    <w:rsid w:val="00742B1A"/>
    <w:rsid w:val="00745E1A"/>
    <w:rsid w:val="00746873"/>
    <w:rsid w:val="007475B3"/>
    <w:rsid w:val="00747953"/>
    <w:rsid w:val="007506AC"/>
    <w:rsid w:val="00753D01"/>
    <w:rsid w:val="0075739A"/>
    <w:rsid w:val="00764E72"/>
    <w:rsid w:val="00770F09"/>
    <w:rsid w:val="00772382"/>
    <w:rsid w:val="007743C4"/>
    <w:rsid w:val="00774477"/>
    <w:rsid w:val="007769DB"/>
    <w:rsid w:val="00781129"/>
    <w:rsid w:val="007846F6"/>
    <w:rsid w:val="007864F0"/>
    <w:rsid w:val="0079466F"/>
    <w:rsid w:val="00797405"/>
    <w:rsid w:val="00797AA2"/>
    <w:rsid w:val="00797CE8"/>
    <w:rsid w:val="007A0D87"/>
    <w:rsid w:val="007A17D9"/>
    <w:rsid w:val="007A56EF"/>
    <w:rsid w:val="007A7BC8"/>
    <w:rsid w:val="007B0F3B"/>
    <w:rsid w:val="007B4E27"/>
    <w:rsid w:val="007B6100"/>
    <w:rsid w:val="007C0316"/>
    <w:rsid w:val="007C2551"/>
    <w:rsid w:val="007D407F"/>
    <w:rsid w:val="007D4D7B"/>
    <w:rsid w:val="007E53CB"/>
    <w:rsid w:val="007E59FE"/>
    <w:rsid w:val="007F4771"/>
    <w:rsid w:val="007F501C"/>
    <w:rsid w:val="00800233"/>
    <w:rsid w:val="00800C16"/>
    <w:rsid w:val="00801530"/>
    <w:rsid w:val="0080392A"/>
    <w:rsid w:val="00804FF4"/>
    <w:rsid w:val="00807551"/>
    <w:rsid w:val="0081040E"/>
    <w:rsid w:val="008137A7"/>
    <w:rsid w:val="00816BA5"/>
    <w:rsid w:val="00816CC1"/>
    <w:rsid w:val="00822176"/>
    <w:rsid w:val="00824986"/>
    <w:rsid w:val="008309B1"/>
    <w:rsid w:val="00835486"/>
    <w:rsid w:val="00842E31"/>
    <w:rsid w:val="00844437"/>
    <w:rsid w:val="008464BD"/>
    <w:rsid w:val="00850C35"/>
    <w:rsid w:val="00853741"/>
    <w:rsid w:val="00853779"/>
    <w:rsid w:val="00856AFE"/>
    <w:rsid w:val="008614E6"/>
    <w:rsid w:val="00865C44"/>
    <w:rsid w:val="00867B76"/>
    <w:rsid w:val="00872B40"/>
    <w:rsid w:val="00877974"/>
    <w:rsid w:val="00881665"/>
    <w:rsid w:val="00886B0E"/>
    <w:rsid w:val="008913E0"/>
    <w:rsid w:val="008A4172"/>
    <w:rsid w:val="008A4880"/>
    <w:rsid w:val="008A5C9C"/>
    <w:rsid w:val="008B113A"/>
    <w:rsid w:val="008B17F9"/>
    <w:rsid w:val="008B26A1"/>
    <w:rsid w:val="008D323B"/>
    <w:rsid w:val="008E0C3F"/>
    <w:rsid w:val="008E0CFA"/>
    <w:rsid w:val="008E2696"/>
    <w:rsid w:val="008E6160"/>
    <w:rsid w:val="008F1413"/>
    <w:rsid w:val="00900B22"/>
    <w:rsid w:val="00901425"/>
    <w:rsid w:val="0091000C"/>
    <w:rsid w:val="00910244"/>
    <w:rsid w:val="0091169D"/>
    <w:rsid w:val="00913492"/>
    <w:rsid w:val="00914F87"/>
    <w:rsid w:val="0091626B"/>
    <w:rsid w:val="00921A67"/>
    <w:rsid w:val="009268B0"/>
    <w:rsid w:val="009308C2"/>
    <w:rsid w:val="00933E5F"/>
    <w:rsid w:val="00934008"/>
    <w:rsid w:val="00934545"/>
    <w:rsid w:val="009426B2"/>
    <w:rsid w:val="009432AE"/>
    <w:rsid w:val="00944F23"/>
    <w:rsid w:val="009478AE"/>
    <w:rsid w:val="00947B6C"/>
    <w:rsid w:val="00951678"/>
    <w:rsid w:val="0095498C"/>
    <w:rsid w:val="00961E71"/>
    <w:rsid w:val="00962391"/>
    <w:rsid w:val="0096256C"/>
    <w:rsid w:val="00963A6C"/>
    <w:rsid w:val="009646FE"/>
    <w:rsid w:val="0096497D"/>
    <w:rsid w:val="0097720D"/>
    <w:rsid w:val="009A1F33"/>
    <w:rsid w:val="009A6CF6"/>
    <w:rsid w:val="009B0258"/>
    <w:rsid w:val="009B16E8"/>
    <w:rsid w:val="009B3688"/>
    <w:rsid w:val="009C1E63"/>
    <w:rsid w:val="009C66A6"/>
    <w:rsid w:val="009D1194"/>
    <w:rsid w:val="009D15DB"/>
    <w:rsid w:val="009D1EF5"/>
    <w:rsid w:val="009E16F5"/>
    <w:rsid w:val="009E5BD4"/>
    <w:rsid w:val="009E618B"/>
    <w:rsid w:val="009E69E9"/>
    <w:rsid w:val="009E7072"/>
    <w:rsid w:val="009F36F7"/>
    <w:rsid w:val="009F4AF3"/>
    <w:rsid w:val="009F653B"/>
    <w:rsid w:val="009F72F8"/>
    <w:rsid w:val="00A00364"/>
    <w:rsid w:val="00A034D8"/>
    <w:rsid w:val="00A102EA"/>
    <w:rsid w:val="00A11DEC"/>
    <w:rsid w:val="00A121A1"/>
    <w:rsid w:val="00A1765A"/>
    <w:rsid w:val="00A2105C"/>
    <w:rsid w:val="00A22963"/>
    <w:rsid w:val="00A24741"/>
    <w:rsid w:val="00A30BDB"/>
    <w:rsid w:val="00A31FC9"/>
    <w:rsid w:val="00A32C77"/>
    <w:rsid w:val="00A376E9"/>
    <w:rsid w:val="00A4335A"/>
    <w:rsid w:val="00A525EA"/>
    <w:rsid w:val="00A62E3F"/>
    <w:rsid w:val="00A66A43"/>
    <w:rsid w:val="00A776E7"/>
    <w:rsid w:val="00A82530"/>
    <w:rsid w:val="00A82629"/>
    <w:rsid w:val="00A84243"/>
    <w:rsid w:val="00A8471E"/>
    <w:rsid w:val="00A86594"/>
    <w:rsid w:val="00AA0AF0"/>
    <w:rsid w:val="00AA16A6"/>
    <w:rsid w:val="00AA2964"/>
    <w:rsid w:val="00AA2ED6"/>
    <w:rsid w:val="00AA43C3"/>
    <w:rsid w:val="00AA5826"/>
    <w:rsid w:val="00AB75A4"/>
    <w:rsid w:val="00AB7CB3"/>
    <w:rsid w:val="00AB7E0D"/>
    <w:rsid w:val="00AC0B36"/>
    <w:rsid w:val="00AC12F3"/>
    <w:rsid w:val="00AE7802"/>
    <w:rsid w:val="00B05649"/>
    <w:rsid w:val="00B05DC6"/>
    <w:rsid w:val="00B07793"/>
    <w:rsid w:val="00B10317"/>
    <w:rsid w:val="00B13355"/>
    <w:rsid w:val="00B13AF4"/>
    <w:rsid w:val="00B17450"/>
    <w:rsid w:val="00B21294"/>
    <w:rsid w:val="00B35212"/>
    <w:rsid w:val="00B452FA"/>
    <w:rsid w:val="00B54B0C"/>
    <w:rsid w:val="00B57F9A"/>
    <w:rsid w:val="00B751DB"/>
    <w:rsid w:val="00B80008"/>
    <w:rsid w:val="00B8378D"/>
    <w:rsid w:val="00B9341F"/>
    <w:rsid w:val="00B95039"/>
    <w:rsid w:val="00B96A5D"/>
    <w:rsid w:val="00B96DBC"/>
    <w:rsid w:val="00BA18FC"/>
    <w:rsid w:val="00BA1DF7"/>
    <w:rsid w:val="00BA276B"/>
    <w:rsid w:val="00BA3586"/>
    <w:rsid w:val="00BA3F4F"/>
    <w:rsid w:val="00BA6707"/>
    <w:rsid w:val="00BB04F4"/>
    <w:rsid w:val="00BC49B4"/>
    <w:rsid w:val="00BC7567"/>
    <w:rsid w:val="00BD17C7"/>
    <w:rsid w:val="00BD4D0E"/>
    <w:rsid w:val="00BD5638"/>
    <w:rsid w:val="00BD6B17"/>
    <w:rsid w:val="00BE2F89"/>
    <w:rsid w:val="00C03AD7"/>
    <w:rsid w:val="00C10DA5"/>
    <w:rsid w:val="00C11A0F"/>
    <w:rsid w:val="00C20885"/>
    <w:rsid w:val="00C226AA"/>
    <w:rsid w:val="00C2270A"/>
    <w:rsid w:val="00C24ACF"/>
    <w:rsid w:val="00C3028D"/>
    <w:rsid w:val="00C3368F"/>
    <w:rsid w:val="00C4111B"/>
    <w:rsid w:val="00C50CBD"/>
    <w:rsid w:val="00C527FB"/>
    <w:rsid w:val="00C5544C"/>
    <w:rsid w:val="00C619B4"/>
    <w:rsid w:val="00C62D6C"/>
    <w:rsid w:val="00C633A4"/>
    <w:rsid w:val="00C63CFD"/>
    <w:rsid w:val="00C64C5E"/>
    <w:rsid w:val="00C65A30"/>
    <w:rsid w:val="00C70279"/>
    <w:rsid w:val="00C7114D"/>
    <w:rsid w:val="00C72F8F"/>
    <w:rsid w:val="00C77624"/>
    <w:rsid w:val="00C7789B"/>
    <w:rsid w:val="00C818E9"/>
    <w:rsid w:val="00C94D41"/>
    <w:rsid w:val="00CA31C2"/>
    <w:rsid w:val="00CA3EC4"/>
    <w:rsid w:val="00CA466D"/>
    <w:rsid w:val="00CA6ED1"/>
    <w:rsid w:val="00CA7BC0"/>
    <w:rsid w:val="00CB002E"/>
    <w:rsid w:val="00CB33D5"/>
    <w:rsid w:val="00CB60B1"/>
    <w:rsid w:val="00CC19AE"/>
    <w:rsid w:val="00CC208B"/>
    <w:rsid w:val="00CC4523"/>
    <w:rsid w:val="00CC55AA"/>
    <w:rsid w:val="00CD08FD"/>
    <w:rsid w:val="00CD2422"/>
    <w:rsid w:val="00CD5914"/>
    <w:rsid w:val="00CE28D5"/>
    <w:rsid w:val="00CE400B"/>
    <w:rsid w:val="00CE536D"/>
    <w:rsid w:val="00CF2E0A"/>
    <w:rsid w:val="00D018FD"/>
    <w:rsid w:val="00D06191"/>
    <w:rsid w:val="00D154F2"/>
    <w:rsid w:val="00D16437"/>
    <w:rsid w:val="00D202B2"/>
    <w:rsid w:val="00D2596F"/>
    <w:rsid w:val="00D30F48"/>
    <w:rsid w:val="00D3321C"/>
    <w:rsid w:val="00D41AC9"/>
    <w:rsid w:val="00D46B2D"/>
    <w:rsid w:val="00D47555"/>
    <w:rsid w:val="00D50115"/>
    <w:rsid w:val="00D509BB"/>
    <w:rsid w:val="00D60211"/>
    <w:rsid w:val="00D603A8"/>
    <w:rsid w:val="00D67575"/>
    <w:rsid w:val="00D67C5E"/>
    <w:rsid w:val="00D81AD4"/>
    <w:rsid w:val="00D81DDB"/>
    <w:rsid w:val="00D967E3"/>
    <w:rsid w:val="00DA2B70"/>
    <w:rsid w:val="00DA35AF"/>
    <w:rsid w:val="00DA45AA"/>
    <w:rsid w:val="00DA7F39"/>
    <w:rsid w:val="00DB05D1"/>
    <w:rsid w:val="00DC0DDF"/>
    <w:rsid w:val="00DC4AC5"/>
    <w:rsid w:val="00DD1BB2"/>
    <w:rsid w:val="00DD6969"/>
    <w:rsid w:val="00DE078C"/>
    <w:rsid w:val="00DE0DEF"/>
    <w:rsid w:val="00DE1401"/>
    <w:rsid w:val="00DE32CF"/>
    <w:rsid w:val="00DE4900"/>
    <w:rsid w:val="00DE4CAD"/>
    <w:rsid w:val="00DF296B"/>
    <w:rsid w:val="00DF2CFA"/>
    <w:rsid w:val="00DF67FF"/>
    <w:rsid w:val="00DF6A8D"/>
    <w:rsid w:val="00DF74E3"/>
    <w:rsid w:val="00E04793"/>
    <w:rsid w:val="00E0523F"/>
    <w:rsid w:val="00E05283"/>
    <w:rsid w:val="00E072F0"/>
    <w:rsid w:val="00E107B6"/>
    <w:rsid w:val="00E12CE7"/>
    <w:rsid w:val="00E17DA9"/>
    <w:rsid w:val="00E233C9"/>
    <w:rsid w:val="00E27DDD"/>
    <w:rsid w:val="00E314FA"/>
    <w:rsid w:val="00E36BA4"/>
    <w:rsid w:val="00E43A9D"/>
    <w:rsid w:val="00E46CCB"/>
    <w:rsid w:val="00E5271B"/>
    <w:rsid w:val="00E52DC5"/>
    <w:rsid w:val="00E5366C"/>
    <w:rsid w:val="00E536D9"/>
    <w:rsid w:val="00E53BD3"/>
    <w:rsid w:val="00E65E37"/>
    <w:rsid w:val="00E66840"/>
    <w:rsid w:val="00E6723A"/>
    <w:rsid w:val="00E71499"/>
    <w:rsid w:val="00E71596"/>
    <w:rsid w:val="00E7452C"/>
    <w:rsid w:val="00E83EEA"/>
    <w:rsid w:val="00E853B1"/>
    <w:rsid w:val="00E861D7"/>
    <w:rsid w:val="00E90604"/>
    <w:rsid w:val="00E96B2A"/>
    <w:rsid w:val="00EA3C5E"/>
    <w:rsid w:val="00EB0D4C"/>
    <w:rsid w:val="00EB3B09"/>
    <w:rsid w:val="00EB4155"/>
    <w:rsid w:val="00EB5745"/>
    <w:rsid w:val="00EC33B9"/>
    <w:rsid w:val="00ED0225"/>
    <w:rsid w:val="00ED1570"/>
    <w:rsid w:val="00ED4C69"/>
    <w:rsid w:val="00ED75FC"/>
    <w:rsid w:val="00EE22A7"/>
    <w:rsid w:val="00EF5595"/>
    <w:rsid w:val="00EF6050"/>
    <w:rsid w:val="00F0318E"/>
    <w:rsid w:val="00F10E04"/>
    <w:rsid w:val="00F16A8F"/>
    <w:rsid w:val="00F30BF8"/>
    <w:rsid w:val="00F3148B"/>
    <w:rsid w:val="00F33875"/>
    <w:rsid w:val="00F34AA1"/>
    <w:rsid w:val="00F371B4"/>
    <w:rsid w:val="00F4266E"/>
    <w:rsid w:val="00F47858"/>
    <w:rsid w:val="00F55152"/>
    <w:rsid w:val="00F56FF2"/>
    <w:rsid w:val="00F602CD"/>
    <w:rsid w:val="00F60BAC"/>
    <w:rsid w:val="00F61475"/>
    <w:rsid w:val="00F6220F"/>
    <w:rsid w:val="00F6324D"/>
    <w:rsid w:val="00F6581A"/>
    <w:rsid w:val="00F729F9"/>
    <w:rsid w:val="00F73E82"/>
    <w:rsid w:val="00F7770B"/>
    <w:rsid w:val="00F90860"/>
    <w:rsid w:val="00F91DF9"/>
    <w:rsid w:val="00F969DD"/>
    <w:rsid w:val="00FA20FA"/>
    <w:rsid w:val="00FB581A"/>
    <w:rsid w:val="00FB66E7"/>
    <w:rsid w:val="00FC74E0"/>
    <w:rsid w:val="00FD65C8"/>
    <w:rsid w:val="00FE0FFD"/>
    <w:rsid w:val="00FE1487"/>
    <w:rsid w:val="00FE7083"/>
    <w:rsid w:val="00FF0373"/>
    <w:rsid w:val="00FF2169"/>
    <w:rsid w:val="00FF275B"/>
    <w:rsid w:val="00FF66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6A2321"/>
  <w15:chartTrackingRefBased/>
  <w15:docId w15:val="{0C0A4F0B-C622-4AD6-9CC4-52204EA7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semiHidden="1" w:unhideWhenUsed="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0"/>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0"/>
    <w:lsdException w:name="header" w:uiPriority="0"/>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0"/>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0"/>
    <w:lsdException w:name="List 2" w:semiHidden="1"/>
    <w:lsdException w:name="List 3" w:semiHidden="1"/>
    <w:lsdException w:name="List 4" w:semiHidden="1"/>
    <w:lsdException w:name="List 5" w:semiHidden="1"/>
    <w:lsdException w:name="List Bullet 2" w:uiPriority="0" w:qFormat="1"/>
    <w:lsdException w:name="List Bullet 3" w:uiPriority="0"/>
    <w:lsdException w:name="List Bullet 4" w:semiHidden="1"/>
    <w:lsdException w:name="List Bullet 5" w:semiHidden="1"/>
    <w:lsdException w:name="List Number 2" w:uiPriority="0"/>
    <w:lsdException w:name="List Number 3" w:uiPriority="0"/>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uiPriority="99"/>
    <w:lsdException w:name="Strong" w:uiPriority="0" w:qFormat="1"/>
    <w:lsdException w:name="Emphasis" w:uiPriority="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uiPriority="0"/>
    <w:lsdException w:name="annotation subject" w:uiPriority="0"/>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uiPriority="0"/>
    <w:lsdException w:name="Balloon Text" w:semiHidden="1" w:uiPriority="0" w:unhideWhenUsed="1"/>
    <w:lsdException w:name="Table Grid" w:uiPriority="0"/>
    <w:lsdException w:name="Table Theme" w:uiPriority="0"/>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rsid w:val="00C7114D"/>
    <w:pPr>
      <w:spacing w:before="240" w:after="240"/>
    </w:pPr>
    <w:rPr>
      <w:rFonts w:ascii="Arial" w:hAnsi="Arial"/>
      <w:sz w:val="18"/>
      <w:szCs w:val="24"/>
    </w:rPr>
  </w:style>
  <w:style w:type="paragraph" w:styleId="Heading1">
    <w:name w:val="heading 1"/>
    <w:next w:val="BodyText"/>
    <w:link w:val="Heading1Char"/>
    <w:uiPriority w:val="2"/>
    <w:qFormat/>
    <w:rsid w:val="007864F0"/>
    <w:pPr>
      <w:spacing w:after="240"/>
      <w:outlineLvl w:val="0"/>
    </w:pPr>
    <w:rPr>
      <w:rFonts w:ascii="Arial" w:hAnsi="Arial" w:cs="Arial"/>
      <w:b/>
      <w:bCs/>
      <w:sz w:val="36"/>
      <w:szCs w:val="36"/>
    </w:rPr>
  </w:style>
  <w:style w:type="paragraph" w:styleId="Heading2">
    <w:name w:val="heading 2"/>
    <w:next w:val="BodyText"/>
    <w:link w:val="Heading2Char"/>
    <w:uiPriority w:val="2"/>
    <w:qFormat/>
    <w:rsid w:val="00562BA1"/>
    <w:pPr>
      <w:keepNext/>
      <w:keepLines/>
      <w:suppressAutoHyphens/>
      <w:spacing w:before="300" w:after="120"/>
      <w:outlineLvl w:val="1"/>
    </w:pPr>
    <w:rPr>
      <w:rFonts w:ascii="Arial" w:hAnsi="Arial" w:cs="Arial"/>
      <w:b/>
      <w:bCs/>
      <w:sz w:val="26"/>
      <w:szCs w:val="26"/>
    </w:rPr>
  </w:style>
  <w:style w:type="paragraph" w:styleId="Heading3">
    <w:name w:val="heading 3"/>
    <w:next w:val="BodyText"/>
    <w:link w:val="Heading3Char"/>
    <w:uiPriority w:val="2"/>
    <w:qFormat/>
    <w:rsid w:val="00801530"/>
    <w:pPr>
      <w:keepNext/>
      <w:keepLines/>
      <w:suppressAutoHyphens/>
      <w:spacing w:before="300" w:after="120"/>
      <w:outlineLvl w:val="2"/>
    </w:pPr>
    <w:rPr>
      <w:rFonts w:ascii="Arial" w:hAnsi="Arial" w:cs="Arial"/>
      <w:b/>
      <w:bCs/>
      <w:sz w:val="24"/>
      <w:szCs w:val="24"/>
    </w:rPr>
  </w:style>
  <w:style w:type="paragraph" w:styleId="Heading4">
    <w:name w:val="heading 4"/>
    <w:next w:val="BodyText"/>
    <w:link w:val="Heading4Char"/>
    <w:uiPriority w:val="6"/>
    <w:qFormat/>
    <w:rsid w:val="00801530"/>
    <w:pPr>
      <w:keepNext/>
      <w:keepLines/>
      <w:suppressAutoHyphens/>
      <w:spacing w:before="300" w:after="120"/>
      <w:outlineLvl w:val="3"/>
    </w:pPr>
    <w:rPr>
      <w:rFonts w:ascii="Arial" w:hAnsi="Arial" w:cs="Arial"/>
      <w:b/>
      <w:bCs/>
      <w:sz w:val="22"/>
      <w:szCs w:val="22"/>
    </w:rPr>
  </w:style>
  <w:style w:type="paragraph" w:styleId="Heading5">
    <w:name w:val="heading 5"/>
    <w:next w:val="BodyText"/>
    <w:link w:val="Heading5Char"/>
    <w:uiPriority w:val="6"/>
    <w:unhideWhenUsed/>
    <w:rsid w:val="00801530"/>
    <w:pPr>
      <w:keepNext/>
      <w:keepLines/>
      <w:suppressAutoHyphens/>
      <w:spacing w:before="240" w:after="120"/>
      <w:outlineLvl w:val="4"/>
    </w:pPr>
    <w:rPr>
      <w:rFonts w:ascii="Arial" w:hAnsi="Arial" w:cs="Arial"/>
      <w:b/>
      <w:bCs/>
      <w:iCs/>
    </w:rPr>
  </w:style>
  <w:style w:type="paragraph" w:styleId="Heading6">
    <w:name w:val="heading 6"/>
    <w:basedOn w:val="Normal"/>
    <w:next w:val="Normal"/>
    <w:link w:val="Heading6Char"/>
    <w:uiPriority w:val="98"/>
    <w:unhideWhenUsed/>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8"/>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562BA1"/>
    <w:rPr>
      <w:rFonts w:ascii="Arial" w:hAnsi="Arial" w:cs="Arial"/>
      <w:b/>
      <w:bCs/>
      <w:sz w:val="26"/>
      <w:szCs w:val="26"/>
    </w:rPr>
  </w:style>
  <w:style w:type="character" w:customStyle="1" w:styleId="Heading3Char">
    <w:name w:val="Heading 3 Char"/>
    <w:link w:val="Heading3"/>
    <w:uiPriority w:val="2"/>
    <w:locked/>
    <w:rsid w:val="00801530"/>
    <w:rPr>
      <w:rFonts w:ascii="Arial" w:hAnsi="Arial" w:cs="Arial"/>
      <w:b/>
      <w:bCs/>
      <w:sz w:val="24"/>
      <w:szCs w:val="24"/>
    </w:rPr>
  </w:style>
  <w:style w:type="character" w:customStyle="1" w:styleId="Heading4Char">
    <w:name w:val="Heading 4 Char"/>
    <w:link w:val="Heading4"/>
    <w:uiPriority w:val="6"/>
    <w:locked/>
    <w:rsid w:val="00801530"/>
    <w:rPr>
      <w:rFonts w:ascii="Arial" w:hAnsi="Arial" w:cs="Arial"/>
      <w:b/>
      <w:bCs/>
      <w:sz w:val="22"/>
      <w:szCs w:val="22"/>
    </w:rPr>
  </w:style>
  <w:style w:type="character" w:customStyle="1" w:styleId="Heading5Char">
    <w:name w:val="Heading 5 Char"/>
    <w:link w:val="Heading5"/>
    <w:uiPriority w:val="6"/>
    <w:locked/>
    <w:rsid w:val="00801530"/>
    <w:rPr>
      <w:rFonts w:ascii="Arial" w:hAnsi="Arial" w:cs="Arial"/>
      <w:b/>
      <w:bCs/>
      <w:iCs/>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uiPriority w:val="98"/>
    <w:semiHidden/>
    <w:rsid w:val="00DF6A8D"/>
    <w:pPr>
      <w:tabs>
        <w:tab w:val="right" w:pos="10773"/>
      </w:tabs>
      <w:suppressAutoHyphens/>
    </w:pPr>
    <w:rPr>
      <w:rFonts w:ascii="Arial" w:hAnsi="Arial" w:cs="Arial"/>
      <w:sz w:val="16"/>
      <w:szCs w:val="16"/>
    </w:rPr>
  </w:style>
  <w:style w:type="paragraph" w:styleId="Footer">
    <w:name w:val="footer"/>
    <w:link w:val="FooterChar"/>
    <w:uiPriority w:val="99"/>
    <w:rsid w:val="003F5034"/>
    <w:pPr>
      <w:tabs>
        <w:tab w:val="center" w:pos="5387"/>
        <w:tab w:val="right" w:pos="10773"/>
      </w:tabs>
      <w:suppressAutoHyphens/>
      <w:spacing w:before="200"/>
    </w:pPr>
    <w:rPr>
      <w:rFonts w:ascii="Arial" w:hAnsi="Arial" w:cs="Arial"/>
      <w:sz w:val="18"/>
      <w:szCs w:val="16"/>
    </w:rPr>
  </w:style>
  <w:style w:type="paragraph" w:styleId="Title">
    <w:name w:val="Title"/>
    <w:next w:val="BodyText"/>
    <w:link w:val="TitleChar"/>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6848DA"/>
    <w:pPr>
      <w:suppressAutoHyphens/>
      <w:spacing w:before="80" w:after="80" w:line="264" w:lineRule="auto"/>
    </w:pPr>
    <w:rPr>
      <w:rFonts w:ascii="Arial" w:hAnsi="Arial" w:cs="Arial"/>
      <w:szCs w:val="18"/>
    </w:rPr>
  </w:style>
  <w:style w:type="numbering" w:customStyle="1" w:styleId="StyleOutlinenumbered">
    <w:name w:val="Style Outline numbered"/>
    <w:basedOn w:val="NoList"/>
    <w:rsid w:val="00DF6A8D"/>
    <w:pPr>
      <w:numPr>
        <w:numId w:val="2"/>
      </w:numPr>
    </w:pPr>
  </w:style>
  <w:style w:type="paragraph" w:styleId="ListBullet">
    <w:name w:val="List Bullet"/>
    <w:link w:val="ListBulletChar"/>
    <w:uiPriority w:val="1"/>
    <w:qFormat/>
    <w:rsid w:val="004D4603"/>
    <w:pPr>
      <w:numPr>
        <w:numId w:val="35"/>
      </w:numPr>
      <w:suppressAutoHyphens/>
      <w:spacing w:before="40" w:after="40" w:line="264" w:lineRule="auto"/>
    </w:pPr>
    <w:rPr>
      <w:rFonts w:ascii="Arial" w:hAnsi="Arial" w:cs="Arial"/>
      <w:szCs w:val="18"/>
    </w:rPr>
  </w:style>
  <w:style w:type="paragraph" w:styleId="ListBullet2">
    <w:name w:val="List Bullet 2"/>
    <w:link w:val="ListBullet2Char"/>
    <w:uiPriority w:val="3"/>
    <w:qFormat/>
    <w:rsid w:val="004D4603"/>
    <w:pPr>
      <w:numPr>
        <w:numId w:val="42"/>
      </w:numPr>
      <w:suppressAutoHyphens/>
      <w:spacing w:before="40" w:after="40" w:line="264" w:lineRule="auto"/>
    </w:pPr>
    <w:rPr>
      <w:rFonts w:ascii="Arial" w:hAnsi="Arial"/>
      <w:szCs w:val="24"/>
    </w:rPr>
  </w:style>
  <w:style w:type="paragraph" w:styleId="ListNumber">
    <w:name w:val="List Number"/>
    <w:link w:val="ListNumberChar"/>
    <w:uiPriority w:val="3"/>
    <w:rsid w:val="004D4603"/>
    <w:pPr>
      <w:numPr>
        <w:numId w:val="37"/>
      </w:numPr>
      <w:spacing w:before="40" w:after="40" w:line="264" w:lineRule="auto"/>
    </w:pPr>
    <w:rPr>
      <w:rFonts w:ascii="Arial" w:hAnsi="Arial"/>
      <w:szCs w:val="24"/>
    </w:rPr>
  </w:style>
  <w:style w:type="paragraph" w:styleId="ListNumber2">
    <w:name w:val="List Number 2"/>
    <w:link w:val="ListNumber2Char"/>
    <w:uiPriority w:val="5"/>
    <w:rsid w:val="004D4603"/>
    <w:pPr>
      <w:numPr>
        <w:numId w:val="44"/>
      </w:numPr>
      <w:spacing w:before="40" w:after="40" w:line="264" w:lineRule="auto"/>
    </w:pPr>
    <w:rPr>
      <w:rFonts w:ascii="Arial" w:hAnsi="Arial"/>
      <w:szCs w:val="24"/>
    </w:rPr>
  </w:style>
  <w:style w:type="paragraph" w:customStyle="1" w:styleId="TableText">
    <w:name w:val="Table Text"/>
    <w:basedOn w:val="BodyText"/>
    <w:uiPriority w:val="3"/>
    <w:qFormat/>
    <w:rsid w:val="004D4603"/>
    <w:pPr>
      <w:spacing w:line="240" w:lineRule="auto"/>
    </w:pPr>
    <w:rPr>
      <w:szCs w:val="20"/>
    </w:rPr>
  </w:style>
  <w:style w:type="paragraph" w:styleId="ListNumber3">
    <w:name w:val="List Number 3"/>
    <w:basedOn w:val="Normal"/>
    <w:uiPriority w:val="5"/>
    <w:rsid w:val="00233F44"/>
    <w:pPr>
      <w:numPr>
        <w:numId w:val="45"/>
      </w:numPr>
      <w:spacing w:before="40" w:after="40" w:line="264" w:lineRule="auto"/>
      <w:ind w:left="1020" w:hanging="340"/>
    </w:pPr>
    <w:rPr>
      <w:sz w:val="20"/>
    </w:rPr>
  </w:style>
  <w:style w:type="character" w:customStyle="1" w:styleId="BodyTextChar">
    <w:name w:val="Body Text Char"/>
    <w:link w:val="BodyText"/>
    <w:rsid w:val="006848DA"/>
    <w:rPr>
      <w:rFonts w:ascii="Arial" w:hAnsi="Arial" w:cs="Arial"/>
      <w:szCs w:val="18"/>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rsid w:val="00BD6B17"/>
    <w:pPr>
      <w:spacing w:line="264" w:lineRule="auto"/>
    </w:pPr>
    <w:rPr>
      <w:color w:val="636363"/>
      <w:szCs w:val="18"/>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3F5034"/>
    <w:rPr>
      <w:rFonts w:ascii="Arial" w:hAnsi="Arial" w:cs="Arial"/>
      <w:sz w:val="18"/>
      <w:szCs w:val="16"/>
    </w:rPr>
  </w:style>
  <w:style w:type="character" w:customStyle="1" w:styleId="Heading1Char">
    <w:name w:val="Heading 1 Char"/>
    <w:link w:val="Heading1"/>
    <w:uiPriority w:val="2"/>
    <w:rsid w:val="007864F0"/>
    <w:rPr>
      <w:rFonts w:ascii="Arial" w:hAnsi="Arial" w:cs="Arial"/>
      <w:b/>
      <w:bCs/>
      <w:sz w:val="36"/>
      <w:szCs w:val="36"/>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4D4603"/>
    <w:rPr>
      <w:rFonts w:ascii="Arial" w:hAnsi="Arial" w:cs="Arial"/>
      <w:szCs w:val="18"/>
    </w:rPr>
  </w:style>
  <w:style w:type="character" w:customStyle="1" w:styleId="ListBullet2Char">
    <w:name w:val="List Bullet 2 Char"/>
    <w:link w:val="ListBullet2"/>
    <w:uiPriority w:val="3"/>
    <w:rsid w:val="004D4603"/>
    <w:rPr>
      <w:rFonts w:ascii="Arial" w:hAnsi="Arial"/>
      <w:szCs w:val="24"/>
    </w:rPr>
  </w:style>
  <w:style w:type="character" w:styleId="Strong">
    <w:name w:val="Strong"/>
    <w:uiPriority w:val="4"/>
    <w:qFormat/>
    <w:rsid w:val="00DF6A8D"/>
    <w:rPr>
      <w:b/>
      <w:bCs/>
    </w:rPr>
  </w:style>
  <w:style w:type="paragraph" w:styleId="ListBullet3">
    <w:name w:val="List Bullet 3"/>
    <w:basedOn w:val="Normal"/>
    <w:uiPriority w:val="3"/>
    <w:rsid w:val="00233F44"/>
    <w:pPr>
      <w:numPr>
        <w:numId w:val="43"/>
      </w:numPr>
      <w:spacing w:before="40" w:after="40" w:line="264" w:lineRule="auto"/>
      <w:ind w:left="1020" w:hanging="340"/>
    </w:pPr>
    <w:rPr>
      <w:sz w:val="20"/>
    </w:rPr>
  </w:style>
  <w:style w:type="character" w:customStyle="1" w:styleId="ListNumberChar">
    <w:name w:val="List Number Char"/>
    <w:link w:val="ListNumber"/>
    <w:uiPriority w:val="3"/>
    <w:rsid w:val="004D4603"/>
    <w:rPr>
      <w:rFonts w:ascii="Arial" w:hAnsi="Arial"/>
      <w:szCs w:val="24"/>
    </w:rPr>
  </w:style>
  <w:style w:type="character" w:customStyle="1" w:styleId="ListNumber2Char">
    <w:name w:val="List Number 2 Char"/>
    <w:link w:val="ListNumber2"/>
    <w:uiPriority w:val="5"/>
    <w:rsid w:val="004D4603"/>
    <w:rPr>
      <w:rFonts w:ascii="Arial" w:hAnsi="Arial"/>
      <w:szCs w:val="24"/>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paragraph" w:customStyle="1" w:styleId="SectionLevelHeading">
    <w:name w:val="Section Level Heading"/>
    <w:basedOn w:val="Normal"/>
    <w:link w:val="SectionLevelHeadingChar"/>
    <w:qFormat/>
    <w:rsid w:val="00551483"/>
    <w:pPr>
      <w:tabs>
        <w:tab w:val="right" w:pos="680"/>
      </w:tabs>
      <w:overflowPunct w:val="0"/>
      <w:autoSpaceDE w:val="0"/>
      <w:autoSpaceDN w:val="0"/>
      <w:adjustRightInd w:val="0"/>
      <w:spacing w:before="40" w:after="40"/>
      <w:ind w:left="851" w:hanging="851"/>
      <w:textAlignment w:val="baseline"/>
      <w:outlineLvl w:val="2"/>
    </w:pPr>
    <w:rPr>
      <w:rFonts w:ascii="Times New Roman" w:hAnsi="Times New Roman"/>
      <w:b/>
      <w:sz w:val="24"/>
      <w:szCs w:val="20"/>
      <w:lang w:eastAsia="en-US"/>
    </w:rPr>
  </w:style>
  <w:style w:type="character" w:customStyle="1" w:styleId="SectionLevelHeadingChar">
    <w:name w:val="Section Level Heading Char"/>
    <w:link w:val="SectionLevelHeading"/>
    <w:rsid w:val="00551483"/>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AE0B0-F933-4871-807B-221918A9F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Detailed Reference Guide 1: Change in terminology and change to structure of Part 6 - Termination</vt:lpstr>
    </vt:vector>
  </TitlesOfParts>
  <Company>Department of Justice and Community Safety</Company>
  <LinksUpToDate>false</LinksUpToDate>
  <CharactersWithSpaces>2078</CharactersWithSpaces>
  <SharedDoc>false</SharedDoc>
  <HyperlinkBase/>
  <HLinks>
    <vt:vector size="6" baseType="variant">
      <vt:variant>
        <vt:i4>7012463</vt:i4>
      </vt:variant>
      <vt:variant>
        <vt:i4>6</vt:i4>
      </vt:variant>
      <vt:variant>
        <vt:i4>0</vt:i4>
      </vt:variant>
      <vt:variant>
        <vt:i4>5</vt:i4>
      </vt:variant>
      <vt:variant>
        <vt:lpwstr>http://consumer.vic.gov.au/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 Reference Guide 1: Change in terminology and change to structure of Part 6 - Termination</dc:title>
  <dc:subject/>
  <dc:creator>Consumer Affairs Victoria</dc:creator>
  <cp:keywords/>
  <cp:lastModifiedBy>David S</cp:lastModifiedBy>
  <cp:revision>3</cp:revision>
  <cp:lastPrinted>2016-05-23T03:42:00Z</cp:lastPrinted>
  <dcterms:created xsi:type="dcterms:W3CDTF">2020-04-29T00:26:00Z</dcterms:created>
  <dcterms:modified xsi:type="dcterms:W3CDTF">2020-10-05T06:28:00Z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
  </property>
</Properties>
</file>