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E9E6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bookmarkEnd w:id="0"/>
      <w:r w:rsidR="00BB0926">
        <w:t>19: Notice to vacate for endangering safety</w:t>
      </w:r>
    </w:p>
    <w:p w14:paraId="037BDDAC" w14:textId="77777777" w:rsidR="007769DB" w:rsidRPr="007769DB" w:rsidRDefault="007769DB" w:rsidP="007769DB">
      <w:pPr>
        <w:pStyle w:val="BodyText"/>
      </w:pPr>
      <w:r>
        <w:t xml:space="preserve">This reform starts on </w:t>
      </w:r>
      <w:r w:rsidR="00C86A85">
        <w:t xml:space="preserve">29 March </w:t>
      </w:r>
      <w:bookmarkStart w:id="1" w:name="_GoBack"/>
      <w:r w:rsidR="00C86A85">
        <w:t>2021</w:t>
      </w:r>
      <w:bookmarkEnd w:id="1"/>
      <w:r>
        <w:t>.</w:t>
      </w:r>
    </w:p>
    <w:p w14:paraId="41F3BD0B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3EA81EC1" w14:textId="77777777" w:rsidR="00BB0926" w:rsidRPr="00BB0926" w:rsidRDefault="00BB0926" w:rsidP="00BB0926">
      <w:pPr>
        <w:pStyle w:val="BodyText"/>
      </w:pPr>
      <w:r w:rsidRPr="00BB0926">
        <w:t>A renter may be given a notice to vacate by their rental provider if they, or their visitor, endanger:</w:t>
      </w:r>
    </w:p>
    <w:p w14:paraId="52B09ED7" w14:textId="77777777" w:rsidR="00BB0926" w:rsidRPr="00BB0926" w:rsidRDefault="00BB0926" w:rsidP="00BB0926">
      <w:pPr>
        <w:pStyle w:val="ListBullet"/>
      </w:pPr>
      <w:r w:rsidRPr="00BB0926">
        <w:t>another resident or other residents,</w:t>
      </w:r>
    </w:p>
    <w:p w14:paraId="5CCA77F1" w14:textId="77777777" w:rsidR="00BB0926" w:rsidRPr="00BB0926" w:rsidRDefault="00BB0926" w:rsidP="00BB0926">
      <w:pPr>
        <w:pStyle w:val="ListBullet"/>
      </w:pPr>
      <w:r w:rsidRPr="00BB0926">
        <w:t>neighbours,</w:t>
      </w:r>
    </w:p>
    <w:p w14:paraId="5E685096" w14:textId="77777777" w:rsidR="00BB0926" w:rsidRPr="00BB0926" w:rsidRDefault="00BB0926" w:rsidP="00BB0926">
      <w:pPr>
        <w:pStyle w:val="ListBullet"/>
      </w:pPr>
      <w:r w:rsidRPr="00BB0926">
        <w:t>the rental provider or their agent, or</w:t>
      </w:r>
    </w:p>
    <w:p w14:paraId="62E863E1" w14:textId="77777777" w:rsidR="00BB0926" w:rsidRPr="00BB0926" w:rsidRDefault="00BB0926" w:rsidP="00BB0926">
      <w:pPr>
        <w:pStyle w:val="ListBullet"/>
      </w:pPr>
      <w:r w:rsidRPr="00BB0926">
        <w:t>the rental provider’s or agent’s contractor or employee.</w:t>
      </w:r>
    </w:p>
    <w:p w14:paraId="084CA355" w14:textId="77777777" w:rsidR="00BB0926" w:rsidRPr="00BB0926" w:rsidRDefault="00BB0926" w:rsidP="00BB0926">
      <w:pPr>
        <w:pStyle w:val="BodyText"/>
      </w:pPr>
      <w:r w:rsidRPr="00BB0926">
        <w:t>The notice to vacate may specify a termination date that is the date on which the notice is given or a later date.</w:t>
      </w:r>
    </w:p>
    <w:p w14:paraId="7F229944" w14:textId="77777777" w:rsidR="00BB0926" w:rsidRPr="00BB0926" w:rsidRDefault="00BB0926" w:rsidP="00BB0926">
      <w:pPr>
        <w:pStyle w:val="BodyText"/>
      </w:pPr>
      <w:r w:rsidRPr="00BB0926">
        <w:t>The notice to vacate may not be given where a manager of a managed premises has already given a notice to leave in respect of the same conduct.</w:t>
      </w:r>
    </w:p>
    <w:p w14:paraId="6D5EB80B" w14:textId="77777777" w:rsidR="00BB0926" w:rsidRDefault="00BB0926" w:rsidP="00BB0926">
      <w:pPr>
        <w:pStyle w:val="BodyText"/>
      </w:pPr>
      <w:r w:rsidRPr="00BB0926">
        <w:t>When determining an application for a possession order which is supported by a notice to vacate for endangering, VCAT must take into account any guidelines issued by the Director of Consumer Affairs.</w:t>
      </w:r>
    </w:p>
    <w:p w14:paraId="65C75F07" w14:textId="77777777" w:rsidR="00EF1054" w:rsidRPr="00EF1054" w:rsidRDefault="00BB0926" w:rsidP="00EF1054">
      <w:pPr>
        <w:pStyle w:val="BodyText"/>
      </w:pPr>
      <w:r w:rsidRPr="00BB0926">
        <w:t>This reform also applies to rooming houses, caravan parks and residential parks.</w:t>
      </w:r>
    </w:p>
    <w:p w14:paraId="2C957213" w14:textId="77777777" w:rsidR="00AD6C7D" w:rsidRDefault="00AD6C7D" w:rsidP="00AD6C7D">
      <w:pPr>
        <w:pStyle w:val="Heading2"/>
      </w:pPr>
      <w:r>
        <w:t>Previous requirements</w:t>
      </w:r>
    </w:p>
    <w:p w14:paraId="7C461745" w14:textId="77777777" w:rsidR="00551483" w:rsidRDefault="00BB0926" w:rsidP="00AD6C7D">
      <w:pPr>
        <w:pStyle w:val="BodyText"/>
      </w:pPr>
      <w:r w:rsidRPr="00BB0926">
        <w:t xml:space="preserve">Previously, the rental provider, their agent, contractor or employee were not covered. </w:t>
      </w:r>
    </w:p>
    <w:p w14:paraId="27F7A023" w14:textId="77777777" w:rsidR="00EF1054" w:rsidRPr="00EF1054" w:rsidRDefault="00EF1054" w:rsidP="00EF1054">
      <w:pPr>
        <w:pStyle w:val="Heading2"/>
      </w:pPr>
      <w:r w:rsidRPr="00EF1054">
        <w:t>Requiring further specification</w:t>
      </w:r>
    </w:p>
    <w:p w14:paraId="61C7321C" w14:textId="77777777" w:rsidR="00EF1054" w:rsidRPr="00551483" w:rsidRDefault="00BB0926" w:rsidP="00AD6C7D">
      <w:pPr>
        <w:pStyle w:val="BodyText"/>
      </w:pPr>
      <w:r w:rsidRPr="00BB0926">
        <w:t>Consumer Affairs Victoria will be issuing guidelines to help understand what endangering safety means for this notice to vacate.</w:t>
      </w:r>
    </w:p>
    <w:p w14:paraId="31DA3C62" w14:textId="77777777" w:rsidR="00551483" w:rsidRPr="00551483" w:rsidRDefault="00551483" w:rsidP="00551483">
      <w:pPr>
        <w:pStyle w:val="Heading2"/>
      </w:pPr>
      <w:bookmarkStart w:id="2" w:name="_Toc526339631"/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AD6C7D" w14:paraId="0A7242E6" w14:textId="77777777" w:rsidTr="00AD6C7D">
        <w:tc>
          <w:tcPr>
            <w:tcW w:w="2065" w:type="dxa"/>
          </w:tcPr>
          <w:p w14:paraId="1C4B37C6" w14:textId="77777777" w:rsidR="00AD6C7D" w:rsidRDefault="00BB0926" w:rsidP="00AD6C7D">
            <w:pPr>
              <w:pStyle w:val="TableText"/>
            </w:pPr>
            <w:r w:rsidRPr="00BB0926">
              <w:t>91ZJ</w:t>
            </w:r>
          </w:p>
        </w:tc>
        <w:tc>
          <w:tcPr>
            <w:tcW w:w="7506" w:type="dxa"/>
          </w:tcPr>
          <w:p w14:paraId="0CA754F0" w14:textId="77777777" w:rsidR="00AD6C7D" w:rsidRDefault="00BB0926" w:rsidP="00AD6C7D">
            <w:pPr>
              <w:pStyle w:val="TableText"/>
            </w:pPr>
            <w:r w:rsidRPr="00BB0926">
              <w:t>Danger</w:t>
            </w:r>
          </w:p>
        </w:tc>
      </w:tr>
      <w:tr w:rsidR="00BB0926" w14:paraId="27778BAB" w14:textId="77777777" w:rsidTr="00AD6C7D">
        <w:tc>
          <w:tcPr>
            <w:tcW w:w="2065" w:type="dxa"/>
          </w:tcPr>
          <w:p w14:paraId="5C7D1E83" w14:textId="77777777" w:rsidR="00BB0926" w:rsidRDefault="00BB0926" w:rsidP="00AD6C7D">
            <w:pPr>
              <w:pStyle w:val="TableText"/>
            </w:pPr>
            <w:r w:rsidRPr="00BB0926">
              <w:t>142ZC</w:t>
            </w:r>
          </w:p>
        </w:tc>
        <w:tc>
          <w:tcPr>
            <w:tcW w:w="7506" w:type="dxa"/>
          </w:tcPr>
          <w:p w14:paraId="470860D4" w14:textId="77777777" w:rsidR="00BB0926" w:rsidRDefault="00BB0926" w:rsidP="00AD6C7D">
            <w:pPr>
              <w:pStyle w:val="TableText"/>
            </w:pPr>
            <w:r w:rsidRPr="00BB0926">
              <w:t>Danger (rooming houses)</w:t>
            </w:r>
          </w:p>
        </w:tc>
      </w:tr>
      <w:tr w:rsidR="00BB0926" w14:paraId="7D18608C" w14:textId="77777777" w:rsidTr="00AD6C7D">
        <w:tc>
          <w:tcPr>
            <w:tcW w:w="2065" w:type="dxa"/>
          </w:tcPr>
          <w:p w14:paraId="3035F31E" w14:textId="77777777" w:rsidR="00BB0926" w:rsidRDefault="00BB0926" w:rsidP="00AD6C7D">
            <w:pPr>
              <w:pStyle w:val="TableText"/>
            </w:pPr>
            <w:r w:rsidRPr="00BB0926">
              <w:t>206AR</w:t>
            </w:r>
          </w:p>
        </w:tc>
        <w:tc>
          <w:tcPr>
            <w:tcW w:w="7506" w:type="dxa"/>
          </w:tcPr>
          <w:p w14:paraId="20BC9121" w14:textId="77777777" w:rsidR="00BB0926" w:rsidRDefault="00BB0926" w:rsidP="00AD6C7D">
            <w:pPr>
              <w:pStyle w:val="TableText"/>
            </w:pPr>
            <w:r w:rsidRPr="00BB0926">
              <w:t>Danger (caravan parks)</w:t>
            </w:r>
          </w:p>
        </w:tc>
      </w:tr>
      <w:tr w:rsidR="00BB0926" w14:paraId="403975C9" w14:textId="77777777" w:rsidTr="00AD6C7D">
        <w:tc>
          <w:tcPr>
            <w:tcW w:w="2065" w:type="dxa"/>
          </w:tcPr>
          <w:p w14:paraId="2B3CD897" w14:textId="77777777" w:rsidR="00BB0926" w:rsidRPr="00BB0926" w:rsidRDefault="00BB0926" w:rsidP="00AD6C7D">
            <w:pPr>
              <w:pStyle w:val="TableText"/>
            </w:pPr>
            <w:r>
              <w:t>207X</w:t>
            </w:r>
          </w:p>
        </w:tc>
        <w:tc>
          <w:tcPr>
            <w:tcW w:w="7506" w:type="dxa"/>
          </w:tcPr>
          <w:p w14:paraId="584DEAE7" w14:textId="77777777" w:rsidR="00BB0926" w:rsidRPr="00BB0926" w:rsidRDefault="00BB0926" w:rsidP="00AD6C7D">
            <w:pPr>
              <w:pStyle w:val="TableText"/>
            </w:pPr>
            <w:r>
              <w:t>Danger (residential parks)</w:t>
            </w:r>
          </w:p>
        </w:tc>
      </w:tr>
      <w:tr w:rsidR="00BB0926" w14:paraId="428591A5" w14:textId="77777777" w:rsidTr="00AD6C7D">
        <w:tc>
          <w:tcPr>
            <w:tcW w:w="2065" w:type="dxa"/>
          </w:tcPr>
          <w:p w14:paraId="77688000" w14:textId="77777777" w:rsidR="00BB0926" w:rsidRDefault="00BB0926" w:rsidP="00AD6C7D">
            <w:pPr>
              <w:pStyle w:val="TableText"/>
            </w:pPr>
            <w:r w:rsidRPr="00BB0926">
              <w:t>330</w:t>
            </w:r>
          </w:p>
        </w:tc>
        <w:tc>
          <w:tcPr>
            <w:tcW w:w="7506" w:type="dxa"/>
          </w:tcPr>
          <w:p w14:paraId="7F0373FC" w14:textId="77777777" w:rsidR="00BB0926" w:rsidRDefault="00BB0926" w:rsidP="00AD6C7D">
            <w:pPr>
              <w:pStyle w:val="TableText"/>
            </w:pPr>
            <w:r w:rsidRPr="00BB0926">
              <w:t>Order of Tribunal</w:t>
            </w:r>
          </w:p>
        </w:tc>
      </w:tr>
      <w:tr w:rsidR="00BB0926" w14:paraId="71222DE5" w14:textId="77777777" w:rsidTr="00AD6C7D">
        <w:tc>
          <w:tcPr>
            <w:tcW w:w="2065" w:type="dxa"/>
          </w:tcPr>
          <w:p w14:paraId="19312D9A" w14:textId="77777777" w:rsidR="00BB0926" w:rsidRDefault="00BB0926" w:rsidP="00AD6C7D">
            <w:pPr>
              <w:pStyle w:val="TableText"/>
            </w:pPr>
            <w:r>
              <w:t>368</w:t>
            </w:r>
          </w:p>
        </w:tc>
        <w:tc>
          <w:tcPr>
            <w:tcW w:w="7506" w:type="dxa"/>
          </w:tcPr>
          <w:p w14:paraId="0EAF2B70" w14:textId="77777777" w:rsidR="00BB0926" w:rsidRDefault="00BB0926" w:rsidP="00AD6C7D">
            <w:pPr>
              <w:pStyle w:val="TableText"/>
            </w:pPr>
            <w:r>
              <w:t>Manager may give person notice to leave—serious acts of violence</w:t>
            </w:r>
          </w:p>
        </w:tc>
      </w:tr>
      <w:tr w:rsidR="00BB0926" w14:paraId="4534E61D" w14:textId="77777777" w:rsidTr="00AD6C7D">
        <w:tc>
          <w:tcPr>
            <w:tcW w:w="2065" w:type="dxa"/>
          </w:tcPr>
          <w:p w14:paraId="47478B99" w14:textId="77777777" w:rsidR="00BB0926" w:rsidRDefault="00BB0926" w:rsidP="00AD6C7D">
            <w:pPr>
              <w:pStyle w:val="TableText"/>
            </w:pPr>
            <w:r>
              <w:t>452</w:t>
            </w:r>
          </w:p>
        </w:tc>
        <w:tc>
          <w:tcPr>
            <w:tcW w:w="7506" w:type="dxa"/>
          </w:tcPr>
          <w:p w14:paraId="1EC34B85" w14:textId="77777777" w:rsidR="00BB0926" w:rsidRDefault="00BB0926" w:rsidP="00AD6C7D">
            <w:pPr>
              <w:pStyle w:val="TableText"/>
            </w:pPr>
            <w:r>
              <w:t>General applications to the Tribunal</w:t>
            </w:r>
          </w:p>
        </w:tc>
      </w:tr>
      <w:tr w:rsidR="00BB0926" w14:paraId="354F75F6" w14:textId="77777777" w:rsidTr="00AD6C7D">
        <w:tc>
          <w:tcPr>
            <w:tcW w:w="2065" w:type="dxa"/>
          </w:tcPr>
          <w:p w14:paraId="196CB43D" w14:textId="77777777" w:rsidR="00BB0926" w:rsidRDefault="00BB0926" w:rsidP="00AD6C7D">
            <w:pPr>
              <w:pStyle w:val="TableText"/>
            </w:pPr>
            <w:r>
              <w:t>486(fa)</w:t>
            </w:r>
          </w:p>
        </w:tc>
        <w:tc>
          <w:tcPr>
            <w:tcW w:w="7506" w:type="dxa"/>
          </w:tcPr>
          <w:p w14:paraId="7A4B497F" w14:textId="77777777" w:rsidR="00BB0926" w:rsidRDefault="00BB0926" w:rsidP="00AD6C7D">
            <w:pPr>
              <w:pStyle w:val="TableText"/>
            </w:pPr>
            <w:r>
              <w:t>Functions of Director</w:t>
            </w:r>
          </w:p>
        </w:tc>
      </w:tr>
    </w:tbl>
    <w:p w14:paraId="446D3CB4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BB0926">
        <w:t>74</w:t>
      </w:r>
      <w:r w:rsidR="00AD6C7D">
        <w:t xml:space="preserve">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CFDE" w14:textId="77777777" w:rsidR="0053399C" w:rsidRDefault="0053399C">
      <w:r>
        <w:separator/>
      </w:r>
    </w:p>
    <w:p w14:paraId="73D2668A" w14:textId="77777777" w:rsidR="0053399C" w:rsidRDefault="0053399C"/>
  </w:endnote>
  <w:endnote w:type="continuationSeparator" w:id="0">
    <w:p w14:paraId="54AD0C5E" w14:textId="77777777" w:rsidR="0053399C" w:rsidRDefault="0053399C">
      <w:r>
        <w:continuationSeparator/>
      </w:r>
    </w:p>
    <w:p w14:paraId="0DC063E5" w14:textId="77777777" w:rsidR="0053399C" w:rsidRDefault="00533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5BFE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8FB1" w14:textId="77777777" w:rsidR="00510F74" w:rsidRPr="004A46ED" w:rsidRDefault="007769DB" w:rsidP="007769DB">
    <w:pPr>
      <w:pStyle w:val="Footer"/>
    </w:pPr>
    <w:r>
      <w:t>consumer.vic.gov.au/</w:t>
    </w:r>
    <w:proofErr w:type="spellStart"/>
    <w:r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65A4EA8" wp14:editId="21883DB4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EBF0" w14:textId="77777777" w:rsidR="0053399C" w:rsidRDefault="0053399C">
      <w:r>
        <w:separator/>
      </w:r>
    </w:p>
    <w:p w14:paraId="6FD9460E" w14:textId="77777777" w:rsidR="0053399C" w:rsidRDefault="0053399C"/>
  </w:footnote>
  <w:footnote w:type="continuationSeparator" w:id="0">
    <w:p w14:paraId="1CE7093A" w14:textId="77777777" w:rsidR="0053399C" w:rsidRDefault="0053399C">
      <w:r>
        <w:continuationSeparator/>
      </w:r>
    </w:p>
    <w:p w14:paraId="6659BF6C" w14:textId="77777777" w:rsidR="0053399C" w:rsidRDefault="005339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3365A"/>
    <w:multiLevelType w:val="hybridMultilevel"/>
    <w:tmpl w:val="8E641060"/>
    <w:lvl w:ilvl="0" w:tplc="914E0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2"/>
  </w:num>
  <w:num w:numId="13">
    <w:abstractNumId w:val="28"/>
  </w:num>
  <w:num w:numId="14">
    <w:abstractNumId w:val="25"/>
  </w:num>
  <w:num w:numId="15">
    <w:abstractNumId w:val="24"/>
  </w:num>
  <w:num w:numId="16">
    <w:abstractNumId w:val="27"/>
  </w:num>
  <w:num w:numId="17">
    <w:abstractNumId w:val="17"/>
  </w:num>
  <w:num w:numId="18">
    <w:abstractNumId w:val="20"/>
  </w:num>
  <w:num w:numId="19">
    <w:abstractNumId w:val="19"/>
  </w:num>
  <w:num w:numId="20">
    <w:abstractNumId w:val="22"/>
  </w:num>
  <w:num w:numId="21">
    <w:abstractNumId w:val="21"/>
  </w:num>
  <w:num w:numId="22">
    <w:abstractNumId w:val="13"/>
  </w:num>
  <w:num w:numId="23">
    <w:abstractNumId w:val="14"/>
  </w:num>
  <w:num w:numId="24">
    <w:abstractNumId w:val="11"/>
  </w:num>
  <w:num w:numId="25">
    <w:abstractNumId w:val="30"/>
  </w:num>
  <w:num w:numId="26">
    <w:abstractNumId w:val="26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3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1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6"/>
  </w:num>
  <w:num w:numId="47">
    <w:abstractNumId w:val="29"/>
  </w:num>
  <w:num w:numId="48">
    <w:abstractNumId w:val="23"/>
  </w:num>
  <w:num w:numId="49">
    <w:abstractNumId w:val="18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14861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399C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1629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C6844"/>
    <w:rsid w:val="008D323B"/>
    <w:rsid w:val="008E0C3F"/>
    <w:rsid w:val="008E0CFA"/>
    <w:rsid w:val="008E2696"/>
    <w:rsid w:val="008E6160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1A67"/>
    <w:rsid w:val="0092603D"/>
    <w:rsid w:val="009268B0"/>
    <w:rsid w:val="009308C2"/>
    <w:rsid w:val="00933E5F"/>
    <w:rsid w:val="00934008"/>
    <w:rsid w:val="00934545"/>
    <w:rsid w:val="009426B2"/>
    <w:rsid w:val="009432AE"/>
    <w:rsid w:val="009434E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B0926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2B69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86A85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83B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1054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B0873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F69F-D8C2-46D7-9067-19A2B912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19: Notice to vacate for endangering safety</vt:lpstr>
    </vt:vector>
  </TitlesOfParts>
  <Company>Department of Justice and Community Safety</Company>
  <LinksUpToDate>false</LinksUpToDate>
  <CharactersWithSpaces>1573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19: Notice to vacate for endangering safety</dc:title>
  <dc:subject/>
  <dc:creator>Consumer Affairs Victoria</dc:creator>
  <cp:keywords/>
  <cp:lastModifiedBy>David S</cp:lastModifiedBy>
  <cp:revision>3</cp:revision>
  <cp:lastPrinted>2016-05-23T03:42:00Z</cp:lastPrinted>
  <dcterms:created xsi:type="dcterms:W3CDTF">2020-04-29T06:39:00Z</dcterms:created>
  <dcterms:modified xsi:type="dcterms:W3CDTF">2020-10-05T06:33:00Z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