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62F6" w14:textId="77777777" w:rsidR="005266F3" w:rsidRDefault="005266F3" w:rsidP="007D7C52">
      <w:pPr>
        <w:pStyle w:val="Heading1"/>
      </w:pPr>
      <w:r w:rsidRPr="007D7C52">
        <w:t>Detailed Reference Guide 2</w:t>
      </w:r>
      <w:r w:rsidR="007D7C52">
        <w:t xml:space="preserve">: </w:t>
      </w:r>
      <w:r w:rsidRPr="007D7C52">
        <w:t>Rental providers must give a reason to end a rental agreement</w:t>
      </w:r>
    </w:p>
    <w:p w14:paraId="195D4093" w14:textId="77777777" w:rsidR="007D7C52" w:rsidRPr="007D7C52" w:rsidRDefault="007D7C52" w:rsidP="007D7C52">
      <w:pPr>
        <w:pStyle w:val="BodyText"/>
      </w:pPr>
      <w:r>
        <w:t xml:space="preserve">This reform starts on </w:t>
      </w:r>
      <w:r w:rsidR="0017291F">
        <w:t>29 March 2021</w:t>
      </w:r>
      <w:r>
        <w:t>.</w:t>
      </w:r>
    </w:p>
    <w:p w14:paraId="29830CA3" w14:textId="77777777" w:rsidR="005266F3" w:rsidRDefault="005266F3" w:rsidP="005266F3">
      <w:pPr>
        <w:pStyle w:val="Heading2"/>
      </w:pPr>
      <w:r>
        <w:t>New requirements</w:t>
      </w:r>
    </w:p>
    <w:p w14:paraId="23889CC3" w14:textId="77777777" w:rsidR="005266F3" w:rsidRPr="005266F3" w:rsidRDefault="005266F3" w:rsidP="005266F3">
      <w:pPr>
        <w:pStyle w:val="BodyText"/>
      </w:pPr>
      <w:r w:rsidRPr="005266F3">
        <w:t>Rental providers must specify the reason to end a rental agreement from the reasons provided for in the legislation. The reasons have changed in the following ways.</w:t>
      </w:r>
      <w:bookmarkStart w:id="0" w:name="_GoBack"/>
      <w:bookmarkEnd w:id="0"/>
    </w:p>
    <w:p w14:paraId="4AF2AC9F" w14:textId="77777777" w:rsidR="005266F3" w:rsidRDefault="005266F3" w:rsidP="007D7C52">
      <w:pPr>
        <w:pStyle w:val="Heading3"/>
      </w:pPr>
      <w:r w:rsidRPr="005266F3">
        <w:t>There are two new reasons:</w:t>
      </w:r>
    </w:p>
    <w:tbl>
      <w:tblPr>
        <w:tblStyle w:val="TableGrid"/>
        <w:tblW w:w="0" w:type="auto"/>
        <w:tblLook w:val="04A0" w:firstRow="1" w:lastRow="0" w:firstColumn="1" w:lastColumn="0" w:noHBand="0" w:noVBand="1"/>
      </w:tblPr>
      <w:tblGrid>
        <w:gridCol w:w="4814"/>
        <w:gridCol w:w="4814"/>
      </w:tblGrid>
      <w:tr w:rsidR="005266F3" w:rsidRPr="00FB3BBB" w14:paraId="28756422" w14:textId="77777777" w:rsidTr="005266F3">
        <w:tc>
          <w:tcPr>
            <w:tcW w:w="4814" w:type="dxa"/>
          </w:tcPr>
          <w:p w14:paraId="5AD52A0D" w14:textId="77777777" w:rsidR="005266F3" w:rsidRPr="00FB3BBB" w:rsidRDefault="00701282" w:rsidP="00D0072A">
            <w:pPr>
              <w:pStyle w:val="TableText"/>
              <w:rPr>
                <w:b/>
              </w:rPr>
            </w:pPr>
            <w:r w:rsidRPr="00FB3BBB">
              <w:rPr>
                <w:b/>
              </w:rPr>
              <w:t>New reason</w:t>
            </w:r>
          </w:p>
        </w:tc>
        <w:tc>
          <w:tcPr>
            <w:tcW w:w="4814" w:type="dxa"/>
          </w:tcPr>
          <w:p w14:paraId="3EBB09D7" w14:textId="77777777" w:rsidR="005266F3" w:rsidRPr="00FB3BBB" w:rsidRDefault="00701282" w:rsidP="00D0072A">
            <w:pPr>
              <w:pStyle w:val="TableText"/>
              <w:rPr>
                <w:b/>
              </w:rPr>
            </w:pPr>
            <w:r w:rsidRPr="00FB3BBB">
              <w:rPr>
                <w:b/>
              </w:rPr>
              <w:t>Description</w:t>
            </w:r>
          </w:p>
        </w:tc>
      </w:tr>
      <w:tr w:rsidR="005266F3" w14:paraId="73EFB935" w14:textId="77777777" w:rsidTr="005266F3">
        <w:tc>
          <w:tcPr>
            <w:tcW w:w="4814" w:type="dxa"/>
          </w:tcPr>
          <w:p w14:paraId="3A8F3CD3" w14:textId="77777777" w:rsidR="005266F3" w:rsidRDefault="00701282" w:rsidP="00D0072A">
            <w:pPr>
              <w:pStyle w:val="TableText"/>
            </w:pPr>
            <w:r>
              <w:t>Threats and intimidation</w:t>
            </w:r>
          </w:p>
        </w:tc>
        <w:tc>
          <w:tcPr>
            <w:tcW w:w="4814" w:type="dxa"/>
          </w:tcPr>
          <w:p w14:paraId="241D47A4" w14:textId="77777777" w:rsidR="00285DE2" w:rsidRPr="001F51F1" w:rsidRDefault="00285DE2" w:rsidP="00D0072A">
            <w:pPr>
              <w:pStyle w:val="TableText"/>
            </w:pPr>
            <w:r w:rsidRPr="001F51F1">
              <w:t xml:space="preserve">A </w:t>
            </w:r>
            <w:r>
              <w:t>rental provider</w:t>
            </w:r>
            <w:r w:rsidRPr="001F51F1">
              <w:t xml:space="preserve"> may give a renter a notice to vacate if the renter or any other person occupying or jointly occupying the rented premises has seriously threatened or intimidated</w:t>
            </w:r>
            <w:r>
              <w:t xml:space="preserve"> </w:t>
            </w:r>
            <w:r w:rsidRPr="001F51F1">
              <w:t xml:space="preserve">the </w:t>
            </w:r>
            <w:r>
              <w:t>rental provider</w:t>
            </w:r>
            <w:r w:rsidRPr="001F51F1">
              <w:t xml:space="preserve"> or the provider</w:t>
            </w:r>
            <w:r w:rsidR="007D7C52">
              <w:t>’</w:t>
            </w:r>
            <w:r w:rsidRPr="001F51F1">
              <w:t>s agen</w:t>
            </w:r>
            <w:r>
              <w:t>t,</w:t>
            </w:r>
            <w:r w:rsidRPr="001F51F1">
              <w:t xml:space="preserve"> or</w:t>
            </w:r>
            <w:r>
              <w:t xml:space="preserve"> either of those persons’ contractors or employees</w:t>
            </w:r>
            <w:r w:rsidRPr="001F51F1">
              <w:t>.</w:t>
            </w:r>
          </w:p>
          <w:p w14:paraId="12522204" w14:textId="77777777" w:rsidR="005266F3" w:rsidRDefault="00285DE2" w:rsidP="00D0072A">
            <w:pPr>
              <w:pStyle w:val="TableText"/>
            </w:pPr>
            <w:r>
              <w:t>Minimum notice period:</w:t>
            </w:r>
            <w:r w:rsidRPr="001F51F1">
              <w:t xml:space="preserve"> 14 days.</w:t>
            </w:r>
          </w:p>
        </w:tc>
      </w:tr>
      <w:tr w:rsidR="005266F3" w14:paraId="05BF72D3" w14:textId="77777777" w:rsidTr="005266F3">
        <w:tc>
          <w:tcPr>
            <w:tcW w:w="4814" w:type="dxa"/>
          </w:tcPr>
          <w:p w14:paraId="4EA12A94" w14:textId="77777777" w:rsidR="005266F3" w:rsidRDefault="00285DE2" w:rsidP="00D0072A">
            <w:pPr>
              <w:pStyle w:val="TableText"/>
            </w:pPr>
            <w:r w:rsidRPr="002012EA">
              <w:t>Notice to vacate when pet kept without consent</w:t>
            </w:r>
          </w:p>
        </w:tc>
        <w:tc>
          <w:tcPr>
            <w:tcW w:w="4814" w:type="dxa"/>
          </w:tcPr>
          <w:p w14:paraId="17EB4137" w14:textId="77777777" w:rsidR="00285DE2" w:rsidRPr="007D7C52" w:rsidRDefault="00285DE2" w:rsidP="007D7C52">
            <w:pPr>
              <w:pStyle w:val="TableText"/>
            </w:pPr>
            <w:r w:rsidRPr="007D7C52">
              <w:t>A rental provider may give a notice to vacate if VCAT has made an order excluding a pet from the rental premise, at least 14 days have passed, and the renter has not complied with the VCAT order.</w:t>
            </w:r>
          </w:p>
          <w:p w14:paraId="37319F77" w14:textId="77777777" w:rsidR="005266F3" w:rsidRDefault="00285DE2" w:rsidP="007D7C52">
            <w:pPr>
              <w:pStyle w:val="TableText"/>
            </w:pPr>
            <w:r w:rsidRPr="007D7C52">
              <w:t>Minimum notice period: 28 days.</w:t>
            </w:r>
          </w:p>
        </w:tc>
      </w:tr>
    </w:tbl>
    <w:p w14:paraId="1CA4ACEC" w14:textId="77777777" w:rsidR="00285DE2" w:rsidRPr="00285DE2" w:rsidRDefault="00285DE2" w:rsidP="007D7C52">
      <w:pPr>
        <w:pStyle w:val="Heading3"/>
      </w:pPr>
      <w:r w:rsidRPr="00285DE2">
        <w:t>There are four existing reasons that have been amended. These are the new versions of the reasons:</w:t>
      </w:r>
    </w:p>
    <w:tbl>
      <w:tblPr>
        <w:tblStyle w:val="TableGrid"/>
        <w:tblW w:w="0" w:type="auto"/>
        <w:tblLook w:val="04A0" w:firstRow="1" w:lastRow="0" w:firstColumn="1" w:lastColumn="0" w:noHBand="0" w:noVBand="1"/>
      </w:tblPr>
      <w:tblGrid>
        <w:gridCol w:w="4814"/>
        <w:gridCol w:w="4814"/>
      </w:tblGrid>
      <w:tr w:rsidR="00285DE2" w:rsidRPr="00F0346C" w14:paraId="160E173C" w14:textId="77777777" w:rsidTr="00FB3BBB">
        <w:trPr>
          <w:tblHeader/>
        </w:trPr>
        <w:tc>
          <w:tcPr>
            <w:tcW w:w="4814" w:type="dxa"/>
          </w:tcPr>
          <w:p w14:paraId="748A89E9" w14:textId="77777777" w:rsidR="00285DE2" w:rsidRPr="00F0346C" w:rsidRDefault="00285DE2" w:rsidP="00D0072A">
            <w:pPr>
              <w:pStyle w:val="TableText"/>
              <w:rPr>
                <w:b/>
              </w:rPr>
            </w:pPr>
            <w:r w:rsidRPr="00F0346C">
              <w:rPr>
                <w:b/>
              </w:rPr>
              <w:t>Changed reason</w:t>
            </w:r>
          </w:p>
        </w:tc>
        <w:tc>
          <w:tcPr>
            <w:tcW w:w="4814" w:type="dxa"/>
          </w:tcPr>
          <w:p w14:paraId="01D9A7FC" w14:textId="77777777" w:rsidR="00285DE2" w:rsidRPr="00F0346C" w:rsidRDefault="00285DE2" w:rsidP="00D0072A">
            <w:pPr>
              <w:pStyle w:val="TableText"/>
              <w:rPr>
                <w:b/>
              </w:rPr>
            </w:pPr>
            <w:r w:rsidRPr="00F0346C">
              <w:rPr>
                <w:b/>
              </w:rPr>
              <w:t>Description</w:t>
            </w:r>
          </w:p>
        </w:tc>
      </w:tr>
      <w:tr w:rsidR="00285DE2" w14:paraId="294656E5" w14:textId="77777777" w:rsidTr="00285DE2">
        <w:tc>
          <w:tcPr>
            <w:tcW w:w="4814" w:type="dxa"/>
          </w:tcPr>
          <w:p w14:paraId="359E247A" w14:textId="77777777" w:rsidR="00285DE2" w:rsidRDefault="00285DE2" w:rsidP="00D0072A">
            <w:pPr>
              <w:pStyle w:val="TableText"/>
            </w:pPr>
            <w:r>
              <w:t>Damage</w:t>
            </w:r>
          </w:p>
        </w:tc>
        <w:tc>
          <w:tcPr>
            <w:tcW w:w="4814" w:type="dxa"/>
          </w:tcPr>
          <w:p w14:paraId="0EEA3856" w14:textId="77777777" w:rsidR="00285DE2" w:rsidRPr="001F51F1" w:rsidRDefault="00285DE2" w:rsidP="00D0072A">
            <w:pPr>
              <w:pStyle w:val="TableText"/>
            </w:pPr>
            <w:r w:rsidRPr="001F51F1">
              <w:t xml:space="preserve">A </w:t>
            </w:r>
            <w:r>
              <w:t>rental provider</w:t>
            </w:r>
            <w:r w:rsidRPr="001F51F1">
              <w:t xml:space="preserve"> may gi</w:t>
            </w:r>
            <w:r>
              <w:t>ve a renter a notice to vacate</w:t>
            </w:r>
            <w:r w:rsidRPr="001F51F1">
              <w:t xml:space="preserve"> if the renter or the renter's visitor, whether by act or omission intentionally or recklessly causes serious damage to the premises, including any safety equipment</w:t>
            </w:r>
            <w:r>
              <w:t xml:space="preserve"> (for example a smoke alarm)</w:t>
            </w:r>
            <w:r w:rsidRPr="001F51F1">
              <w:t>, or to any common areas.</w:t>
            </w:r>
          </w:p>
          <w:p w14:paraId="4A7FF0D1" w14:textId="77777777" w:rsidR="00285DE2" w:rsidRPr="002012EA" w:rsidRDefault="00285DE2" w:rsidP="00D0072A">
            <w:pPr>
              <w:pStyle w:val="TableText"/>
            </w:pPr>
            <w:r>
              <w:t>There is no minimum notice period.</w:t>
            </w:r>
          </w:p>
        </w:tc>
      </w:tr>
      <w:tr w:rsidR="00285DE2" w14:paraId="0026BC6A" w14:textId="77777777" w:rsidTr="00285DE2">
        <w:tc>
          <w:tcPr>
            <w:tcW w:w="4814" w:type="dxa"/>
          </w:tcPr>
          <w:p w14:paraId="0A806849" w14:textId="77777777" w:rsidR="00285DE2" w:rsidRDefault="00285DE2" w:rsidP="00D0072A">
            <w:pPr>
              <w:pStyle w:val="TableText"/>
            </w:pPr>
            <w:r w:rsidRPr="002012EA">
              <w:t>Danger</w:t>
            </w:r>
          </w:p>
        </w:tc>
        <w:tc>
          <w:tcPr>
            <w:tcW w:w="4814" w:type="dxa"/>
          </w:tcPr>
          <w:p w14:paraId="7B2D6ADE" w14:textId="77777777" w:rsidR="00285DE2" w:rsidRDefault="00285DE2" w:rsidP="00D0072A">
            <w:pPr>
              <w:pStyle w:val="TableText"/>
            </w:pPr>
            <w:r w:rsidRPr="001F51F1">
              <w:t xml:space="preserve">A </w:t>
            </w:r>
            <w:r>
              <w:t>rental provider</w:t>
            </w:r>
            <w:r w:rsidRPr="001F51F1">
              <w:t xml:space="preserve"> may give a renter a noti</w:t>
            </w:r>
            <w:r>
              <w:t xml:space="preserve">ce to vacate rented premises if </w:t>
            </w:r>
            <w:r w:rsidRPr="001F51F1">
              <w:t>the renter or the renter's visitor by act or</w:t>
            </w:r>
            <w:r>
              <w:t xml:space="preserve"> </w:t>
            </w:r>
            <w:r w:rsidRPr="001F51F1">
              <w:t>omission endangers the safety of</w:t>
            </w:r>
            <w:r>
              <w:t xml:space="preserve"> </w:t>
            </w:r>
            <w:r w:rsidRPr="001F51F1">
              <w:t>occupiers of neighbouring premises</w:t>
            </w:r>
            <w:r>
              <w:t>,</w:t>
            </w:r>
            <w:r w:rsidRPr="001F51F1">
              <w:t xml:space="preserve"> or</w:t>
            </w:r>
            <w:r>
              <w:t xml:space="preserve"> </w:t>
            </w:r>
            <w:r w:rsidRPr="001F51F1">
              <w:t xml:space="preserve">the </w:t>
            </w:r>
            <w:r>
              <w:t>rental provider</w:t>
            </w:r>
            <w:r w:rsidRPr="001F51F1">
              <w:t xml:space="preserve"> or the provider's agent</w:t>
            </w:r>
            <w:r>
              <w:t xml:space="preserve">, or </w:t>
            </w:r>
            <w:r w:rsidRPr="001F51F1">
              <w:t xml:space="preserve">a contractor or employee of </w:t>
            </w:r>
            <w:r>
              <w:t>any of those persons.</w:t>
            </w:r>
          </w:p>
          <w:p w14:paraId="1869C940" w14:textId="77777777" w:rsidR="00285DE2" w:rsidRDefault="00285DE2" w:rsidP="00D0072A">
            <w:pPr>
              <w:pStyle w:val="TableText"/>
            </w:pPr>
            <w:r>
              <w:t>There is no minimum notice period.</w:t>
            </w:r>
          </w:p>
          <w:p w14:paraId="2D5A66CE" w14:textId="77777777" w:rsidR="00285DE2" w:rsidRDefault="00285DE2" w:rsidP="00D0072A">
            <w:pPr>
              <w:pStyle w:val="TableText"/>
            </w:pPr>
            <w:r>
              <w:t xml:space="preserve">A notice cannot be given under this provision if a notice to leave has been provided for the act or omission under the </w:t>
            </w:r>
            <w:r w:rsidR="007D7C52">
              <w:t>‘</w:t>
            </w:r>
            <w:r>
              <w:t>violence on certain premises</w:t>
            </w:r>
            <w:r w:rsidR="007D7C52">
              <w:t>’</w:t>
            </w:r>
            <w:r>
              <w:t xml:space="preserve"> provisions of Part 8 of the </w:t>
            </w:r>
            <w:r w:rsidRPr="007D7C52">
              <w:rPr>
                <w:i/>
              </w:rPr>
              <w:t>Residential Tenancies Act</w:t>
            </w:r>
            <w:r w:rsidR="007D7C52" w:rsidRPr="007D7C52">
              <w:rPr>
                <w:i/>
              </w:rPr>
              <w:t xml:space="preserve"> 1997</w:t>
            </w:r>
            <w:r>
              <w:t>.</w:t>
            </w:r>
          </w:p>
        </w:tc>
      </w:tr>
      <w:tr w:rsidR="00285DE2" w14:paraId="600B50E9" w14:textId="77777777" w:rsidTr="00285DE2">
        <w:tc>
          <w:tcPr>
            <w:tcW w:w="4814" w:type="dxa"/>
          </w:tcPr>
          <w:p w14:paraId="6916DE3C" w14:textId="77777777" w:rsidR="00285DE2" w:rsidRDefault="00285DE2" w:rsidP="00D0072A">
            <w:pPr>
              <w:pStyle w:val="TableText"/>
            </w:pPr>
            <w:r w:rsidRPr="002012EA">
              <w:t xml:space="preserve">End of fixed term </w:t>
            </w:r>
            <w:r>
              <w:t>rental agreement</w:t>
            </w:r>
          </w:p>
        </w:tc>
        <w:tc>
          <w:tcPr>
            <w:tcW w:w="4814" w:type="dxa"/>
          </w:tcPr>
          <w:p w14:paraId="2D5898B0" w14:textId="77777777" w:rsidR="00285DE2" w:rsidRDefault="00285DE2" w:rsidP="00D0072A">
            <w:pPr>
              <w:pStyle w:val="TableText"/>
            </w:pPr>
            <w:r>
              <w:t>This reason only applies to fixed term rental agreements.</w:t>
            </w:r>
          </w:p>
          <w:p w14:paraId="3AE66796" w14:textId="77777777" w:rsidR="00285DE2" w:rsidRDefault="00285DE2" w:rsidP="00D0072A">
            <w:pPr>
              <w:pStyle w:val="TableText"/>
            </w:pPr>
            <w:r>
              <w:t xml:space="preserve">The rental provider may only give the renter an end of fixed term notice to vacate at the end of the </w:t>
            </w:r>
            <w:r w:rsidRPr="00D0072A">
              <w:t xml:space="preserve">first </w:t>
            </w:r>
            <w:r>
              <w:t>fixed term.</w:t>
            </w:r>
          </w:p>
          <w:p w14:paraId="3420C28E" w14:textId="77777777" w:rsidR="00285DE2" w:rsidRDefault="00285DE2" w:rsidP="00D0072A">
            <w:pPr>
              <w:pStyle w:val="TableText"/>
            </w:pPr>
            <w:r>
              <w:lastRenderedPageBreak/>
              <w:t xml:space="preserve">Notice period: the date of termination must be on or after the end of the fixed term. For rental agreements under six months, at least 60 days’ notice before the end of the fixed term is required. For rental agreements between six months and five years, at least 90 days’ notice before the end of the fixed term is required. </w:t>
            </w:r>
          </w:p>
          <w:p w14:paraId="67D48BFD" w14:textId="77777777" w:rsidR="00285DE2" w:rsidRDefault="00285DE2" w:rsidP="00D0072A">
            <w:pPr>
              <w:pStyle w:val="TableText"/>
            </w:pPr>
            <w:r>
              <w:t xml:space="preserve">Note: this reason is only available at the end of the </w:t>
            </w:r>
            <w:r w:rsidRPr="00D0072A">
              <w:t xml:space="preserve">first </w:t>
            </w:r>
            <w:r>
              <w:t>fixed term. It is not available if the rental agreement is renewed, extended or a new fixed term rental agreement is entered into with the renter.</w:t>
            </w:r>
          </w:p>
        </w:tc>
      </w:tr>
      <w:tr w:rsidR="00285DE2" w:rsidRPr="00285DE2" w14:paraId="7622BFAC" w14:textId="77777777" w:rsidTr="00285DE2">
        <w:tc>
          <w:tcPr>
            <w:tcW w:w="4814" w:type="dxa"/>
          </w:tcPr>
          <w:p w14:paraId="2D2BD8FB" w14:textId="77777777" w:rsidR="00285DE2" w:rsidRPr="00285DE2" w:rsidRDefault="00285DE2" w:rsidP="00D0072A">
            <w:pPr>
              <w:pStyle w:val="TableText"/>
            </w:pPr>
            <w:r w:rsidRPr="00285DE2">
              <w:lastRenderedPageBreak/>
              <w:t>Non-payment of rent</w:t>
            </w:r>
          </w:p>
        </w:tc>
        <w:tc>
          <w:tcPr>
            <w:tcW w:w="4814" w:type="dxa"/>
          </w:tcPr>
          <w:p w14:paraId="062FE2F7" w14:textId="77777777" w:rsidR="00285DE2" w:rsidRPr="00285DE2" w:rsidRDefault="00285DE2" w:rsidP="00D0072A">
            <w:pPr>
              <w:pStyle w:val="TableText"/>
            </w:pPr>
            <w:r w:rsidRPr="00285DE2">
              <w:t>New process -- see Detailed Reference Guide 3.</w:t>
            </w:r>
          </w:p>
        </w:tc>
      </w:tr>
    </w:tbl>
    <w:p w14:paraId="2E200E30" w14:textId="77777777" w:rsidR="00285DE2" w:rsidRDefault="00285DE2" w:rsidP="00285DE2">
      <w:pPr>
        <w:pStyle w:val="BodyText"/>
      </w:pPr>
      <w:r w:rsidRPr="00B54624">
        <w:t xml:space="preserve">The </w:t>
      </w:r>
      <w:r w:rsidR="007D7C52">
        <w:t>‘</w:t>
      </w:r>
      <w:r w:rsidRPr="00B54624">
        <w:t>notice to vacate for no specified reason</w:t>
      </w:r>
      <w:r w:rsidR="007D7C52">
        <w:t>’</w:t>
      </w:r>
      <w:r w:rsidRPr="00B54624">
        <w:t xml:space="preserve"> has been repealed</w:t>
      </w:r>
      <w:r>
        <w:t>. Rental providers</w:t>
      </w:r>
      <w:r w:rsidRPr="00B54624">
        <w:t xml:space="preserve"> must use one of the other reasons provided in the </w:t>
      </w:r>
      <w:r w:rsidRPr="007D7C52">
        <w:rPr>
          <w:i/>
        </w:rPr>
        <w:t>Residential Tenancies Act</w:t>
      </w:r>
      <w:r w:rsidR="007D7C52" w:rsidRPr="007D7C52">
        <w:rPr>
          <w:i/>
        </w:rPr>
        <w:t xml:space="preserve"> 1997</w:t>
      </w:r>
      <w:r w:rsidRPr="00B54624">
        <w:t>.</w:t>
      </w:r>
    </w:p>
    <w:p w14:paraId="1ECD2613" w14:textId="77777777" w:rsidR="00285DE2" w:rsidRDefault="00285DE2" w:rsidP="00285DE2">
      <w:pPr>
        <w:pStyle w:val="BodyText"/>
      </w:pPr>
      <w:r>
        <w:t>The notice to vacate must be in the prescribed form, addressed to the renter, and signed by the person giving notice or their agent. It must specify the reason. It must also provide documentary evidence as specified by the Director to support the reason if the notice to vacate is for any of the following reasons:</w:t>
      </w:r>
    </w:p>
    <w:p w14:paraId="3F3A6A30" w14:textId="77777777" w:rsidR="00285DE2" w:rsidRDefault="00285DE2" w:rsidP="00285DE2">
      <w:pPr>
        <w:pStyle w:val="ListBullet"/>
      </w:pPr>
      <w:r>
        <w:t>rental provider</w:t>
      </w:r>
      <w:r w:rsidR="007D7C52">
        <w:t>’</w:t>
      </w:r>
      <w:r>
        <w:t>s principal place of residence</w:t>
      </w:r>
    </w:p>
    <w:p w14:paraId="3F08919F" w14:textId="77777777" w:rsidR="00285DE2" w:rsidRDefault="00285DE2" w:rsidP="00285DE2">
      <w:pPr>
        <w:pStyle w:val="ListBullet"/>
      </w:pPr>
      <w:r>
        <w:t>repairs</w:t>
      </w:r>
    </w:p>
    <w:p w14:paraId="46C766F7" w14:textId="77777777" w:rsidR="00285DE2" w:rsidRDefault="00285DE2" w:rsidP="00285DE2">
      <w:pPr>
        <w:pStyle w:val="ListBullet"/>
      </w:pPr>
      <w:r>
        <w:t>demolition</w:t>
      </w:r>
    </w:p>
    <w:p w14:paraId="6AC5E247" w14:textId="77777777" w:rsidR="00285DE2" w:rsidRDefault="00285DE2" w:rsidP="00285DE2">
      <w:pPr>
        <w:pStyle w:val="ListBullet"/>
      </w:pPr>
      <w:r>
        <w:t>premises to be used for business</w:t>
      </w:r>
    </w:p>
    <w:p w14:paraId="4486A1BF" w14:textId="77777777" w:rsidR="00285DE2" w:rsidRDefault="00285DE2" w:rsidP="00285DE2">
      <w:pPr>
        <w:pStyle w:val="ListBullet"/>
      </w:pPr>
      <w:r>
        <w:t>premises to be occupied by rental provider or provider</w:t>
      </w:r>
      <w:r w:rsidR="007D7C52">
        <w:t>’</w:t>
      </w:r>
      <w:r>
        <w:t>s family</w:t>
      </w:r>
      <w:r>
        <w:tab/>
      </w:r>
    </w:p>
    <w:p w14:paraId="7BF80236" w14:textId="77777777" w:rsidR="00285DE2" w:rsidRDefault="00285DE2" w:rsidP="00285DE2">
      <w:pPr>
        <w:pStyle w:val="ListBullet"/>
      </w:pPr>
      <w:r>
        <w:t>premises to be sold</w:t>
      </w:r>
    </w:p>
    <w:p w14:paraId="7479CC0C" w14:textId="77777777" w:rsidR="005266F3" w:rsidRDefault="00285DE2" w:rsidP="005266F3">
      <w:pPr>
        <w:pStyle w:val="ListBullet"/>
      </w:pPr>
      <w:r>
        <w:t>premises required for public purposes.</w:t>
      </w:r>
      <w:r w:rsidR="005266F3">
        <w:t xml:space="preserve"> </w:t>
      </w:r>
    </w:p>
    <w:p w14:paraId="7F95E111" w14:textId="77777777" w:rsidR="005266F3" w:rsidRPr="00551483" w:rsidRDefault="005266F3" w:rsidP="005266F3">
      <w:pPr>
        <w:pStyle w:val="Heading2"/>
      </w:pPr>
      <w:r w:rsidRPr="00551483">
        <w:t>Previous requirement</w:t>
      </w:r>
      <w:r w:rsidR="00285DE2">
        <w:t>s</w:t>
      </w:r>
    </w:p>
    <w:p w14:paraId="33E83AFE" w14:textId="77777777" w:rsidR="00285DE2" w:rsidRDefault="00285DE2" w:rsidP="00285DE2">
      <w:pPr>
        <w:pStyle w:val="BodyText"/>
      </w:pPr>
      <w:bookmarkStart w:id="1" w:name="_Toc526339631"/>
      <w:r w:rsidRPr="00285DE2">
        <w:t xml:space="preserve">Previously, the </w:t>
      </w:r>
      <w:r w:rsidRPr="007D7C52">
        <w:rPr>
          <w:i/>
        </w:rPr>
        <w:t>Residential Tenancies Act</w:t>
      </w:r>
      <w:r w:rsidR="007D7C52" w:rsidRPr="007D7C52">
        <w:rPr>
          <w:i/>
        </w:rPr>
        <w:t xml:space="preserve"> 1997</w:t>
      </w:r>
      <w:r w:rsidRPr="00285DE2">
        <w:t xml:space="preserve"> provided for a list of reasons that a rental provider may use to end a rental agreement. The following table lists those reasons and whether the reason has been repealed, is new or has changed.</w:t>
      </w:r>
    </w:p>
    <w:tbl>
      <w:tblPr>
        <w:tblStyle w:val="TableGrid"/>
        <w:tblW w:w="0" w:type="auto"/>
        <w:tblLook w:val="04A0" w:firstRow="1" w:lastRow="0" w:firstColumn="1" w:lastColumn="0" w:noHBand="0" w:noVBand="1"/>
      </w:tblPr>
      <w:tblGrid>
        <w:gridCol w:w="4814"/>
        <w:gridCol w:w="4814"/>
      </w:tblGrid>
      <w:tr w:rsidR="00285DE2" w:rsidRPr="00F0346C" w14:paraId="4F07B59A" w14:textId="77777777" w:rsidTr="00FB3BBB">
        <w:trPr>
          <w:tblHeader/>
        </w:trPr>
        <w:tc>
          <w:tcPr>
            <w:tcW w:w="4814" w:type="dxa"/>
          </w:tcPr>
          <w:p w14:paraId="6F2BF8D0" w14:textId="77777777" w:rsidR="00285DE2" w:rsidRPr="00F0346C" w:rsidRDefault="00285DE2" w:rsidP="00D0072A">
            <w:pPr>
              <w:pStyle w:val="TableText"/>
              <w:rPr>
                <w:b/>
              </w:rPr>
            </w:pPr>
            <w:r w:rsidRPr="00F0346C">
              <w:rPr>
                <w:b/>
              </w:rPr>
              <w:t>Reason to end rental agreement</w:t>
            </w:r>
          </w:p>
        </w:tc>
        <w:tc>
          <w:tcPr>
            <w:tcW w:w="4814" w:type="dxa"/>
          </w:tcPr>
          <w:p w14:paraId="04F53BE7" w14:textId="77777777" w:rsidR="00285DE2" w:rsidRPr="00F0346C" w:rsidRDefault="00285DE2" w:rsidP="00D0072A">
            <w:pPr>
              <w:pStyle w:val="TableText"/>
              <w:rPr>
                <w:b/>
              </w:rPr>
            </w:pPr>
            <w:r w:rsidRPr="00F0346C">
              <w:rPr>
                <w:b/>
              </w:rPr>
              <w:t>Change</w:t>
            </w:r>
          </w:p>
        </w:tc>
      </w:tr>
      <w:tr w:rsidR="00285DE2" w14:paraId="63F4C873" w14:textId="77777777" w:rsidTr="00285DE2">
        <w:tc>
          <w:tcPr>
            <w:tcW w:w="4814" w:type="dxa"/>
          </w:tcPr>
          <w:p w14:paraId="75CEC6FC" w14:textId="77777777" w:rsidR="00285DE2" w:rsidRDefault="00285DE2" w:rsidP="00FB3BBB">
            <w:pPr>
              <w:pStyle w:val="TableText"/>
            </w:pPr>
            <w:r>
              <w:t>Damage</w:t>
            </w:r>
          </w:p>
        </w:tc>
        <w:tc>
          <w:tcPr>
            <w:tcW w:w="4814" w:type="dxa"/>
          </w:tcPr>
          <w:p w14:paraId="18B49CEC" w14:textId="77777777" w:rsidR="00285DE2" w:rsidRPr="00FB3BBB" w:rsidRDefault="00285DE2" w:rsidP="00FB3BBB">
            <w:pPr>
              <w:pStyle w:val="TableText"/>
              <w:rPr>
                <w:b/>
              </w:rPr>
            </w:pPr>
            <w:r w:rsidRPr="00FB3BBB">
              <w:rPr>
                <w:b/>
              </w:rPr>
              <w:t>Changed</w:t>
            </w:r>
          </w:p>
        </w:tc>
      </w:tr>
      <w:tr w:rsidR="00285DE2" w14:paraId="68001C11" w14:textId="77777777" w:rsidTr="00285DE2">
        <w:tc>
          <w:tcPr>
            <w:tcW w:w="4814" w:type="dxa"/>
          </w:tcPr>
          <w:p w14:paraId="40BABEE4" w14:textId="77777777" w:rsidR="00285DE2" w:rsidRDefault="00D0072A" w:rsidP="00FB3BBB">
            <w:pPr>
              <w:pStyle w:val="TableText"/>
            </w:pPr>
            <w:r>
              <w:t>Danger</w:t>
            </w:r>
          </w:p>
        </w:tc>
        <w:tc>
          <w:tcPr>
            <w:tcW w:w="4814" w:type="dxa"/>
          </w:tcPr>
          <w:p w14:paraId="573A05DF" w14:textId="77777777" w:rsidR="00285DE2" w:rsidRPr="00FB3BBB" w:rsidRDefault="00285DE2" w:rsidP="00FB3BBB">
            <w:pPr>
              <w:pStyle w:val="TableText"/>
              <w:rPr>
                <w:b/>
              </w:rPr>
            </w:pPr>
            <w:r w:rsidRPr="00FB3BBB">
              <w:rPr>
                <w:b/>
              </w:rPr>
              <w:t>Changed</w:t>
            </w:r>
          </w:p>
        </w:tc>
      </w:tr>
      <w:tr w:rsidR="00285DE2" w14:paraId="3BABF9B0" w14:textId="77777777" w:rsidTr="00285DE2">
        <w:tc>
          <w:tcPr>
            <w:tcW w:w="4814" w:type="dxa"/>
          </w:tcPr>
          <w:p w14:paraId="6741B322" w14:textId="77777777" w:rsidR="00285DE2" w:rsidRDefault="00F0346C" w:rsidP="00FB3BBB">
            <w:pPr>
              <w:pStyle w:val="TableText"/>
            </w:pPr>
            <w:r w:rsidRPr="004D1BB5">
              <w:t>Threats and intimidation</w:t>
            </w:r>
          </w:p>
        </w:tc>
        <w:tc>
          <w:tcPr>
            <w:tcW w:w="4814" w:type="dxa"/>
          </w:tcPr>
          <w:p w14:paraId="5E81FBF6" w14:textId="77777777" w:rsidR="00285DE2" w:rsidRPr="00FB3BBB" w:rsidRDefault="00285DE2" w:rsidP="00FB3BBB">
            <w:pPr>
              <w:pStyle w:val="TableText"/>
              <w:rPr>
                <w:b/>
              </w:rPr>
            </w:pPr>
            <w:r w:rsidRPr="00FB3BBB">
              <w:rPr>
                <w:b/>
              </w:rPr>
              <w:t>New</w:t>
            </w:r>
          </w:p>
        </w:tc>
      </w:tr>
      <w:tr w:rsidR="00285DE2" w14:paraId="5F92975A" w14:textId="77777777" w:rsidTr="00285DE2">
        <w:tc>
          <w:tcPr>
            <w:tcW w:w="4814" w:type="dxa"/>
          </w:tcPr>
          <w:p w14:paraId="4F96AF4D" w14:textId="77777777" w:rsidR="00285DE2" w:rsidRDefault="00F0346C" w:rsidP="00FB3BBB">
            <w:pPr>
              <w:pStyle w:val="TableText"/>
            </w:pPr>
            <w:r w:rsidRPr="004D1BB5">
              <w:t>Condition of premises</w:t>
            </w:r>
          </w:p>
        </w:tc>
        <w:tc>
          <w:tcPr>
            <w:tcW w:w="4814" w:type="dxa"/>
          </w:tcPr>
          <w:p w14:paraId="62CFF90F" w14:textId="77777777" w:rsidR="00285DE2" w:rsidRPr="00FB3BBB" w:rsidRDefault="00285DE2" w:rsidP="00FB3BBB">
            <w:pPr>
              <w:pStyle w:val="TableText"/>
            </w:pPr>
            <w:r w:rsidRPr="00FB3BBB">
              <w:t>Same</w:t>
            </w:r>
          </w:p>
        </w:tc>
      </w:tr>
      <w:tr w:rsidR="00285DE2" w14:paraId="0143BB96" w14:textId="77777777" w:rsidTr="00285DE2">
        <w:tc>
          <w:tcPr>
            <w:tcW w:w="4814" w:type="dxa"/>
          </w:tcPr>
          <w:p w14:paraId="15C54EE9" w14:textId="77777777" w:rsidR="00285DE2" w:rsidRDefault="00F0346C" w:rsidP="00FB3BBB">
            <w:pPr>
              <w:pStyle w:val="TableText"/>
            </w:pPr>
            <w:r w:rsidRPr="004D1BB5">
              <w:t>Non-payment of rent</w:t>
            </w:r>
          </w:p>
        </w:tc>
        <w:tc>
          <w:tcPr>
            <w:tcW w:w="4814" w:type="dxa"/>
          </w:tcPr>
          <w:p w14:paraId="4D70F3BF" w14:textId="77777777" w:rsidR="00285DE2" w:rsidRPr="00FB3BBB" w:rsidRDefault="00285DE2" w:rsidP="00FB3BBB">
            <w:pPr>
              <w:pStyle w:val="TableText"/>
              <w:rPr>
                <w:b/>
              </w:rPr>
            </w:pPr>
            <w:r w:rsidRPr="00FB3BBB">
              <w:rPr>
                <w:b/>
              </w:rPr>
              <w:t>Changed</w:t>
            </w:r>
          </w:p>
        </w:tc>
      </w:tr>
      <w:tr w:rsidR="00285DE2" w14:paraId="25FFEBAA" w14:textId="77777777" w:rsidTr="00285DE2">
        <w:tc>
          <w:tcPr>
            <w:tcW w:w="4814" w:type="dxa"/>
          </w:tcPr>
          <w:p w14:paraId="1E800AC3" w14:textId="77777777" w:rsidR="00285DE2" w:rsidRDefault="00F0346C" w:rsidP="00FB3BBB">
            <w:pPr>
              <w:pStyle w:val="TableText"/>
            </w:pPr>
            <w:r w:rsidRPr="004D1BB5">
              <w:t>Failure to pay bond</w:t>
            </w:r>
          </w:p>
        </w:tc>
        <w:tc>
          <w:tcPr>
            <w:tcW w:w="4814" w:type="dxa"/>
          </w:tcPr>
          <w:p w14:paraId="3129A732" w14:textId="77777777" w:rsidR="00285DE2" w:rsidRDefault="00441824" w:rsidP="00FB3BBB">
            <w:pPr>
              <w:pStyle w:val="TableText"/>
            </w:pPr>
            <w:r>
              <w:t>Same</w:t>
            </w:r>
          </w:p>
        </w:tc>
      </w:tr>
      <w:tr w:rsidR="00285DE2" w14:paraId="58FD7B6B" w14:textId="77777777" w:rsidTr="00285DE2">
        <w:tc>
          <w:tcPr>
            <w:tcW w:w="4814" w:type="dxa"/>
          </w:tcPr>
          <w:p w14:paraId="6600A751" w14:textId="77777777" w:rsidR="00285DE2" w:rsidRDefault="00F0346C" w:rsidP="00FB3BBB">
            <w:pPr>
              <w:pStyle w:val="TableText"/>
            </w:pPr>
            <w:r w:rsidRPr="004D1BB5">
              <w:t xml:space="preserve">Failure to comply with </w:t>
            </w:r>
            <w:r>
              <w:t>a VCAT</w:t>
            </w:r>
            <w:r w:rsidRPr="004D1BB5">
              <w:t xml:space="preserve"> order</w:t>
            </w:r>
          </w:p>
        </w:tc>
        <w:tc>
          <w:tcPr>
            <w:tcW w:w="4814" w:type="dxa"/>
          </w:tcPr>
          <w:p w14:paraId="421FCCB8" w14:textId="77777777" w:rsidR="00285DE2" w:rsidRDefault="00FB3BBB" w:rsidP="00FB3BBB">
            <w:pPr>
              <w:pStyle w:val="TableText"/>
            </w:pPr>
            <w:r>
              <w:t>Same</w:t>
            </w:r>
          </w:p>
        </w:tc>
      </w:tr>
      <w:tr w:rsidR="00285DE2" w14:paraId="3A632B21" w14:textId="77777777" w:rsidTr="00285DE2">
        <w:tc>
          <w:tcPr>
            <w:tcW w:w="4814" w:type="dxa"/>
          </w:tcPr>
          <w:p w14:paraId="0F74AA24" w14:textId="77777777" w:rsidR="00285DE2" w:rsidRDefault="00F0346C" w:rsidP="00FB3BBB">
            <w:pPr>
              <w:pStyle w:val="TableText"/>
            </w:pPr>
            <w:r w:rsidRPr="004D1BB5">
              <w:t>Successive breaches by renter</w:t>
            </w:r>
          </w:p>
        </w:tc>
        <w:tc>
          <w:tcPr>
            <w:tcW w:w="4814" w:type="dxa"/>
          </w:tcPr>
          <w:p w14:paraId="09AFDAA2" w14:textId="77777777" w:rsidR="00285DE2" w:rsidRDefault="00FB3BBB" w:rsidP="00FB3BBB">
            <w:pPr>
              <w:pStyle w:val="TableText"/>
            </w:pPr>
            <w:r>
              <w:t>Same</w:t>
            </w:r>
          </w:p>
        </w:tc>
      </w:tr>
      <w:tr w:rsidR="00285DE2" w14:paraId="3935B5FF" w14:textId="77777777" w:rsidTr="00285DE2">
        <w:tc>
          <w:tcPr>
            <w:tcW w:w="4814" w:type="dxa"/>
          </w:tcPr>
          <w:p w14:paraId="097A6643" w14:textId="77777777" w:rsidR="00285DE2" w:rsidRDefault="00F0346C" w:rsidP="00FB3BBB">
            <w:pPr>
              <w:pStyle w:val="TableText"/>
            </w:pPr>
            <w:r w:rsidRPr="004D1BB5">
              <w:t>Use of premises for illegal purpose</w:t>
            </w:r>
          </w:p>
        </w:tc>
        <w:tc>
          <w:tcPr>
            <w:tcW w:w="4814" w:type="dxa"/>
          </w:tcPr>
          <w:p w14:paraId="37B1C094" w14:textId="77777777" w:rsidR="00285DE2" w:rsidRDefault="00FB3BBB" w:rsidP="00FB3BBB">
            <w:pPr>
              <w:pStyle w:val="TableText"/>
            </w:pPr>
            <w:r>
              <w:t>Same</w:t>
            </w:r>
          </w:p>
        </w:tc>
      </w:tr>
      <w:tr w:rsidR="00285DE2" w14:paraId="39DE99FA" w14:textId="77777777" w:rsidTr="00285DE2">
        <w:tc>
          <w:tcPr>
            <w:tcW w:w="4814" w:type="dxa"/>
          </w:tcPr>
          <w:p w14:paraId="5C93D55F" w14:textId="77777777" w:rsidR="00285DE2" w:rsidRDefault="00F0346C" w:rsidP="00FB3BBB">
            <w:pPr>
              <w:pStyle w:val="TableText"/>
            </w:pPr>
            <w:r w:rsidRPr="004D1BB5">
              <w:t>Drug-related conduct in public housing</w:t>
            </w:r>
          </w:p>
        </w:tc>
        <w:tc>
          <w:tcPr>
            <w:tcW w:w="4814" w:type="dxa"/>
          </w:tcPr>
          <w:p w14:paraId="2E6D8045" w14:textId="77777777" w:rsidR="00285DE2" w:rsidRDefault="00FB3BBB" w:rsidP="00FB3BBB">
            <w:pPr>
              <w:pStyle w:val="TableText"/>
            </w:pPr>
            <w:r>
              <w:t>Same</w:t>
            </w:r>
          </w:p>
        </w:tc>
      </w:tr>
      <w:tr w:rsidR="00FB3BBB" w14:paraId="2FBC1216" w14:textId="77777777" w:rsidTr="00285DE2">
        <w:tc>
          <w:tcPr>
            <w:tcW w:w="4814" w:type="dxa"/>
          </w:tcPr>
          <w:p w14:paraId="2BC5ED87" w14:textId="77777777" w:rsidR="00FB3BBB" w:rsidRPr="004D1BB5" w:rsidRDefault="00FB3BBB" w:rsidP="00FB3BBB">
            <w:pPr>
              <w:pStyle w:val="TableText"/>
            </w:pPr>
            <w:r w:rsidRPr="004D1BB5">
              <w:t>Prescribed indictable offences in public housing</w:t>
            </w:r>
          </w:p>
        </w:tc>
        <w:tc>
          <w:tcPr>
            <w:tcW w:w="4814" w:type="dxa"/>
          </w:tcPr>
          <w:p w14:paraId="6336287C" w14:textId="77777777" w:rsidR="00FB3BBB" w:rsidRDefault="00FB3BBB" w:rsidP="00FB3BBB">
            <w:pPr>
              <w:pStyle w:val="TableText"/>
            </w:pPr>
            <w:r>
              <w:t>Same</w:t>
            </w:r>
          </w:p>
        </w:tc>
      </w:tr>
      <w:tr w:rsidR="00285DE2" w14:paraId="6C091FA3" w14:textId="77777777" w:rsidTr="00285DE2">
        <w:tc>
          <w:tcPr>
            <w:tcW w:w="4814" w:type="dxa"/>
          </w:tcPr>
          <w:p w14:paraId="5D0EA531" w14:textId="77777777" w:rsidR="00285DE2" w:rsidRDefault="00F0346C" w:rsidP="00FB3BBB">
            <w:pPr>
              <w:pStyle w:val="TableText"/>
            </w:pPr>
            <w:r w:rsidRPr="004D1BB5">
              <w:t>Permitting child to reside in premises</w:t>
            </w:r>
          </w:p>
        </w:tc>
        <w:tc>
          <w:tcPr>
            <w:tcW w:w="4814" w:type="dxa"/>
          </w:tcPr>
          <w:p w14:paraId="15E4226B" w14:textId="77777777" w:rsidR="00285DE2" w:rsidRDefault="00FB3BBB" w:rsidP="00FB3BBB">
            <w:pPr>
              <w:pStyle w:val="TableText"/>
            </w:pPr>
            <w:r>
              <w:t>Same</w:t>
            </w:r>
          </w:p>
        </w:tc>
      </w:tr>
      <w:tr w:rsidR="00285DE2" w14:paraId="3C27CC39" w14:textId="77777777" w:rsidTr="00285DE2">
        <w:tc>
          <w:tcPr>
            <w:tcW w:w="4814" w:type="dxa"/>
          </w:tcPr>
          <w:p w14:paraId="350F95F8" w14:textId="77777777" w:rsidR="00285DE2" w:rsidRPr="00F0346C" w:rsidRDefault="00F0346C" w:rsidP="00FB3BBB">
            <w:pPr>
              <w:pStyle w:val="TableText"/>
            </w:pPr>
            <w:r w:rsidRPr="00F0346C">
              <w:t>False statement to housing authority</w:t>
            </w:r>
          </w:p>
        </w:tc>
        <w:tc>
          <w:tcPr>
            <w:tcW w:w="4814" w:type="dxa"/>
          </w:tcPr>
          <w:p w14:paraId="31F91859" w14:textId="77777777" w:rsidR="00285DE2" w:rsidRDefault="00FB3BBB" w:rsidP="00FB3BBB">
            <w:pPr>
              <w:pStyle w:val="TableText"/>
            </w:pPr>
            <w:r>
              <w:t>Same</w:t>
            </w:r>
          </w:p>
        </w:tc>
      </w:tr>
      <w:tr w:rsidR="00285DE2" w14:paraId="4E6A48D4" w14:textId="77777777" w:rsidTr="00285DE2">
        <w:tc>
          <w:tcPr>
            <w:tcW w:w="4814" w:type="dxa"/>
          </w:tcPr>
          <w:p w14:paraId="5DD281E5" w14:textId="77777777" w:rsidR="00285DE2" w:rsidRPr="00F0346C" w:rsidRDefault="00F0346C" w:rsidP="00FB3BBB">
            <w:pPr>
              <w:pStyle w:val="TableText"/>
            </w:pPr>
            <w:r w:rsidRPr="00F0346C">
              <w:t>Assignment or sub-letting without consent</w:t>
            </w:r>
          </w:p>
        </w:tc>
        <w:tc>
          <w:tcPr>
            <w:tcW w:w="4814" w:type="dxa"/>
          </w:tcPr>
          <w:p w14:paraId="6FCE0A33" w14:textId="77777777" w:rsidR="00285DE2" w:rsidRDefault="00FB3BBB" w:rsidP="00FB3BBB">
            <w:pPr>
              <w:pStyle w:val="TableText"/>
            </w:pPr>
            <w:r>
              <w:t>Same</w:t>
            </w:r>
          </w:p>
        </w:tc>
      </w:tr>
      <w:tr w:rsidR="00285DE2" w14:paraId="4042E4D2" w14:textId="77777777" w:rsidTr="00285DE2">
        <w:tc>
          <w:tcPr>
            <w:tcW w:w="4814" w:type="dxa"/>
          </w:tcPr>
          <w:p w14:paraId="5E78C20F" w14:textId="77777777" w:rsidR="00285DE2" w:rsidRDefault="00F0346C" w:rsidP="00FB3BBB">
            <w:pPr>
              <w:pStyle w:val="TableText"/>
            </w:pPr>
            <w:r>
              <w:t>Rental provider</w:t>
            </w:r>
            <w:r w:rsidRPr="004D1BB5">
              <w:t xml:space="preserve">'s principal place of residence (fixed term </w:t>
            </w:r>
            <w:r>
              <w:t>rental agreement</w:t>
            </w:r>
            <w:r w:rsidRPr="004D1BB5">
              <w:t>)</w:t>
            </w:r>
          </w:p>
        </w:tc>
        <w:tc>
          <w:tcPr>
            <w:tcW w:w="4814" w:type="dxa"/>
          </w:tcPr>
          <w:p w14:paraId="59B99982" w14:textId="77777777" w:rsidR="00285DE2" w:rsidRDefault="00FB3BBB" w:rsidP="00FB3BBB">
            <w:pPr>
              <w:pStyle w:val="TableText"/>
            </w:pPr>
            <w:r>
              <w:t>Same</w:t>
            </w:r>
          </w:p>
        </w:tc>
      </w:tr>
      <w:tr w:rsidR="00285DE2" w:rsidRPr="00FB3BBB" w14:paraId="2F7E27BD" w14:textId="77777777" w:rsidTr="00285DE2">
        <w:tc>
          <w:tcPr>
            <w:tcW w:w="4814" w:type="dxa"/>
          </w:tcPr>
          <w:p w14:paraId="615128E6" w14:textId="77777777" w:rsidR="00285DE2" w:rsidRPr="00FB3BBB" w:rsidRDefault="00F0346C" w:rsidP="00FB3BBB">
            <w:pPr>
              <w:pStyle w:val="TableText"/>
            </w:pPr>
            <w:r w:rsidRPr="00FB3BBB">
              <w:t>Repairs</w:t>
            </w:r>
          </w:p>
        </w:tc>
        <w:tc>
          <w:tcPr>
            <w:tcW w:w="4814" w:type="dxa"/>
          </w:tcPr>
          <w:p w14:paraId="019AECE1" w14:textId="77777777" w:rsidR="00285DE2" w:rsidRPr="00FB3BBB" w:rsidRDefault="00FB3BBB" w:rsidP="00FB3BBB">
            <w:pPr>
              <w:pStyle w:val="TableText"/>
            </w:pPr>
            <w:r w:rsidRPr="00FB3BBB">
              <w:t>Same</w:t>
            </w:r>
          </w:p>
        </w:tc>
      </w:tr>
      <w:tr w:rsidR="00285DE2" w14:paraId="516B653E" w14:textId="77777777" w:rsidTr="00285DE2">
        <w:tc>
          <w:tcPr>
            <w:tcW w:w="4814" w:type="dxa"/>
          </w:tcPr>
          <w:p w14:paraId="15C759C0" w14:textId="77777777" w:rsidR="00285DE2" w:rsidRDefault="00F0346C" w:rsidP="00FB3BBB">
            <w:pPr>
              <w:pStyle w:val="TableText"/>
            </w:pPr>
            <w:r w:rsidRPr="004D1BB5">
              <w:lastRenderedPageBreak/>
              <w:t>Demolition</w:t>
            </w:r>
          </w:p>
        </w:tc>
        <w:tc>
          <w:tcPr>
            <w:tcW w:w="4814" w:type="dxa"/>
          </w:tcPr>
          <w:p w14:paraId="1BCAE2CC" w14:textId="77777777" w:rsidR="00285DE2" w:rsidRDefault="00FB3BBB" w:rsidP="00FB3BBB">
            <w:pPr>
              <w:pStyle w:val="TableText"/>
            </w:pPr>
            <w:r>
              <w:t>Same</w:t>
            </w:r>
          </w:p>
        </w:tc>
      </w:tr>
      <w:tr w:rsidR="00285DE2" w14:paraId="599580E7" w14:textId="77777777" w:rsidTr="00285DE2">
        <w:tc>
          <w:tcPr>
            <w:tcW w:w="4814" w:type="dxa"/>
          </w:tcPr>
          <w:p w14:paraId="2017D567" w14:textId="77777777" w:rsidR="00285DE2" w:rsidRDefault="00F0346C" w:rsidP="00FB3BBB">
            <w:pPr>
              <w:pStyle w:val="TableText"/>
            </w:pPr>
            <w:r w:rsidRPr="004D1BB5">
              <w:t>Premises to be used for business</w:t>
            </w:r>
          </w:p>
        </w:tc>
        <w:tc>
          <w:tcPr>
            <w:tcW w:w="4814" w:type="dxa"/>
          </w:tcPr>
          <w:p w14:paraId="4D62925B" w14:textId="77777777" w:rsidR="00285DE2" w:rsidRDefault="00FB3BBB" w:rsidP="00FB3BBB">
            <w:pPr>
              <w:pStyle w:val="TableText"/>
            </w:pPr>
            <w:r>
              <w:t>Same</w:t>
            </w:r>
          </w:p>
        </w:tc>
      </w:tr>
      <w:tr w:rsidR="00285DE2" w14:paraId="57357DDF" w14:textId="77777777" w:rsidTr="00285DE2">
        <w:tc>
          <w:tcPr>
            <w:tcW w:w="4814" w:type="dxa"/>
          </w:tcPr>
          <w:p w14:paraId="577F0192" w14:textId="77777777" w:rsidR="00285DE2" w:rsidRDefault="00F0346C" w:rsidP="00FB3BBB">
            <w:pPr>
              <w:pStyle w:val="TableText"/>
            </w:pPr>
            <w:r w:rsidRPr="004D1BB5">
              <w:t xml:space="preserve">Premises to be occupied by </w:t>
            </w:r>
            <w:r>
              <w:t>rental provider</w:t>
            </w:r>
            <w:r w:rsidRPr="004D1BB5">
              <w:t xml:space="preserve"> or provider</w:t>
            </w:r>
            <w:r w:rsidR="007D7C52">
              <w:t>’</w:t>
            </w:r>
            <w:r w:rsidRPr="004D1BB5">
              <w:t>s family</w:t>
            </w:r>
          </w:p>
        </w:tc>
        <w:tc>
          <w:tcPr>
            <w:tcW w:w="4814" w:type="dxa"/>
          </w:tcPr>
          <w:p w14:paraId="3E6C2E35" w14:textId="77777777" w:rsidR="00285DE2" w:rsidRDefault="00FB3BBB" w:rsidP="00FB3BBB">
            <w:pPr>
              <w:pStyle w:val="TableText"/>
            </w:pPr>
            <w:r>
              <w:t>Same</w:t>
            </w:r>
          </w:p>
        </w:tc>
      </w:tr>
      <w:tr w:rsidR="00285DE2" w14:paraId="500A0859" w14:textId="77777777" w:rsidTr="00285DE2">
        <w:tc>
          <w:tcPr>
            <w:tcW w:w="4814" w:type="dxa"/>
          </w:tcPr>
          <w:p w14:paraId="3A2AACF4" w14:textId="77777777" w:rsidR="00285DE2" w:rsidRDefault="00F0346C" w:rsidP="00FB3BBB">
            <w:pPr>
              <w:pStyle w:val="TableText"/>
            </w:pPr>
            <w:r w:rsidRPr="004D1BB5">
              <w:t>Premises to be sold</w:t>
            </w:r>
          </w:p>
        </w:tc>
        <w:tc>
          <w:tcPr>
            <w:tcW w:w="4814" w:type="dxa"/>
          </w:tcPr>
          <w:p w14:paraId="1239D76C" w14:textId="77777777" w:rsidR="00285DE2" w:rsidRDefault="00FB3BBB" w:rsidP="00FB3BBB">
            <w:pPr>
              <w:pStyle w:val="TableText"/>
            </w:pPr>
            <w:r>
              <w:t>Same</w:t>
            </w:r>
          </w:p>
        </w:tc>
      </w:tr>
      <w:tr w:rsidR="00285DE2" w14:paraId="2DEBDCF3" w14:textId="77777777" w:rsidTr="00285DE2">
        <w:tc>
          <w:tcPr>
            <w:tcW w:w="4814" w:type="dxa"/>
          </w:tcPr>
          <w:p w14:paraId="2BEF2E6D" w14:textId="77777777" w:rsidR="00285DE2" w:rsidRDefault="00F0346C" w:rsidP="00FB3BBB">
            <w:pPr>
              <w:pStyle w:val="TableText"/>
            </w:pPr>
            <w:r w:rsidRPr="004D1BB5">
              <w:t>Premises required for public purposes</w:t>
            </w:r>
          </w:p>
        </w:tc>
        <w:tc>
          <w:tcPr>
            <w:tcW w:w="4814" w:type="dxa"/>
          </w:tcPr>
          <w:p w14:paraId="11D4DB40" w14:textId="77777777" w:rsidR="00285DE2" w:rsidRDefault="00FB3BBB" w:rsidP="00FB3BBB">
            <w:pPr>
              <w:pStyle w:val="TableText"/>
            </w:pPr>
            <w:r>
              <w:t>Same</w:t>
            </w:r>
          </w:p>
        </w:tc>
      </w:tr>
      <w:tr w:rsidR="00285DE2" w14:paraId="380144F4" w14:textId="77777777" w:rsidTr="00285DE2">
        <w:tc>
          <w:tcPr>
            <w:tcW w:w="4814" w:type="dxa"/>
          </w:tcPr>
          <w:p w14:paraId="4C8820AE" w14:textId="77777777" w:rsidR="00285DE2" w:rsidRDefault="00F0346C" w:rsidP="00FB3BBB">
            <w:pPr>
              <w:pStyle w:val="TableText"/>
            </w:pPr>
            <w:r w:rsidRPr="004D1BB5">
              <w:t xml:space="preserve">End of fixed term </w:t>
            </w:r>
            <w:r>
              <w:t>rental agreement</w:t>
            </w:r>
          </w:p>
        </w:tc>
        <w:tc>
          <w:tcPr>
            <w:tcW w:w="4814" w:type="dxa"/>
          </w:tcPr>
          <w:p w14:paraId="1D5A9B37" w14:textId="77777777" w:rsidR="00285DE2" w:rsidRPr="00FB3BBB" w:rsidRDefault="00FB3BBB" w:rsidP="00FB3BBB">
            <w:pPr>
              <w:pStyle w:val="TableText"/>
              <w:rPr>
                <w:b/>
              </w:rPr>
            </w:pPr>
            <w:r w:rsidRPr="00FB3BBB">
              <w:rPr>
                <w:b/>
              </w:rPr>
              <w:t>Changed</w:t>
            </w:r>
          </w:p>
        </w:tc>
      </w:tr>
      <w:tr w:rsidR="00285DE2" w14:paraId="4AE0B20D" w14:textId="77777777" w:rsidTr="00285DE2">
        <w:tc>
          <w:tcPr>
            <w:tcW w:w="4814" w:type="dxa"/>
          </w:tcPr>
          <w:p w14:paraId="23BF126B" w14:textId="77777777" w:rsidR="00285DE2" w:rsidRDefault="00F0346C" w:rsidP="00FB3BBB">
            <w:pPr>
              <w:pStyle w:val="TableText"/>
            </w:pPr>
            <w:r w:rsidRPr="004D1BB5">
              <w:t>Renter no longer meets eligibility criteria</w:t>
            </w:r>
          </w:p>
        </w:tc>
        <w:tc>
          <w:tcPr>
            <w:tcW w:w="4814" w:type="dxa"/>
          </w:tcPr>
          <w:p w14:paraId="74325B2D" w14:textId="77777777" w:rsidR="00285DE2" w:rsidRDefault="00FB3BBB" w:rsidP="00FB3BBB">
            <w:pPr>
              <w:pStyle w:val="TableText"/>
            </w:pPr>
            <w:r>
              <w:t>Same</w:t>
            </w:r>
          </w:p>
        </w:tc>
      </w:tr>
      <w:tr w:rsidR="00285DE2" w14:paraId="39F76CF1" w14:textId="77777777" w:rsidTr="00285DE2">
        <w:tc>
          <w:tcPr>
            <w:tcW w:w="4814" w:type="dxa"/>
          </w:tcPr>
          <w:p w14:paraId="291B7B5C" w14:textId="77777777" w:rsidR="00285DE2" w:rsidRDefault="00F0346C" w:rsidP="00FB3BBB">
            <w:pPr>
              <w:pStyle w:val="TableText"/>
            </w:pPr>
            <w:r w:rsidRPr="004D1BB5">
              <w:t>Renter in transitional housing refuses alternative accommodation</w:t>
            </w:r>
          </w:p>
        </w:tc>
        <w:tc>
          <w:tcPr>
            <w:tcW w:w="4814" w:type="dxa"/>
          </w:tcPr>
          <w:p w14:paraId="1E583BB6" w14:textId="77777777" w:rsidR="00285DE2" w:rsidRDefault="00FB3BBB" w:rsidP="00FB3BBB">
            <w:pPr>
              <w:pStyle w:val="TableText"/>
            </w:pPr>
            <w:r>
              <w:t>Same</w:t>
            </w:r>
          </w:p>
        </w:tc>
      </w:tr>
      <w:tr w:rsidR="00285DE2" w14:paraId="564B3254" w14:textId="77777777" w:rsidTr="00285DE2">
        <w:tc>
          <w:tcPr>
            <w:tcW w:w="4814" w:type="dxa"/>
          </w:tcPr>
          <w:p w14:paraId="641B1963" w14:textId="77777777" w:rsidR="00285DE2" w:rsidRDefault="00F0346C" w:rsidP="00FB3BBB">
            <w:pPr>
              <w:pStyle w:val="TableText"/>
            </w:pPr>
            <w:r w:rsidRPr="004D1BB5">
              <w:t>Notice to vacate when pet kept without consent</w:t>
            </w:r>
          </w:p>
        </w:tc>
        <w:tc>
          <w:tcPr>
            <w:tcW w:w="4814" w:type="dxa"/>
          </w:tcPr>
          <w:p w14:paraId="7EA9E1DF" w14:textId="77777777" w:rsidR="00285DE2" w:rsidRPr="00FB3BBB" w:rsidRDefault="00FB3BBB" w:rsidP="00FB3BBB">
            <w:pPr>
              <w:pStyle w:val="TableText"/>
              <w:rPr>
                <w:b/>
              </w:rPr>
            </w:pPr>
            <w:r w:rsidRPr="00FB3BBB">
              <w:rPr>
                <w:b/>
              </w:rPr>
              <w:t xml:space="preserve">New </w:t>
            </w:r>
          </w:p>
        </w:tc>
      </w:tr>
      <w:tr w:rsidR="00285DE2" w14:paraId="10301BD5" w14:textId="77777777" w:rsidTr="00285DE2">
        <w:tc>
          <w:tcPr>
            <w:tcW w:w="4814" w:type="dxa"/>
          </w:tcPr>
          <w:p w14:paraId="1DD6A658" w14:textId="77777777" w:rsidR="00285DE2" w:rsidRDefault="00F0346C" w:rsidP="00FB3BBB">
            <w:pPr>
              <w:pStyle w:val="TableText"/>
            </w:pPr>
            <w:r>
              <w:t>Notice to vacate for no specified reason</w:t>
            </w:r>
          </w:p>
        </w:tc>
        <w:tc>
          <w:tcPr>
            <w:tcW w:w="4814" w:type="dxa"/>
          </w:tcPr>
          <w:p w14:paraId="4EB8520A" w14:textId="77777777" w:rsidR="00285DE2" w:rsidRPr="00FB3BBB" w:rsidRDefault="00FB3BBB" w:rsidP="00FB3BBB">
            <w:pPr>
              <w:pStyle w:val="TableText"/>
              <w:rPr>
                <w:b/>
              </w:rPr>
            </w:pPr>
            <w:r w:rsidRPr="00FB3BBB">
              <w:rPr>
                <w:b/>
              </w:rPr>
              <w:t>Repealed</w:t>
            </w:r>
          </w:p>
        </w:tc>
      </w:tr>
    </w:tbl>
    <w:bookmarkEnd w:id="1"/>
    <w:p w14:paraId="20A877D3" w14:textId="77777777" w:rsidR="00FB3BBB" w:rsidRDefault="00FB3BBB" w:rsidP="00FB3BBB">
      <w:pPr>
        <w:pStyle w:val="BodyText"/>
      </w:pPr>
      <w:r>
        <w:t xml:space="preserve">The two new reasons did not exist in the previous version of the </w:t>
      </w:r>
      <w:r w:rsidRPr="007D7C52">
        <w:rPr>
          <w:i/>
        </w:rPr>
        <w:t>Residential Tenancies Act</w:t>
      </w:r>
      <w:r w:rsidR="007D7C52" w:rsidRPr="007D7C52">
        <w:rPr>
          <w:i/>
        </w:rPr>
        <w:t xml:space="preserve"> 1997</w:t>
      </w:r>
      <w:r>
        <w:t>. The changed reasons changed as follows.</w:t>
      </w:r>
    </w:p>
    <w:tbl>
      <w:tblPr>
        <w:tblStyle w:val="TableGrid"/>
        <w:tblW w:w="0" w:type="auto"/>
        <w:tblLook w:val="04A0" w:firstRow="1" w:lastRow="0" w:firstColumn="1" w:lastColumn="0" w:noHBand="0" w:noVBand="1"/>
      </w:tblPr>
      <w:tblGrid>
        <w:gridCol w:w="4814"/>
        <w:gridCol w:w="4814"/>
      </w:tblGrid>
      <w:tr w:rsidR="00FB3BBB" w:rsidRPr="00FB3BBB" w14:paraId="5B278048" w14:textId="77777777" w:rsidTr="00D17A50">
        <w:tc>
          <w:tcPr>
            <w:tcW w:w="9628" w:type="dxa"/>
            <w:gridSpan w:val="2"/>
          </w:tcPr>
          <w:p w14:paraId="7A098B07" w14:textId="77777777" w:rsidR="00FB3BBB" w:rsidRPr="00FB3BBB" w:rsidRDefault="00FB3BBB" w:rsidP="00FB3BBB">
            <w:pPr>
              <w:pStyle w:val="TableText"/>
              <w:rPr>
                <w:b/>
              </w:rPr>
            </w:pPr>
            <w:r w:rsidRPr="00FB3BBB">
              <w:rPr>
                <w:b/>
              </w:rPr>
              <w:t>Changed reason</w:t>
            </w:r>
          </w:p>
        </w:tc>
      </w:tr>
      <w:tr w:rsidR="00FB3BBB" w14:paraId="44AF2795" w14:textId="77777777" w:rsidTr="00FB3BBB">
        <w:tc>
          <w:tcPr>
            <w:tcW w:w="4814" w:type="dxa"/>
          </w:tcPr>
          <w:p w14:paraId="15712400" w14:textId="77777777" w:rsidR="00FB3BBB" w:rsidRPr="002012EA" w:rsidRDefault="00FB3BBB" w:rsidP="00FB3BBB">
            <w:pPr>
              <w:pStyle w:val="TableText"/>
            </w:pPr>
            <w:r w:rsidRPr="002012EA">
              <w:t>Damage</w:t>
            </w:r>
          </w:p>
        </w:tc>
        <w:tc>
          <w:tcPr>
            <w:tcW w:w="4814" w:type="dxa"/>
          </w:tcPr>
          <w:p w14:paraId="307EBF4F" w14:textId="77777777" w:rsidR="00FB3BBB" w:rsidRDefault="00FB3BBB" w:rsidP="00FB3BBB">
            <w:pPr>
              <w:pStyle w:val="TableText"/>
            </w:pPr>
            <w:r>
              <w:t>Previous version did not refer to safety equipment and did not include a note providing an example of a smoke detector.</w:t>
            </w:r>
          </w:p>
          <w:p w14:paraId="097E1318" w14:textId="77777777" w:rsidR="00FB3BBB" w:rsidRDefault="00FB3BBB" w:rsidP="00FB3BBB">
            <w:pPr>
              <w:pStyle w:val="TableText"/>
            </w:pPr>
            <w:r>
              <w:t>The provision did not previously refer to the act or omission being intentional or reckless.</w:t>
            </w:r>
          </w:p>
        </w:tc>
      </w:tr>
      <w:tr w:rsidR="00FB3BBB" w14:paraId="1899BC27" w14:textId="77777777" w:rsidTr="00FB3BBB">
        <w:tc>
          <w:tcPr>
            <w:tcW w:w="4814" w:type="dxa"/>
          </w:tcPr>
          <w:p w14:paraId="0E8E4AE2" w14:textId="77777777" w:rsidR="00FB3BBB" w:rsidRDefault="00FB3BBB" w:rsidP="00FB3BBB">
            <w:pPr>
              <w:pStyle w:val="TableText"/>
            </w:pPr>
            <w:r w:rsidRPr="002012EA">
              <w:t>Danger from the renter or renter’s visitors</w:t>
            </w:r>
          </w:p>
        </w:tc>
        <w:tc>
          <w:tcPr>
            <w:tcW w:w="4814" w:type="dxa"/>
          </w:tcPr>
          <w:p w14:paraId="03DB8C15" w14:textId="77777777" w:rsidR="00FB3BBB" w:rsidRDefault="00FB3BBB" w:rsidP="00FB3BBB">
            <w:pPr>
              <w:pStyle w:val="TableText"/>
            </w:pPr>
            <w:r>
              <w:t>The change expands the persons covered by the provision. Previously it only referred to the acts or omissions of the renter or the renter’s visitor endangering the safety of the occupiers of the neighbouring premises only.</w:t>
            </w:r>
          </w:p>
        </w:tc>
      </w:tr>
      <w:tr w:rsidR="00FB3BBB" w14:paraId="25F15030" w14:textId="77777777" w:rsidTr="00FB3BBB">
        <w:tc>
          <w:tcPr>
            <w:tcW w:w="4814" w:type="dxa"/>
          </w:tcPr>
          <w:p w14:paraId="5CD3D253" w14:textId="77777777" w:rsidR="00FB3BBB" w:rsidRPr="002012EA" w:rsidRDefault="00FB3BBB" w:rsidP="00FB3BBB">
            <w:pPr>
              <w:pStyle w:val="TableText"/>
            </w:pPr>
            <w:r w:rsidRPr="002012EA">
              <w:t xml:space="preserve">End of fixed term </w:t>
            </w:r>
            <w:r>
              <w:t>rental agreement</w:t>
            </w:r>
          </w:p>
        </w:tc>
        <w:tc>
          <w:tcPr>
            <w:tcW w:w="4814" w:type="dxa"/>
          </w:tcPr>
          <w:p w14:paraId="45388FCC" w14:textId="77777777" w:rsidR="00FB3BBB" w:rsidRDefault="00FB3BBB" w:rsidP="00FB3BBB">
            <w:pPr>
              <w:pStyle w:val="TableText"/>
            </w:pPr>
            <w:r>
              <w:t xml:space="preserve">Previous version allowed the rental provider to issue an end of fixed term rental agreement notice to vacate at the end of any fixed term agreement, not only the </w:t>
            </w:r>
            <w:r>
              <w:rPr>
                <w:b/>
              </w:rPr>
              <w:t>first</w:t>
            </w:r>
            <w:r>
              <w:t>.</w:t>
            </w:r>
          </w:p>
        </w:tc>
      </w:tr>
      <w:tr w:rsidR="00FB3BBB" w14:paraId="42A13667" w14:textId="77777777" w:rsidTr="00FB3BBB">
        <w:tc>
          <w:tcPr>
            <w:tcW w:w="4814" w:type="dxa"/>
          </w:tcPr>
          <w:p w14:paraId="359E1B6D" w14:textId="77777777" w:rsidR="00FB3BBB" w:rsidRDefault="00FB3BBB" w:rsidP="00FB3BBB">
            <w:pPr>
              <w:pStyle w:val="TableText"/>
            </w:pPr>
            <w:r w:rsidRPr="002012EA">
              <w:t>Non-payment of rent</w:t>
            </w:r>
          </w:p>
        </w:tc>
        <w:tc>
          <w:tcPr>
            <w:tcW w:w="4814" w:type="dxa"/>
          </w:tcPr>
          <w:p w14:paraId="0D8F0436" w14:textId="77777777" w:rsidR="00FB3BBB" w:rsidRDefault="00FB3BBB" w:rsidP="00FB3BBB">
            <w:pPr>
              <w:pStyle w:val="TableText"/>
            </w:pPr>
            <w:r>
              <w:t>N</w:t>
            </w:r>
            <w:r w:rsidRPr="002012EA">
              <w:t xml:space="preserve">ew process -- see </w:t>
            </w:r>
            <w:r>
              <w:t>Top 30 Changes No. 3.</w:t>
            </w:r>
          </w:p>
        </w:tc>
      </w:tr>
    </w:tbl>
    <w:p w14:paraId="3DB0DC65" w14:textId="77777777" w:rsidR="00FB3BBB" w:rsidRPr="00FB3BBB" w:rsidRDefault="00FB3BBB" w:rsidP="00FB3BBB">
      <w:pPr>
        <w:pStyle w:val="BodyText"/>
      </w:pPr>
      <w:r w:rsidRPr="00FB3BBB">
        <w:t xml:space="preserve">Previously, the reasons to provide a notice to vacate included </w:t>
      </w:r>
      <w:r w:rsidR="007D7C52">
        <w:t>‘</w:t>
      </w:r>
      <w:r w:rsidRPr="00FB3BBB">
        <w:t>notice to vacate for no specified reason</w:t>
      </w:r>
      <w:r w:rsidR="007D7C52">
        <w:t>’</w:t>
      </w:r>
      <w:r w:rsidRPr="00FB3BBB">
        <w:t>.</w:t>
      </w:r>
    </w:p>
    <w:p w14:paraId="4503D367" w14:textId="77777777" w:rsidR="00FB3BBB" w:rsidRPr="00FB3BBB" w:rsidRDefault="00FB3BBB" w:rsidP="00FB3BBB">
      <w:pPr>
        <w:pStyle w:val="BodyText"/>
      </w:pPr>
      <w:r w:rsidRPr="00FB3BBB">
        <w:t>Previously, a rental provider had to provide evidence supporting reasons for giving a notice to vacate, but there were no specific documentary evidence requirements for certain reasons for giving a notice to vacate.</w:t>
      </w:r>
    </w:p>
    <w:p w14:paraId="3ED1DF8C" w14:textId="77777777" w:rsidR="00FB3BBB" w:rsidRPr="00FB3BBB" w:rsidRDefault="00FB3BBB" w:rsidP="00FB3BBB">
      <w:pPr>
        <w:pStyle w:val="Heading2"/>
      </w:pPr>
      <w:r w:rsidRPr="00FB3BBB">
        <w:t>Requiring further specification</w:t>
      </w:r>
    </w:p>
    <w:p w14:paraId="1479E27E" w14:textId="77777777" w:rsidR="00FB3BBB" w:rsidRPr="00FB3BBB" w:rsidRDefault="00FB3BBB" w:rsidP="007D7C52">
      <w:pPr>
        <w:pStyle w:val="ListBullet"/>
      </w:pPr>
      <w:r w:rsidRPr="00FB3BBB">
        <w:t>The form of the notice to vacate (to be prescribed).</w:t>
      </w:r>
    </w:p>
    <w:p w14:paraId="22F2AD14" w14:textId="77777777" w:rsidR="00FB3BBB" w:rsidRPr="00FB3BBB" w:rsidRDefault="00FB3BBB" w:rsidP="007D7C52">
      <w:pPr>
        <w:pStyle w:val="ListBullet"/>
      </w:pPr>
      <w:r w:rsidRPr="00FB3BBB">
        <w:t>The required documentary evidence that can be used to support the reason for ending the rental agreement (to be specified by the Director).</w:t>
      </w:r>
    </w:p>
    <w:p w14:paraId="52E69FAC" w14:textId="77777777" w:rsidR="00FB3BBB" w:rsidRPr="00FB3BBB" w:rsidRDefault="00FB3BBB" w:rsidP="00FB3BBB">
      <w:pPr>
        <w:pStyle w:val="Heading2"/>
      </w:pPr>
      <w:r w:rsidRPr="00FB3BBB">
        <w:t xml:space="preserve">Relevant legislation in the </w:t>
      </w:r>
      <w:r w:rsidRPr="007D7C52">
        <w:rPr>
          <w:i/>
        </w:rPr>
        <w:t>Residential Tenancies Act</w:t>
      </w:r>
      <w:r w:rsidR="007D7C52" w:rsidRPr="007D7C52">
        <w:rPr>
          <w:i/>
        </w:rPr>
        <w:t xml:space="preserve"> 1997</w:t>
      </w:r>
    </w:p>
    <w:p w14:paraId="7488674B" w14:textId="77777777" w:rsidR="00FB3BBB" w:rsidRPr="00FB3BBB" w:rsidRDefault="00FB3BBB" w:rsidP="00FB3BBB">
      <w:pPr>
        <w:pStyle w:val="Heading3"/>
      </w:pPr>
      <w:r w:rsidRPr="00FB3BBB">
        <w:t xml:space="preserve">New </w:t>
      </w:r>
      <w:r w:rsidR="007D7C52">
        <w:t>r</w:t>
      </w:r>
      <w:r w:rsidRPr="00FB3BBB">
        <w:t>easons</w:t>
      </w:r>
    </w:p>
    <w:tbl>
      <w:tblPr>
        <w:tblStyle w:val="TableGrid"/>
        <w:tblW w:w="0" w:type="auto"/>
        <w:tblLook w:val="04A0" w:firstRow="1" w:lastRow="0" w:firstColumn="1" w:lastColumn="0" w:noHBand="0" w:noVBand="1"/>
      </w:tblPr>
      <w:tblGrid>
        <w:gridCol w:w="1413"/>
        <w:gridCol w:w="8215"/>
      </w:tblGrid>
      <w:tr w:rsidR="007D7C52" w:rsidRPr="007D7C52" w14:paraId="1AA87ED7" w14:textId="77777777" w:rsidTr="007D7C52">
        <w:tc>
          <w:tcPr>
            <w:tcW w:w="1413" w:type="dxa"/>
          </w:tcPr>
          <w:p w14:paraId="2FEF91F9" w14:textId="77777777" w:rsidR="007D7C52" w:rsidRPr="007D7C52" w:rsidRDefault="007D7C52" w:rsidP="007D7C52">
            <w:pPr>
              <w:pStyle w:val="TableText"/>
            </w:pPr>
            <w:r w:rsidRPr="007D7C52">
              <w:t>91ZK</w:t>
            </w:r>
          </w:p>
        </w:tc>
        <w:tc>
          <w:tcPr>
            <w:tcW w:w="8215" w:type="dxa"/>
          </w:tcPr>
          <w:p w14:paraId="14BFBC53" w14:textId="77777777" w:rsidR="007D7C52" w:rsidRPr="007D7C52" w:rsidRDefault="007D7C52" w:rsidP="007D7C52">
            <w:pPr>
              <w:pStyle w:val="TableText"/>
            </w:pPr>
            <w:r w:rsidRPr="007D7C52">
              <w:t>Threats and intimidation</w:t>
            </w:r>
          </w:p>
        </w:tc>
      </w:tr>
      <w:tr w:rsidR="007D7C52" w:rsidRPr="007D7C52" w14:paraId="1DE3CAE9" w14:textId="77777777" w:rsidTr="007D7C52">
        <w:tc>
          <w:tcPr>
            <w:tcW w:w="1413" w:type="dxa"/>
          </w:tcPr>
          <w:p w14:paraId="4D16CAE8" w14:textId="77777777" w:rsidR="007D7C52" w:rsidRPr="007D7C52" w:rsidRDefault="007D7C52" w:rsidP="007D7C52">
            <w:pPr>
              <w:pStyle w:val="TableText"/>
            </w:pPr>
            <w:r w:rsidRPr="007D7C52">
              <w:t>91ZZG</w:t>
            </w:r>
          </w:p>
        </w:tc>
        <w:tc>
          <w:tcPr>
            <w:tcW w:w="8215" w:type="dxa"/>
          </w:tcPr>
          <w:p w14:paraId="7E730716" w14:textId="77777777" w:rsidR="007D7C52" w:rsidRPr="007D7C52" w:rsidRDefault="007D7C52" w:rsidP="007D7C52">
            <w:pPr>
              <w:pStyle w:val="TableText"/>
            </w:pPr>
            <w:r w:rsidRPr="007D7C52">
              <w:t>Notice to vacate when pet kept without consent</w:t>
            </w:r>
          </w:p>
        </w:tc>
      </w:tr>
    </w:tbl>
    <w:p w14:paraId="46EC001F" w14:textId="77777777" w:rsidR="00FB3BBB" w:rsidRPr="00FB3BBB" w:rsidRDefault="00FB3BBB" w:rsidP="00FB3BBB">
      <w:pPr>
        <w:pStyle w:val="Heading3"/>
      </w:pPr>
      <w:r w:rsidRPr="00FB3BBB">
        <w:t>Changed reasons</w:t>
      </w:r>
    </w:p>
    <w:tbl>
      <w:tblPr>
        <w:tblStyle w:val="TableGrid"/>
        <w:tblW w:w="0" w:type="auto"/>
        <w:tblLook w:val="04A0" w:firstRow="1" w:lastRow="0" w:firstColumn="1" w:lastColumn="0" w:noHBand="0" w:noVBand="1"/>
      </w:tblPr>
      <w:tblGrid>
        <w:gridCol w:w="1413"/>
        <w:gridCol w:w="8215"/>
      </w:tblGrid>
      <w:tr w:rsidR="007D7C52" w:rsidRPr="007D7C52" w14:paraId="266E7435" w14:textId="77777777" w:rsidTr="007D7C52">
        <w:tc>
          <w:tcPr>
            <w:tcW w:w="1413" w:type="dxa"/>
          </w:tcPr>
          <w:p w14:paraId="66CD76EE" w14:textId="77777777" w:rsidR="007D7C52" w:rsidRPr="007D7C52" w:rsidRDefault="007D7C52" w:rsidP="007D7C52">
            <w:pPr>
              <w:pStyle w:val="TableText"/>
            </w:pPr>
            <w:r w:rsidRPr="007D7C52">
              <w:t>91ZI</w:t>
            </w:r>
          </w:p>
        </w:tc>
        <w:tc>
          <w:tcPr>
            <w:tcW w:w="8215" w:type="dxa"/>
          </w:tcPr>
          <w:p w14:paraId="73588836" w14:textId="77777777" w:rsidR="007D7C52" w:rsidRPr="007D7C52" w:rsidRDefault="007D7C52" w:rsidP="007D7C52">
            <w:pPr>
              <w:pStyle w:val="TableText"/>
            </w:pPr>
            <w:r w:rsidRPr="007D7C52">
              <w:t>Damage</w:t>
            </w:r>
          </w:p>
        </w:tc>
      </w:tr>
      <w:tr w:rsidR="007D7C52" w:rsidRPr="007D7C52" w14:paraId="1D133B6D" w14:textId="77777777" w:rsidTr="007D7C52">
        <w:tc>
          <w:tcPr>
            <w:tcW w:w="1413" w:type="dxa"/>
          </w:tcPr>
          <w:p w14:paraId="766CE101" w14:textId="77777777" w:rsidR="007D7C52" w:rsidRPr="007D7C52" w:rsidRDefault="007D7C52" w:rsidP="007D7C52">
            <w:pPr>
              <w:pStyle w:val="TableText"/>
            </w:pPr>
            <w:r w:rsidRPr="007D7C52">
              <w:lastRenderedPageBreak/>
              <w:t>91ZJ</w:t>
            </w:r>
          </w:p>
        </w:tc>
        <w:tc>
          <w:tcPr>
            <w:tcW w:w="8215" w:type="dxa"/>
          </w:tcPr>
          <w:p w14:paraId="4A00D5B4" w14:textId="77777777" w:rsidR="007D7C52" w:rsidRPr="007D7C52" w:rsidRDefault="007D7C52" w:rsidP="007D7C52">
            <w:pPr>
              <w:pStyle w:val="TableText"/>
            </w:pPr>
            <w:r w:rsidRPr="007D7C52">
              <w:t>Danger</w:t>
            </w:r>
          </w:p>
        </w:tc>
      </w:tr>
      <w:tr w:rsidR="007D7C52" w:rsidRPr="007D7C52" w14:paraId="759A6C37" w14:textId="77777777" w:rsidTr="007D7C52">
        <w:tc>
          <w:tcPr>
            <w:tcW w:w="1413" w:type="dxa"/>
          </w:tcPr>
          <w:p w14:paraId="05DB80B2" w14:textId="77777777" w:rsidR="007D7C52" w:rsidRPr="007D7C52" w:rsidRDefault="007D7C52" w:rsidP="007D7C52">
            <w:pPr>
              <w:pStyle w:val="TableText"/>
            </w:pPr>
            <w:r w:rsidRPr="007D7C52">
              <w:t>91ZZD</w:t>
            </w:r>
          </w:p>
        </w:tc>
        <w:tc>
          <w:tcPr>
            <w:tcW w:w="8215" w:type="dxa"/>
          </w:tcPr>
          <w:p w14:paraId="50E4D3B3" w14:textId="77777777" w:rsidR="007D7C52" w:rsidRPr="007D7C52" w:rsidRDefault="007D7C52" w:rsidP="007D7C52">
            <w:pPr>
              <w:pStyle w:val="TableText"/>
            </w:pPr>
            <w:r w:rsidRPr="007D7C52">
              <w:t>End of fixed term rental agreement</w:t>
            </w:r>
          </w:p>
        </w:tc>
      </w:tr>
      <w:tr w:rsidR="007D7C52" w:rsidRPr="007D7C52" w14:paraId="6B9500B4" w14:textId="77777777" w:rsidTr="007D7C52">
        <w:tc>
          <w:tcPr>
            <w:tcW w:w="1413" w:type="dxa"/>
          </w:tcPr>
          <w:p w14:paraId="4036734A" w14:textId="77777777" w:rsidR="007D7C52" w:rsidRPr="007D7C52" w:rsidRDefault="007D7C52" w:rsidP="007D7C52">
            <w:pPr>
              <w:pStyle w:val="TableText"/>
            </w:pPr>
            <w:r w:rsidRPr="007D7C52">
              <w:t>91ZM</w:t>
            </w:r>
          </w:p>
        </w:tc>
        <w:tc>
          <w:tcPr>
            <w:tcW w:w="8215" w:type="dxa"/>
          </w:tcPr>
          <w:p w14:paraId="03F1BAB9" w14:textId="77777777" w:rsidR="007D7C52" w:rsidRPr="007D7C52" w:rsidRDefault="007D7C52" w:rsidP="007D7C52">
            <w:pPr>
              <w:pStyle w:val="TableText"/>
            </w:pPr>
            <w:r w:rsidRPr="007D7C52">
              <w:t>Non-payment of rent</w:t>
            </w:r>
          </w:p>
        </w:tc>
      </w:tr>
    </w:tbl>
    <w:p w14:paraId="4E48EDC1" w14:textId="77777777" w:rsidR="00FB3BBB" w:rsidRPr="00FB3BBB" w:rsidRDefault="00FB3BBB" w:rsidP="00FB3BBB">
      <w:pPr>
        <w:pStyle w:val="Heading3"/>
      </w:pPr>
      <w:r w:rsidRPr="00FB3BBB">
        <w:t>Form of notice</w:t>
      </w:r>
    </w:p>
    <w:tbl>
      <w:tblPr>
        <w:tblStyle w:val="TableGrid"/>
        <w:tblW w:w="0" w:type="auto"/>
        <w:tblLook w:val="04A0" w:firstRow="1" w:lastRow="0" w:firstColumn="1" w:lastColumn="0" w:noHBand="0" w:noVBand="1"/>
      </w:tblPr>
      <w:tblGrid>
        <w:gridCol w:w="1413"/>
        <w:gridCol w:w="8215"/>
      </w:tblGrid>
      <w:tr w:rsidR="007D7C52" w:rsidRPr="007D7C52" w14:paraId="1E0DC56D" w14:textId="77777777" w:rsidTr="007D7C52">
        <w:tc>
          <w:tcPr>
            <w:tcW w:w="1413" w:type="dxa"/>
          </w:tcPr>
          <w:p w14:paraId="5ED5E266" w14:textId="77777777" w:rsidR="007D7C52" w:rsidRPr="007D7C52" w:rsidRDefault="007D7C52" w:rsidP="007D7C52">
            <w:pPr>
              <w:pStyle w:val="TableText"/>
            </w:pPr>
            <w:r w:rsidRPr="007D7C52">
              <w:t>91ZZO</w:t>
            </w:r>
          </w:p>
        </w:tc>
        <w:tc>
          <w:tcPr>
            <w:tcW w:w="8215" w:type="dxa"/>
          </w:tcPr>
          <w:p w14:paraId="4E5B425D" w14:textId="77777777" w:rsidR="007D7C52" w:rsidRPr="007D7C52" w:rsidRDefault="007D7C52" w:rsidP="007D7C52">
            <w:pPr>
              <w:pStyle w:val="TableText"/>
            </w:pPr>
            <w:r w:rsidRPr="007D7C52">
              <w:t>Form of notice to vacate</w:t>
            </w:r>
          </w:p>
        </w:tc>
      </w:tr>
    </w:tbl>
    <w:p w14:paraId="115B9FB2" w14:textId="77777777" w:rsidR="000C6B81" w:rsidRDefault="002C7E5E" w:rsidP="007D7C52">
      <w:pPr>
        <w:pStyle w:val="BodyText"/>
      </w:pPr>
      <w:r>
        <w:t>Note: This was Reform 69 in the Fairer Safer Housing review.</w:t>
      </w:r>
    </w:p>
    <w:sectPr w:rsidR="000C6B81" w:rsidSect="005266F3">
      <w:footerReference w:type="default" r:id="rId8"/>
      <w:footerReference w:type="first" r:id="rId9"/>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27A2" w14:textId="77777777" w:rsidR="00E16C77" w:rsidRDefault="00E16C77">
      <w:pPr>
        <w:spacing w:before="0" w:after="0"/>
      </w:pPr>
      <w:r>
        <w:separator/>
      </w:r>
    </w:p>
  </w:endnote>
  <w:endnote w:type="continuationSeparator" w:id="0">
    <w:p w14:paraId="005F0E12" w14:textId="77777777" w:rsidR="00E16C77" w:rsidRDefault="00E16C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58B7" w14:textId="77777777" w:rsidR="00543073" w:rsidRPr="005545CA" w:rsidRDefault="00FB3BBB"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5F06" w14:textId="77777777" w:rsidR="00510F74" w:rsidRPr="007D7C52" w:rsidRDefault="007D7C52" w:rsidP="007D7C52">
    <w:pPr>
      <w:pStyle w:val="Footer"/>
    </w:pPr>
    <w:r>
      <w:t>consumer.vic.gov.au/</w:t>
    </w:r>
    <w:proofErr w:type="spellStart"/>
    <w:r>
      <w:t>rentinglawchanges</w:t>
    </w:r>
    <w:proofErr w:type="spellEnd"/>
    <w:r w:rsidR="00FB3BBB" w:rsidRPr="007D7C52">
      <w:tab/>
      <w:t xml:space="preserve">Page </w:t>
    </w:r>
    <w:r w:rsidR="00FB3BBB" w:rsidRPr="007D7C52">
      <w:fldChar w:fldCharType="begin"/>
    </w:r>
    <w:r w:rsidR="00FB3BBB" w:rsidRPr="007D7C52">
      <w:instrText xml:space="preserve"> PAGE </w:instrText>
    </w:r>
    <w:r w:rsidR="00FB3BBB" w:rsidRPr="007D7C52">
      <w:fldChar w:fldCharType="separate"/>
    </w:r>
    <w:r w:rsidR="00FB3BBB" w:rsidRPr="007D7C52">
      <w:t>1</w:t>
    </w:r>
    <w:r w:rsidR="00FB3BBB" w:rsidRPr="007D7C52">
      <w:fldChar w:fldCharType="end"/>
    </w:r>
    <w:r w:rsidR="00FB3BBB" w:rsidRPr="007D7C52">
      <w:t xml:space="preserve"> of 1</w:t>
    </w:r>
    <w:r w:rsidR="00FB3BBB" w:rsidRPr="007D7C52">
      <w:tab/>
    </w:r>
    <w:r w:rsidR="00FB3BBB" w:rsidRPr="007D7C52">
      <w:rPr>
        <w:noProof/>
      </w:rPr>
      <w:drawing>
        <wp:inline distT="0" distB="0" distL="0" distR="0" wp14:anchorId="754CD100" wp14:editId="1EFAEFC1">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1507" w14:textId="77777777" w:rsidR="00E16C77" w:rsidRDefault="00E16C77">
      <w:pPr>
        <w:spacing w:before="0" w:after="0"/>
      </w:pPr>
      <w:r>
        <w:separator/>
      </w:r>
    </w:p>
  </w:footnote>
  <w:footnote w:type="continuationSeparator" w:id="0">
    <w:p w14:paraId="0D523D89" w14:textId="77777777" w:rsidR="00E16C77" w:rsidRDefault="00E16C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 w15:restartNumberingAfterBreak="0">
    <w:nsid w:val="0FEF6AFD"/>
    <w:multiLevelType w:val="hybridMultilevel"/>
    <w:tmpl w:val="6108C7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F3"/>
    <w:rsid w:val="0017291F"/>
    <w:rsid w:val="001A4498"/>
    <w:rsid w:val="00285DE2"/>
    <w:rsid w:val="00290977"/>
    <w:rsid w:val="002C7E5E"/>
    <w:rsid w:val="00441824"/>
    <w:rsid w:val="004A3F5C"/>
    <w:rsid w:val="005266F3"/>
    <w:rsid w:val="00575EF1"/>
    <w:rsid w:val="00580E59"/>
    <w:rsid w:val="00701282"/>
    <w:rsid w:val="007A26C2"/>
    <w:rsid w:val="007D7C52"/>
    <w:rsid w:val="0096363F"/>
    <w:rsid w:val="00A21E56"/>
    <w:rsid w:val="00D0072A"/>
    <w:rsid w:val="00E16C77"/>
    <w:rsid w:val="00F0346C"/>
    <w:rsid w:val="00F72161"/>
    <w:rsid w:val="00FB3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EDC"/>
  <w15:chartTrackingRefBased/>
  <w15:docId w15:val="{860B05AC-628B-4A40-999C-62098791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4"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rsid w:val="005266F3"/>
    <w:pPr>
      <w:spacing w:before="240" w:after="240" w:line="240" w:lineRule="auto"/>
    </w:pPr>
    <w:rPr>
      <w:rFonts w:ascii="Arial" w:eastAsia="Times New Roman" w:hAnsi="Arial" w:cs="Times New Roman"/>
      <w:sz w:val="18"/>
      <w:szCs w:val="24"/>
      <w:lang w:eastAsia="en-AU"/>
    </w:rPr>
  </w:style>
  <w:style w:type="paragraph" w:styleId="Heading1">
    <w:name w:val="heading 1"/>
    <w:next w:val="BodyText"/>
    <w:link w:val="Heading1Char"/>
    <w:uiPriority w:val="2"/>
    <w:qFormat/>
    <w:rsid w:val="005266F3"/>
    <w:pPr>
      <w:spacing w:after="240" w:line="240" w:lineRule="auto"/>
      <w:outlineLvl w:val="0"/>
    </w:pPr>
    <w:rPr>
      <w:rFonts w:ascii="Arial" w:eastAsia="Times New Roman" w:hAnsi="Arial" w:cs="Arial"/>
      <w:b/>
      <w:bCs/>
      <w:sz w:val="36"/>
      <w:szCs w:val="36"/>
      <w:lang w:eastAsia="en-AU"/>
    </w:rPr>
  </w:style>
  <w:style w:type="paragraph" w:styleId="Heading2">
    <w:name w:val="heading 2"/>
    <w:next w:val="BodyText"/>
    <w:link w:val="Heading2Char"/>
    <w:uiPriority w:val="2"/>
    <w:qFormat/>
    <w:rsid w:val="005266F3"/>
    <w:pPr>
      <w:keepNext/>
      <w:keepLines/>
      <w:suppressAutoHyphens/>
      <w:spacing w:before="300" w:after="120" w:line="240" w:lineRule="auto"/>
      <w:outlineLvl w:val="1"/>
    </w:pPr>
    <w:rPr>
      <w:rFonts w:ascii="Arial" w:eastAsia="Times New Roman" w:hAnsi="Arial" w:cs="Arial"/>
      <w:b/>
      <w:bCs/>
      <w:sz w:val="26"/>
      <w:szCs w:val="26"/>
      <w:lang w:eastAsia="en-AU"/>
    </w:rPr>
  </w:style>
  <w:style w:type="paragraph" w:styleId="Heading3">
    <w:name w:val="heading 3"/>
    <w:next w:val="BodyText"/>
    <w:link w:val="Heading3Char"/>
    <w:uiPriority w:val="2"/>
    <w:qFormat/>
    <w:rsid w:val="005266F3"/>
    <w:pPr>
      <w:keepNext/>
      <w:keepLines/>
      <w:suppressAutoHyphens/>
      <w:spacing w:before="300" w:after="120" w:line="240" w:lineRule="auto"/>
      <w:outlineLvl w:val="2"/>
    </w:pPr>
    <w:rPr>
      <w:rFonts w:ascii="Arial" w:eastAsia="Times New Roman" w:hAnsi="Arial" w:cs="Arial"/>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266F3"/>
    <w:rPr>
      <w:rFonts w:ascii="Arial" w:eastAsia="Times New Roman" w:hAnsi="Arial" w:cs="Arial"/>
      <w:b/>
      <w:bCs/>
      <w:sz w:val="36"/>
      <w:szCs w:val="36"/>
      <w:lang w:eastAsia="en-AU"/>
    </w:rPr>
  </w:style>
  <w:style w:type="character" w:customStyle="1" w:styleId="Heading2Char">
    <w:name w:val="Heading 2 Char"/>
    <w:basedOn w:val="DefaultParagraphFont"/>
    <w:link w:val="Heading2"/>
    <w:uiPriority w:val="2"/>
    <w:rsid w:val="005266F3"/>
    <w:rPr>
      <w:rFonts w:ascii="Arial" w:eastAsia="Times New Roman" w:hAnsi="Arial" w:cs="Arial"/>
      <w:b/>
      <w:bCs/>
      <w:sz w:val="26"/>
      <w:szCs w:val="26"/>
      <w:lang w:eastAsia="en-AU"/>
    </w:rPr>
  </w:style>
  <w:style w:type="character" w:customStyle="1" w:styleId="Heading3Char">
    <w:name w:val="Heading 3 Char"/>
    <w:basedOn w:val="DefaultParagraphFont"/>
    <w:link w:val="Heading3"/>
    <w:uiPriority w:val="2"/>
    <w:rsid w:val="005266F3"/>
    <w:rPr>
      <w:rFonts w:ascii="Arial" w:eastAsia="Times New Roman" w:hAnsi="Arial" w:cs="Arial"/>
      <w:b/>
      <w:bCs/>
      <w:sz w:val="24"/>
      <w:szCs w:val="24"/>
      <w:lang w:eastAsia="en-AU"/>
    </w:rPr>
  </w:style>
  <w:style w:type="paragraph" w:styleId="Footer">
    <w:name w:val="footer"/>
    <w:link w:val="FooterChar"/>
    <w:uiPriority w:val="99"/>
    <w:rsid w:val="005266F3"/>
    <w:pPr>
      <w:tabs>
        <w:tab w:val="center" w:pos="5387"/>
        <w:tab w:val="right" w:pos="10773"/>
      </w:tabs>
      <w:suppressAutoHyphens/>
      <w:spacing w:before="200" w:after="0" w:line="240" w:lineRule="auto"/>
    </w:pPr>
    <w:rPr>
      <w:rFonts w:ascii="Arial" w:eastAsia="Times New Roman" w:hAnsi="Arial" w:cs="Arial"/>
      <w:sz w:val="18"/>
      <w:szCs w:val="16"/>
      <w:lang w:eastAsia="en-AU"/>
    </w:rPr>
  </w:style>
  <w:style w:type="character" w:customStyle="1" w:styleId="FooterChar">
    <w:name w:val="Footer Char"/>
    <w:basedOn w:val="DefaultParagraphFont"/>
    <w:link w:val="Footer"/>
    <w:uiPriority w:val="99"/>
    <w:rsid w:val="005266F3"/>
    <w:rPr>
      <w:rFonts w:ascii="Arial" w:eastAsia="Times New Roman" w:hAnsi="Arial" w:cs="Arial"/>
      <w:sz w:val="18"/>
      <w:szCs w:val="16"/>
      <w:lang w:eastAsia="en-AU"/>
    </w:rPr>
  </w:style>
  <w:style w:type="paragraph" w:styleId="BodyText">
    <w:name w:val="Body Text"/>
    <w:link w:val="BodyTextChar"/>
    <w:qFormat/>
    <w:rsid w:val="005266F3"/>
    <w:pPr>
      <w:suppressAutoHyphens/>
      <w:spacing w:before="80" w:after="80" w:line="264" w:lineRule="auto"/>
    </w:pPr>
    <w:rPr>
      <w:rFonts w:ascii="Arial" w:eastAsia="Times New Roman" w:hAnsi="Arial" w:cs="Arial"/>
      <w:sz w:val="20"/>
      <w:szCs w:val="18"/>
      <w:lang w:eastAsia="en-AU"/>
    </w:rPr>
  </w:style>
  <w:style w:type="character" w:customStyle="1" w:styleId="BodyTextChar">
    <w:name w:val="Body Text Char"/>
    <w:basedOn w:val="DefaultParagraphFont"/>
    <w:link w:val="BodyText"/>
    <w:rsid w:val="005266F3"/>
    <w:rPr>
      <w:rFonts w:ascii="Arial" w:eastAsia="Times New Roman" w:hAnsi="Arial" w:cs="Arial"/>
      <w:sz w:val="20"/>
      <w:szCs w:val="18"/>
      <w:lang w:eastAsia="en-AU"/>
    </w:rPr>
  </w:style>
  <w:style w:type="paragraph" w:styleId="ListBullet">
    <w:name w:val="List Bullet"/>
    <w:link w:val="ListBulletChar"/>
    <w:uiPriority w:val="1"/>
    <w:qFormat/>
    <w:rsid w:val="005266F3"/>
    <w:pPr>
      <w:numPr>
        <w:numId w:val="1"/>
      </w:numPr>
      <w:suppressAutoHyphens/>
      <w:spacing w:before="40" w:after="40" w:line="264" w:lineRule="auto"/>
    </w:pPr>
    <w:rPr>
      <w:rFonts w:ascii="Arial" w:eastAsia="Times New Roman" w:hAnsi="Arial" w:cs="Arial"/>
      <w:sz w:val="20"/>
      <w:szCs w:val="18"/>
      <w:lang w:eastAsia="en-AU"/>
    </w:rPr>
  </w:style>
  <w:style w:type="character" w:customStyle="1" w:styleId="ListBulletChar">
    <w:name w:val="List Bullet Char"/>
    <w:link w:val="ListBullet"/>
    <w:uiPriority w:val="1"/>
    <w:rsid w:val="005266F3"/>
    <w:rPr>
      <w:rFonts w:ascii="Arial" w:eastAsia="Times New Roman" w:hAnsi="Arial" w:cs="Arial"/>
      <w:sz w:val="20"/>
      <w:szCs w:val="18"/>
      <w:lang w:eastAsia="en-AU"/>
    </w:rPr>
  </w:style>
  <w:style w:type="paragraph" w:customStyle="1" w:styleId="Footercentered">
    <w:name w:val="Footer centered"/>
    <w:basedOn w:val="Footer"/>
    <w:link w:val="FootercenteredChar"/>
    <w:uiPriority w:val="8"/>
    <w:rsid w:val="005266F3"/>
    <w:pPr>
      <w:tabs>
        <w:tab w:val="clear" w:pos="5387"/>
        <w:tab w:val="clear" w:pos="10773"/>
      </w:tabs>
      <w:jc w:val="center"/>
    </w:pPr>
  </w:style>
  <w:style w:type="character" w:customStyle="1" w:styleId="FootercenteredChar">
    <w:name w:val="Footer centered Char"/>
    <w:link w:val="Footercentered"/>
    <w:uiPriority w:val="8"/>
    <w:rsid w:val="005266F3"/>
    <w:rPr>
      <w:rFonts w:ascii="Arial" w:eastAsia="Times New Roman" w:hAnsi="Arial" w:cs="Arial"/>
      <w:sz w:val="18"/>
      <w:szCs w:val="16"/>
      <w:lang w:eastAsia="en-AU"/>
    </w:rPr>
  </w:style>
  <w:style w:type="paragraph" w:styleId="BalloonText">
    <w:name w:val="Balloon Text"/>
    <w:basedOn w:val="Normal"/>
    <w:link w:val="BalloonTextChar"/>
    <w:uiPriority w:val="99"/>
    <w:semiHidden/>
    <w:unhideWhenUsed/>
    <w:rsid w:val="005266F3"/>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266F3"/>
    <w:rPr>
      <w:rFonts w:ascii="Segoe UI" w:eastAsia="Times New Roman" w:hAnsi="Segoe UI" w:cs="Segoe UI"/>
      <w:sz w:val="18"/>
      <w:szCs w:val="18"/>
      <w:lang w:eastAsia="en-AU"/>
    </w:rPr>
  </w:style>
  <w:style w:type="table" w:styleId="TableGrid">
    <w:name w:val="Table Grid"/>
    <w:basedOn w:val="TableNormal"/>
    <w:uiPriority w:val="39"/>
    <w:rsid w:val="0052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85DE2"/>
    <w:rPr>
      <w:color w:val="00529B"/>
      <w:u w:val="dotted"/>
    </w:rPr>
  </w:style>
  <w:style w:type="paragraph" w:customStyle="1" w:styleId="TableText">
    <w:name w:val="Table Text"/>
    <w:rsid w:val="00285DE2"/>
    <w:pPr>
      <w:spacing w:before="40" w:after="40" w:line="240" w:lineRule="auto"/>
    </w:pPr>
    <w:rPr>
      <w:rFonts w:ascii="Arial" w:eastAsia="Times New Roman" w:hAnsi="Arial" w:cs="Arial"/>
      <w:sz w:val="20"/>
      <w:szCs w:val="18"/>
    </w:rPr>
  </w:style>
  <w:style w:type="paragraph" w:styleId="ListParagraph">
    <w:name w:val="List Paragraph"/>
    <w:uiPriority w:val="34"/>
    <w:qFormat/>
    <w:rsid w:val="00285DE2"/>
    <w:pPr>
      <w:spacing w:after="0" w:line="240" w:lineRule="auto"/>
      <w:ind w:left="720"/>
    </w:pPr>
    <w:rPr>
      <w:rFonts w:ascii="Arial" w:eastAsia="Calibri" w:hAnsi="Arial" w:cs="Arial"/>
      <w:lang w:eastAsia="en-AU"/>
    </w:rPr>
  </w:style>
  <w:style w:type="paragraph" w:customStyle="1" w:styleId="SectionLevelHeading">
    <w:name w:val="Section Level Heading"/>
    <w:basedOn w:val="Normal"/>
    <w:link w:val="SectionLevelHeadingChar"/>
    <w:qFormat/>
    <w:rsid w:val="00FB3BBB"/>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FB3BBB"/>
    <w:rPr>
      <w:rFonts w:ascii="Times New Roman" w:eastAsia="Times New Roman" w:hAnsi="Times New Roman" w:cs="Times New Roman"/>
      <w:b/>
      <w:sz w:val="24"/>
      <w:szCs w:val="20"/>
    </w:rPr>
  </w:style>
  <w:style w:type="paragraph" w:customStyle="1" w:styleId="Smallnote">
    <w:name w:val="Small note"/>
    <w:basedOn w:val="Normal"/>
    <w:qFormat/>
    <w:rsid w:val="002C7E5E"/>
    <w:pPr>
      <w:spacing w:before="120" w:after="120"/>
      <w:jc w:val="right"/>
    </w:pPr>
    <w:rPr>
      <w:rFonts w:eastAsia="Calibri" w:cs="Arial"/>
      <w:sz w:val="20"/>
      <w:szCs w:val="22"/>
      <w:lang w:eastAsia="en-US"/>
    </w:rPr>
  </w:style>
  <w:style w:type="paragraph" w:styleId="Header">
    <w:name w:val="header"/>
    <w:basedOn w:val="Normal"/>
    <w:link w:val="HeaderChar"/>
    <w:uiPriority w:val="99"/>
    <w:unhideWhenUsed/>
    <w:rsid w:val="007D7C52"/>
    <w:pPr>
      <w:tabs>
        <w:tab w:val="center" w:pos="4513"/>
        <w:tab w:val="right" w:pos="9026"/>
      </w:tabs>
      <w:spacing w:before="0" w:after="0"/>
    </w:pPr>
  </w:style>
  <w:style w:type="character" w:customStyle="1" w:styleId="HeaderChar">
    <w:name w:val="Header Char"/>
    <w:basedOn w:val="DefaultParagraphFont"/>
    <w:link w:val="Header"/>
    <w:uiPriority w:val="99"/>
    <w:rsid w:val="007D7C52"/>
    <w:rPr>
      <w:rFonts w:ascii="Arial" w:eastAsia="Times New Roman" w:hAnsi="Arial" w:cs="Times New Roman"/>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75AD-3AEF-4B43-9324-3CB8AA7E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Detailed Reference Guide 2: Rental providers must give a reason to end a rental agreement</vt:lpstr>
    </vt:vector>
  </TitlesOfParts>
  <Company>Department of Justice and Community Safety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2: Rental providers must give a reason to end a rental agreement</dc:title>
  <dc:subject/>
  <dc:creator>Consumer Affairs Victoria</dc:creator>
  <cp:keywords/>
  <dc:description/>
  <cp:lastModifiedBy>David S</cp:lastModifiedBy>
  <cp:revision>3</cp:revision>
  <dcterms:created xsi:type="dcterms:W3CDTF">2020-04-29T00:34:00Z</dcterms:created>
  <dcterms:modified xsi:type="dcterms:W3CDTF">2020-10-05T06:29:00Z</dcterms:modified>
</cp:coreProperties>
</file>