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7D74" w14:textId="77777777" w:rsidR="00AA2ED6" w:rsidRDefault="00AA2ED6" w:rsidP="006D5CF1">
      <w:pPr>
        <w:pStyle w:val="Heading1"/>
      </w:pPr>
      <w:bookmarkStart w:id="0" w:name="_Toc4141151"/>
      <w:r w:rsidRPr="006D5CF1">
        <w:t xml:space="preserve">Detailed Reference Guide </w:t>
      </w:r>
      <w:r w:rsidR="00C8069E">
        <w:t>24</w:t>
      </w:r>
      <w:r w:rsidR="007769DB">
        <w:t>:</w:t>
      </w:r>
      <w:bookmarkEnd w:id="0"/>
      <w:r w:rsidR="007769DB">
        <w:t xml:space="preserve"> </w:t>
      </w:r>
      <w:r w:rsidR="00C8069E" w:rsidRPr="00C8069E">
        <w:t>New ground for issuing of notice to vacate: threats and intimidation</w:t>
      </w:r>
    </w:p>
    <w:p w14:paraId="680190AC" w14:textId="47301F4D" w:rsidR="007769DB" w:rsidRPr="007769DB" w:rsidRDefault="007769DB" w:rsidP="007769DB">
      <w:pPr>
        <w:pStyle w:val="BodyText"/>
      </w:pPr>
      <w:r>
        <w:t xml:space="preserve">This reform starts on </w:t>
      </w:r>
      <w:r w:rsidR="00B02A00">
        <w:t xml:space="preserve">29 March </w:t>
      </w:r>
      <w:bookmarkStart w:id="1" w:name="_GoBack"/>
      <w:r w:rsidR="00B02A00">
        <w:t>2021</w:t>
      </w:r>
      <w:bookmarkEnd w:id="1"/>
      <w:r>
        <w:t>.</w:t>
      </w:r>
    </w:p>
    <w:p w14:paraId="1F1805E8" w14:textId="77777777" w:rsidR="00AA2ED6" w:rsidRDefault="00AA2ED6" w:rsidP="00AA2ED6">
      <w:pPr>
        <w:pStyle w:val="Heading2"/>
      </w:pPr>
      <w:r>
        <w:t>New requirement</w:t>
      </w:r>
      <w:r w:rsidR="00AD6C7D">
        <w:t>s</w:t>
      </w:r>
    </w:p>
    <w:p w14:paraId="77A74C93" w14:textId="77777777" w:rsidR="00C8069E" w:rsidRPr="00C8069E" w:rsidRDefault="00C8069E" w:rsidP="00C8069E">
      <w:pPr>
        <w:pStyle w:val="BodyText"/>
      </w:pPr>
      <w:bookmarkStart w:id="2" w:name="_Toc526339631"/>
      <w:r w:rsidRPr="00C8069E">
        <w:t>The rental provider may issue a 14-day notice to vacate to the renter if the renter or any other person occupying the rented property has seriously threatened or intimidated the rental provider or their agent, or any contractor or employee of either the rental provider or their agent.</w:t>
      </w:r>
    </w:p>
    <w:p w14:paraId="6831A58D" w14:textId="77777777" w:rsidR="00C8069E" w:rsidRPr="00C8069E" w:rsidRDefault="00C8069E" w:rsidP="00C8069E">
      <w:pPr>
        <w:pStyle w:val="BodyText"/>
      </w:pPr>
      <w:r w:rsidRPr="00C8069E">
        <w:t>The rental provider cannot issue a notice to vacate of this type in response to the exercise or proposed exercise by the renter of a right they have under the Act.</w:t>
      </w:r>
    </w:p>
    <w:p w14:paraId="53A8FFB1" w14:textId="77777777" w:rsidR="00C8069E" w:rsidRPr="00C8069E" w:rsidRDefault="00C8069E" w:rsidP="00C8069E">
      <w:pPr>
        <w:pStyle w:val="BodyText"/>
      </w:pPr>
      <w:r w:rsidRPr="00C8069E">
        <w:t>This reform also applies to rooming houses, caravan parks and residential parks.</w:t>
      </w:r>
    </w:p>
    <w:p w14:paraId="1566119B" w14:textId="77777777" w:rsidR="00C8069E" w:rsidRPr="00C8069E" w:rsidRDefault="00C8069E" w:rsidP="00C8069E">
      <w:pPr>
        <w:pStyle w:val="Heading3"/>
      </w:pPr>
      <w:r w:rsidRPr="00C8069E">
        <w:t>Exemption specific to residential parks</w:t>
      </w:r>
    </w:p>
    <w:p w14:paraId="07BE14CB" w14:textId="77777777" w:rsidR="00C8069E" w:rsidRDefault="00C8069E" w:rsidP="00C8069E">
      <w:pPr>
        <w:pStyle w:val="BodyText"/>
      </w:pPr>
      <w:r w:rsidRPr="00C8069E">
        <w:t>A site owner cannot issue a notice to vacate of this type in response to the site tenant making a report to the site owner of damage to a Part 4A site or damage to or breakdown of communal facilities.</w:t>
      </w:r>
    </w:p>
    <w:p w14:paraId="22306D0A" w14:textId="77777777" w:rsidR="00551483" w:rsidRPr="00551483" w:rsidRDefault="00551483" w:rsidP="00C8069E">
      <w:pPr>
        <w:pStyle w:val="Heading2"/>
      </w:pPr>
      <w:r w:rsidRPr="00551483">
        <w:t xml:space="preserve">Relevant legislation in the </w:t>
      </w:r>
      <w:r w:rsidRPr="007769DB">
        <w:t>Residential Tenancies Act</w:t>
      </w:r>
      <w:bookmarkEnd w:id="2"/>
      <w:r w:rsidR="007769DB" w:rsidRPr="007769DB">
        <w:t xml:space="preserve"> 1997</w:t>
      </w:r>
    </w:p>
    <w:tbl>
      <w:tblPr>
        <w:tblStyle w:val="TableGrid"/>
        <w:tblW w:w="0" w:type="auto"/>
        <w:tblLook w:val="04A0" w:firstRow="1" w:lastRow="0" w:firstColumn="1" w:lastColumn="0" w:noHBand="0" w:noVBand="1"/>
      </w:tblPr>
      <w:tblGrid>
        <w:gridCol w:w="2065"/>
        <w:gridCol w:w="7506"/>
      </w:tblGrid>
      <w:tr w:rsidR="00C8069E" w14:paraId="72ABBE46" w14:textId="77777777" w:rsidTr="00F83B5B">
        <w:tc>
          <w:tcPr>
            <w:tcW w:w="2065" w:type="dxa"/>
            <w:vAlign w:val="top"/>
          </w:tcPr>
          <w:p w14:paraId="36D3E270" w14:textId="77777777" w:rsidR="00C8069E" w:rsidRPr="000C594C" w:rsidRDefault="00C8069E" w:rsidP="00C8069E">
            <w:pPr>
              <w:pStyle w:val="TableText"/>
            </w:pPr>
            <w:r w:rsidRPr="000C594C">
              <w:t>91ZK</w:t>
            </w:r>
          </w:p>
        </w:tc>
        <w:tc>
          <w:tcPr>
            <w:tcW w:w="7506" w:type="dxa"/>
            <w:vAlign w:val="top"/>
          </w:tcPr>
          <w:p w14:paraId="79A2B94D" w14:textId="77777777" w:rsidR="00C8069E" w:rsidRPr="000C594C" w:rsidRDefault="00C8069E" w:rsidP="00C8069E">
            <w:pPr>
              <w:pStyle w:val="TableText"/>
            </w:pPr>
            <w:r w:rsidRPr="00C8069E">
              <w:t>Threats and intimidation</w:t>
            </w:r>
          </w:p>
        </w:tc>
      </w:tr>
      <w:tr w:rsidR="00C8069E" w14:paraId="35AFA6CF" w14:textId="77777777" w:rsidTr="00F83B5B">
        <w:tc>
          <w:tcPr>
            <w:tcW w:w="2065" w:type="dxa"/>
            <w:vAlign w:val="top"/>
          </w:tcPr>
          <w:p w14:paraId="41AF74A6" w14:textId="77777777" w:rsidR="00C8069E" w:rsidRPr="000C594C" w:rsidRDefault="00C8069E" w:rsidP="00C8069E">
            <w:pPr>
              <w:pStyle w:val="TableText"/>
            </w:pPr>
            <w:r w:rsidRPr="000C594C">
              <w:t>91</w:t>
            </w:r>
            <w:proofErr w:type="gramStart"/>
            <w:r w:rsidRPr="000C594C">
              <w:t>ZZI(</w:t>
            </w:r>
            <w:proofErr w:type="gramEnd"/>
            <w:r w:rsidRPr="000C594C">
              <w:t>3)</w:t>
            </w:r>
          </w:p>
        </w:tc>
        <w:tc>
          <w:tcPr>
            <w:tcW w:w="7506" w:type="dxa"/>
            <w:vAlign w:val="top"/>
          </w:tcPr>
          <w:p w14:paraId="031AC978" w14:textId="77777777" w:rsidR="00C8069E" w:rsidRPr="000C594C" w:rsidRDefault="00C8069E" w:rsidP="00C8069E">
            <w:pPr>
              <w:pStyle w:val="TableText"/>
            </w:pPr>
            <w:r w:rsidRPr="00C8069E">
              <w:t>Notice to have no effect in certain circumstances</w:t>
            </w:r>
          </w:p>
        </w:tc>
      </w:tr>
      <w:tr w:rsidR="00C8069E" w14:paraId="25CED45C" w14:textId="77777777" w:rsidTr="00F83B5B">
        <w:tc>
          <w:tcPr>
            <w:tcW w:w="2065" w:type="dxa"/>
            <w:vAlign w:val="top"/>
          </w:tcPr>
          <w:p w14:paraId="2E9F1F1B" w14:textId="77777777" w:rsidR="00C8069E" w:rsidRPr="000C594C" w:rsidRDefault="00C8069E" w:rsidP="00C8069E">
            <w:pPr>
              <w:pStyle w:val="TableText"/>
            </w:pPr>
            <w:r w:rsidRPr="000C594C">
              <w:t>142ZD</w:t>
            </w:r>
          </w:p>
        </w:tc>
        <w:tc>
          <w:tcPr>
            <w:tcW w:w="7506" w:type="dxa"/>
            <w:vAlign w:val="top"/>
          </w:tcPr>
          <w:p w14:paraId="2979195D" w14:textId="77777777" w:rsidR="00C8069E" w:rsidRPr="000C594C" w:rsidRDefault="00C8069E" w:rsidP="00C8069E">
            <w:pPr>
              <w:pStyle w:val="TableText"/>
            </w:pPr>
            <w:r w:rsidRPr="00C8069E">
              <w:t>Threats and intimidation (rooming houses)</w:t>
            </w:r>
          </w:p>
        </w:tc>
      </w:tr>
      <w:tr w:rsidR="00C8069E" w14:paraId="6B2DA8F2" w14:textId="77777777" w:rsidTr="00F83B5B">
        <w:tc>
          <w:tcPr>
            <w:tcW w:w="2065" w:type="dxa"/>
            <w:vAlign w:val="top"/>
          </w:tcPr>
          <w:p w14:paraId="0AB5A385" w14:textId="77777777" w:rsidR="00C8069E" w:rsidRPr="000C594C" w:rsidRDefault="00C8069E" w:rsidP="00C8069E">
            <w:pPr>
              <w:pStyle w:val="TableText"/>
            </w:pPr>
            <w:r w:rsidRPr="000C594C">
              <w:t>142</w:t>
            </w:r>
            <w:proofErr w:type="gramStart"/>
            <w:r w:rsidRPr="000C594C">
              <w:t>ZM(</w:t>
            </w:r>
            <w:proofErr w:type="gramEnd"/>
            <w:r w:rsidRPr="000C594C">
              <w:t>4)</w:t>
            </w:r>
          </w:p>
        </w:tc>
        <w:tc>
          <w:tcPr>
            <w:tcW w:w="7506" w:type="dxa"/>
            <w:vAlign w:val="top"/>
          </w:tcPr>
          <w:p w14:paraId="754ECD7A" w14:textId="77777777" w:rsidR="00C8069E" w:rsidRPr="000C594C" w:rsidRDefault="00C8069E" w:rsidP="00C8069E">
            <w:pPr>
              <w:pStyle w:val="TableText"/>
            </w:pPr>
            <w:r w:rsidRPr="000C594C">
              <w:t>Notice to have no effect in certain circumstances (rooming houses)</w:t>
            </w:r>
          </w:p>
        </w:tc>
      </w:tr>
      <w:tr w:rsidR="00C8069E" w14:paraId="2B373A79" w14:textId="77777777" w:rsidTr="00F83B5B">
        <w:tc>
          <w:tcPr>
            <w:tcW w:w="2065" w:type="dxa"/>
            <w:vAlign w:val="top"/>
          </w:tcPr>
          <w:p w14:paraId="51B72DD8" w14:textId="77777777" w:rsidR="00C8069E" w:rsidRPr="000C594C" w:rsidRDefault="00C8069E" w:rsidP="00C8069E">
            <w:pPr>
              <w:pStyle w:val="TableText"/>
            </w:pPr>
            <w:r w:rsidRPr="000C594C">
              <w:t>206AS</w:t>
            </w:r>
          </w:p>
        </w:tc>
        <w:tc>
          <w:tcPr>
            <w:tcW w:w="7506" w:type="dxa"/>
            <w:vAlign w:val="top"/>
          </w:tcPr>
          <w:p w14:paraId="7B66A0E4" w14:textId="77777777" w:rsidR="00C8069E" w:rsidRPr="000C594C" w:rsidRDefault="00C8069E" w:rsidP="00C8069E">
            <w:pPr>
              <w:pStyle w:val="TableText"/>
            </w:pPr>
            <w:r w:rsidRPr="00C8069E">
              <w:t>Threats and intimidation (caravan parks)</w:t>
            </w:r>
          </w:p>
        </w:tc>
      </w:tr>
      <w:tr w:rsidR="00C8069E" w14:paraId="1C2389BB" w14:textId="77777777" w:rsidTr="00F83B5B">
        <w:tc>
          <w:tcPr>
            <w:tcW w:w="2065" w:type="dxa"/>
            <w:vAlign w:val="top"/>
          </w:tcPr>
          <w:p w14:paraId="00CB0050" w14:textId="77777777" w:rsidR="00C8069E" w:rsidRPr="000C594C" w:rsidRDefault="00C8069E" w:rsidP="00C8069E">
            <w:pPr>
              <w:pStyle w:val="TableText"/>
            </w:pPr>
            <w:r w:rsidRPr="000C594C">
              <w:t>206</w:t>
            </w:r>
            <w:proofErr w:type="gramStart"/>
            <w:r w:rsidRPr="000C594C">
              <w:t>AZE(</w:t>
            </w:r>
            <w:proofErr w:type="gramEnd"/>
            <w:r w:rsidRPr="000C594C">
              <w:t>2)</w:t>
            </w:r>
          </w:p>
        </w:tc>
        <w:tc>
          <w:tcPr>
            <w:tcW w:w="7506" w:type="dxa"/>
            <w:vAlign w:val="top"/>
          </w:tcPr>
          <w:p w14:paraId="06D7B410" w14:textId="77777777" w:rsidR="00C8069E" w:rsidRPr="000C594C" w:rsidRDefault="00C8069E" w:rsidP="00C8069E">
            <w:pPr>
              <w:pStyle w:val="TableText"/>
            </w:pPr>
            <w:r w:rsidRPr="000C594C">
              <w:t>Notice of no effect (caravan parks)</w:t>
            </w:r>
          </w:p>
        </w:tc>
      </w:tr>
      <w:tr w:rsidR="00C8069E" w14:paraId="1B72FDED" w14:textId="77777777" w:rsidTr="00F83B5B">
        <w:tc>
          <w:tcPr>
            <w:tcW w:w="2065" w:type="dxa"/>
            <w:vAlign w:val="top"/>
          </w:tcPr>
          <w:p w14:paraId="1A678797" w14:textId="77777777" w:rsidR="00C8069E" w:rsidRPr="000C594C" w:rsidRDefault="00C8069E" w:rsidP="00C8069E">
            <w:pPr>
              <w:pStyle w:val="TableText"/>
            </w:pPr>
            <w:r w:rsidRPr="000C594C">
              <w:t>206ZO</w:t>
            </w:r>
          </w:p>
        </w:tc>
        <w:tc>
          <w:tcPr>
            <w:tcW w:w="7506" w:type="dxa"/>
            <w:vAlign w:val="top"/>
          </w:tcPr>
          <w:p w14:paraId="10C973FA" w14:textId="77777777" w:rsidR="00C8069E" w:rsidRPr="000C594C" w:rsidRDefault="00C8069E" w:rsidP="00C8069E">
            <w:pPr>
              <w:pStyle w:val="TableText"/>
            </w:pPr>
            <w:r w:rsidRPr="00C8069E">
              <w:t>Site tenant must notify site owner of and compensate for damage</w:t>
            </w:r>
          </w:p>
        </w:tc>
      </w:tr>
      <w:tr w:rsidR="00C8069E" w14:paraId="094E1C41" w14:textId="77777777" w:rsidTr="00F83B5B">
        <w:tc>
          <w:tcPr>
            <w:tcW w:w="2065" w:type="dxa"/>
            <w:vAlign w:val="top"/>
          </w:tcPr>
          <w:p w14:paraId="25841C7E" w14:textId="77777777" w:rsidR="00C8069E" w:rsidRPr="000C594C" w:rsidRDefault="00C8069E" w:rsidP="00C8069E">
            <w:pPr>
              <w:pStyle w:val="TableText"/>
            </w:pPr>
            <w:r w:rsidRPr="000C594C">
              <w:t>207</w:t>
            </w:r>
            <w:proofErr w:type="gramStart"/>
            <w:r w:rsidRPr="000C594C">
              <w:t>Y(</w:t>
            </w:r>
            <w:proofErr w:type="gramEnd"/>
            <w:r w:rsidRPr="000C594C">
              <w:t>1)</w:t>
            </w:r>
          </w:p>
        </w:tc>
        <w:tc>
          <w:tcPr>
            <w:tcW w:w="7506" w:type="dxa"/>
            <w:vAlign w:val="top"/>
          </w:tcPr>
          <w:p w14:paraId="5845D01F" w14:textId="77777777" w:rsidR="00C8069E" w:rsidRPr="000C594C" w:rsidRDefault="00C8069E" w:rsidP="00C8069E">
            <w:pPr>
              <w:pStyle w:val="TableText"/>
            </w:pPr>
            <w:r w:rsidRPr="00C8069E">
              <w:t>Threats and intimidation (residential parks)</w:t>
            </w:r>
          </w:p>
        </w:tc>
      </w:tr>
      <w:tr w:rsidR="00C8069E" w14:paraId="64E207A3" w14:textId="77777777" w:rsidTr="00F83B5B">
        <w:tc>
          <w:tcPr>
            <w:tcW w:w="2065" w:type="dxa"/>
            <w:vAlign w:val="top"/>
          </w:tcPr>
          <w:p w14:paraId="149EA376" w14:textId="77777777" w:rsidR="00C8069E" w:rsidRPr="000C594C" w:rsidRDefault="00C8069E" w:rsidP="00C8069E">
            <w:pPr>
              <w:pStyle w:val="TableText"/>
            </w:pPr>
            <w:r w:rsidRPr="000C594C">
              <w:t>207ZH</w:t>
            </w:r>
          </w:p>
        </w:tc>
        <w:tc>
          <w:tcPr>
            <w:tcW w:w="7506" w:type="dxa"/>
            <w:vAlign w:val="top"/>
          </w:tcPr>
          <w:p w14:paraId="24F1A209" w14:textId="77777777" w:rsidR="00C8069E" w:rsidRPr="000C594C" w:rsidRDefault="00C8069E" w:rsidP="00C8069E">
            <w:pPr>
              <w:pStyle w:val="TableText"/>
            </w:pPr>
            <w:r w:rsidRPr="00C8069E">
              <w:t>Notice of no effect (residential parks)</w:t>
            </w:r>
          </w:p>
        </w:tc>
      </w:tr>
    </w:tbl>
    <w:p w14:paraId="4E4BE649" w14:textId="77777777" w:rsidR="00CA31C2" w:rsidRPr="00510F74" w:rsidRDefault="00551483" w:rsidP="007769DB">
      <w:pPr>
        <w:pStyle w:val="BodyText"/>
      </w:pPr>
      <w:r>
        <w:t xml:space="preserve">Note: This was Reform </w:t>
      </w:r>
      <w:r w:rsidR="00AD6C7D">
        <w:t>7</w:t>
      </w:r>
      <w:r w:rsidR="00C8069E">
        <w:t>6</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2A05" w14:textId="77777777" w:rsidR="00EF1725" w:rsidRDefault="00EF1725">
      <w:r>
        <w:separator/>
      </w:r>
    </w:p>
    <w:p w14:paraId="6D28D728" w14:textId="77777777" w:rsidR="00EF1725" w:rsidRDefault="00EF1725"/>
  </w:endnote>
  <w:endnote w:type="continuationSeparator" w:id="0">
    <w:p w14:paraId="06EB3A7E" w14:textId="77777777" w:rsidR="00EF1725" w:rsidRDefault="00EF1725">
      <w:r>
        <w:continuationSeparator/>
      </w:r>
    </w:p>
    <w:p w14:paraId="092FB976" w14:textId="77777777" w:rsidR="00EF1725" w:rsidRDefault="00EF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E1AE"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653C"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66D765FC" wp14:editId="7070659C">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59B9" w14:textId="77777777" w:rsidR="00EF1725" w:rsidRDefault="00EF1725">
      <w:r>
        <w:separator/>
      </w:r>
    </w:p>
    <w:p w14:paraId="0869DB50" w14:textId="77777777" w:rsidR="00EF1725" w:rsidRDefault="00EF1725"/>
  </w:footnote>
  <w:footnote w:type="continuationSeparator" w:id="0">
    <w:p w14:paraId="437E48E2" w14:textId="77777777" w:rsidR="00EF1725" w:rsidRDefault="00EF1725">
      <w:r>
        <w:continuationSeparator/>
      </w:r>
    </w:p>
    <w:p w14:paraId="5EBEE15D" w14:textId="77777777" w:rsidR="00EF1725" w:rsidRDefault="00EF17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2823"/>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66116"/>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2A00"/>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069E"/>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1725"/>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269B5"/>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7E95-499B-4BF8-A519-65D7AD42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Detailed Reference Guide 24: New ground for issuing of notice to vacate: threats and intimidation</vt:lpstr>
    </vt:vector>
  </TitlesOfParts>
  <Company>Department of Justice and Community Safety</Company>
  <LinksUpToDate>false</LinksUpToDate>
  <CharactersWithSpaces>1526</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24: New ground for issuing of notice to vacate: threats and intimidation</dc:title>
  <dc:subject/>
  <dc:creator>Consumer Affairs Victoria</dc:creator>
  <cp:keywords/>
  <cp:lastModifiedBy>David S</cp:lastModifiedBy>
  <cp:revision>3</cp:revision>
  <cp:lastPrinted>2016-05-23T03:42:00Z</cp:lastPrinted>
  <dcterms:created xsi:type="dcterms:W3CDTF">2020-04-30T01:08:00Z</dcterms:created>
  <dcterms:modified xsi:type="dcterms:W3CDTF">2020-10-05T06:34:00Z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