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EB2E" w14:textId="77777777" w:rsidR="00AA2ED6" w:rsidRDefault="00AA2ED6" w:rsidP="006D5CF1">
      <w:pPr>
        <w:pStyle w:val="Heading1"/>
      </w:pPr>
      <w:bookmarkStart w:id="0" w:name="_Toc4141151"/>
      <w:r w:rsidRPr="006D5CF1">
        <w:t xml:space="preserve">Detailed Reference Guide </w:t>
      </w:r>
      <w:r w:rsidR="00CF283B">
        <w:t>25</w:t>
      </w:r>
      <w:r w:rsidR="007769DB">
        <w:t>:</w:t>
      </w:r>
      <w:bookmarkEnd w:id="0"/>
      <w:r w:rsidR="007769DB">
        <w:t xml:space="preserve"> </w:t>
      </w:r>
      <w:r w:rsidR="00CF283B" w:rsidRPr="00CF283B">
        <w:t>Renters entitled to copy of personal information in a residential tenancy database</w:t>
      </w:r>
    </w:p>
    <w:p w14:paraId="7D88056B" w14:textId="24C60532" w:rsidR="007769DB" w:rsidRPr="007769DB" w:rsidRDefault="007769DB" w:rsidP="007769DB">
      <w:pPr>
        <w:pStyle w:val="BodyText"/>
      </w:pPr>
      <w:r>
        <w:t xml:space="preserve">This reform starts on </w:t>
      </w:r>
      <w:r w:rsidR="00FC549D">
        <w:t xml:space="preserve">29 March </w:t>
      </w:r>
      <w:bookmarkStart w:id="1" w:name="_GoBack"/>
      <w:r w:rsidR="00FC549D">
        <w:t>2021</w:t>
      </w:r>
      <w:bookmarkEnd w:id="1"/>
      <w:r>
        <w:t>.</w:t>
      </w:r>
    </w:p>
    <w:p w14:paraId="6644E589" w14:textId="77777777" w:rsidR="00AA2ED6" w:rsidRDefault="00AA2ED6" w:rsidP="00AA2ED6">
      <w:pPr>
        <w:pStyle w:val="Heading2"/>
      </w:pPr>
      <w:r>
        <w:t>New requirement</w:t>
      </w:r>
      <w:r w:rsidR="00AD6C7D">
        <w:t>s</w:t>
      </w:r>
    </w:p>
    <w:p w14:paraId="7C26A8C9" w14:textId="77777777" w:rsidR="00CF283B" w:rsidRDefault="00CF283B" w:rsidP="00CF283B">
      <w:pPr>
        <w:pStyle w:val="BodyText"/>
      </w:pPr>
      <w:r>
        <w:t>The first time in any 12-month period that a renter requests a copy of personal information listed about them in a residential tenancy database from a rental provider or a database operator, the information must be provided to the renter without charging them a fee.</w:t>
      </w:r>
    </w:p>
    <w:p w14:paraId="7226160F" w14:textId="77777777" w:rsidR="00AD6C7D" w:rsidRDefault="00CF283B" w:rsidP="00CF283B">
      <w:pPr>
        <w:pStyle w:val="BodyText"/>
      </w:pPr>
      <w:r>
        <w:t>Where a fee is charged for subsequent access of the information in a 12-month period, existing requirements still apply: the fee must not be excessive, and must not apply for lodging a request for accessing the information.</w:t>
      </w:r>
    </w:p>
    <w:p w14:paraId="3A294525" w14:textId="77777777" w:rsidR="00AD6C7D" w:rsidRDefault="00AD6C7D" w:rsidP="00AD6C7D">
      <w:pPr>
        <w:pStyle w:val="Heading2"/>
      </w:pPr>
      <w:r>
        <w:t>Previous requirements</w:t>
      </w:r>
    </w:p>
    <w:p w14:paraId="5C4E747B" w14:textId="77777777" w:rsidR="00551483" w:rsidRPr="00551483" w:rsidRDefault="00CF283B" w:rsidP="00AD6C7D">
      <w:pPr>
        <w:pStyle w:val="BodyText"/>
      </w:pPr>
      <w:r w:rsidRPr="00CF283B">
        <w:t>Previously, a fee could be charged by the rental provider or database operator for the first access of the information by a renter</w:t>
      </w:r>
      <w:r w:rsidR="00AD6C7D">
        <w:t>.</w:t>
      </w:r>
    </w:p>
    <w:p w14:paraId="48D77CEF" w14:textId="77777777" w:rsidR="00551483" w:rsidRPr="00551483" w:rsidRDefault="00551483" w:rsidP="00551483">
      <w:pPr>
        <w:pStyle w:val="Heading2"/>
      </w:pPr>
      <w:bookmarkStart w:id="2" w:name="_Toc526339631"/>
      <w:r w:rsidRPr="00551483">
        <w:t xml:space="preserve">Relevant legislation in the </w:t>
      </w:r>
      <w:r w:rsidRPr="007769DB">
        <w:rPr>
          <w:i/>
        </w:rPr>
        <w:t>Residential Tenancies Act</w:t>
      </w:r>
      <w:bookmarkEnd w:id="2"/>
      <w:r w:rsidR="007769DB" w:rsidRPr="007769DB">
        <w:rPr>
          <w:i/>
        </w:rPr>
        <w:t xml:space="preserve">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506"/>
      </w:tblGrid>
      <w:tr w:rsidR="00AD6C7D" w14:paraId="1BE5A6A0" w14:textId="77777777" w:rsidTr="00AD6C7D">
        <w:tc>
          <w:tcPr>
            <w:tcW w:w="2065" w:type="dxa"/>
          </w:tcPr>
          <w:p w14:paraId="0DE0A608" w14:textId="77777777" w:rsidR="00AD6C7D" w:rsidRDefault="00CF283B" w:rsidP="00AD6C7D">
            <w:pPr>
              <w:pStyle w:val="TableText"/>
            </w:pPr>
            <w:r>
              <w:t>439I</w:t>
            </w:r>
          </w:p>
        </w:tc>
        <w:tc>
          <w:tcPr>
            <w:tcW w:w="7506" w:type="dxa"/>
          </w:tcPr>
          <w:p w14:paraId="7E4E4623" w14:textId="77777777" w:rsidR="00AD6C7D" w:rsidRDefault="00CF283B" w:rsidP="00AD6C7D">
            <w:pPr>
              <w:pStyle w:val="TableText"/>
            </w:pPr>
            <w:r>
              <w:t>Providing copy of personal information listed</w:t>
            </w:r>
          </w:p>
        </w:tc>
      </w:tr>
    </w:tbl>
    <w:p w14:paraId="54360FFB" w14:textId="77777777" w:rsidR="00CA31C2" w:rsidRPr="00510F74" w:rsidRDefault="00551483" w:rsidP="007769DB">
      <w:pPr>
        <w:pStyle w:val="BodyText"/>
      </w:pPr>
      <w:r>
        <w:t xml:space="preserve">Note: This was Reform </w:t>
      </w:r>
      <w:r w:rsidR="00CF283B">
        <w:t>8</w:t>
      </w:r>
      <w:r w:rsidR="00AD6C7D">
        <w:t xml:space="preserve">7 </w:t>
      </w:r>
      <w:r>
        <w:t xml:space="preserve">in the Fairer Safer Housing review. </w:t>
      </w:r>
    </w:p>
    <w:sectPr w:rsidR="00CA31C2" w:rsidRPr="00510F74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D2CB" w14:textId="77777777" w:rsidR="00556E20" w:rsidRDefault="00556E20">
      <w:r>
        <w:separator/>
      </w:r>
    </w:p>
    <w:p w14:paraId="6C2F8B50" w14:textId="77777777" w:rsidR="00556E20" w:rsidRDefault="00556E20"/>
  </w:endnote>
  <w:endnote w:type="continuationSeparator" w:id="0">
    <w:p w14:paraId="656A73F4" w14:textId="77777777" w:rsidR="00556E20" w:rsidRDefault="00556E20">
      <w:r>
        <w:continuationSeparator/>
      </w:r>
    </w:p>
    <w:p w14:paraId="3FEF3DEB" w14:textId="77777777" w:rsidR="00556E20" w:rsidRDefault="00556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2D75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E016" w14:textId="77777777" w:rsidR="00510F74" w:rsidRPr="004A46ED" w:rsidRDefault="007769DB" w:rsidP="007769DB">
    <w:pPr>
      <w:pStyle w:val="Footer"/>
    </w:pPr>
    <w:r>
      <w:t>consumer.vic.gov.au/</w:t>
    </w:r>
    <w:proofErr w:type="spellStart"/>
    <w:r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1A0BB9" w:rsidRPr="00482C9D">
      <w:rPr>
        <w:b/>
        <w:sz w:val="24"/>
        <w:szCs w:val="24"/>
      </w:rPr>
      <w:fldChar w:fldCharType="begin"/>
    </w:r>
    <w:r w:rsidR="001A0BB9" w:rsidRPr="00482C9D">
      <w:rPr>
        <w:b/>
      </w:rPr>
      <w:instrText xml:space="preserve"> NUMPAGES  </w:instrText>
    </w:r>
    <w:r w:rsidR="001A0BB9" w:rsidRPr="00482C9D">
      <w:rPr>
        <w:b/>
        <w:sz w:val="24"/>
        <w:szCs w:val="24"/>
      </w:rPr>
      <w:fldChar w:fldCharType="separate"/>
    </w:r>
    <w:r w:rsidR="001A0BB9">
      <w:rPr>
        <w:b/>
        <w:sz w:val="24"/>
        <w:szCs w:val="24"/>
      </w:rPr>
      <w:t>2</w:t>
    </w:r>
    <w:r w:rsidR="001A0BB9" w:rsidRPr="00482C9D">
      <w:rPr>
        <w:b/>
        <w:sz w:val="24"/>
        <w:szCs w:val="24"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29742CB5" wp14:editId="68E3D9A4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1B77" w14:textId="77777777" w:rsidR="00556E20" w:rsidRDefault="00556E20">
      <w:r>
        <w:separator/>
      </w:r>
    </w:p>
    <w:p w14:paraId="442D6558" w14:textId="77777777" w:rsidR="00556E20" w:rsidRDefault="00556E20"/>
  </w:footnote>
  <w:footnote w:type="continuationSeparator" w:id="0">
    <w:p w14:paraId="36496A17" w14:textId="77777777" w:rsidR="00556E20" w:rsidRDefault="00556E20">
      <w:r>
        <w:continuationSeparator/>
      </w:r>
    </w:p>
    <w:p w14:paraId="3977D756" w14:textId="77777777" w:rsidR="00556E20" w:rsidRDefault="00556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5D48"/>
    <w:multiLevelType w:val="hybridMultilevel"/>
    <w:tmpl w:val="DDB4BE28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028"/>
    <w:multiLevelType w:val="hybridMultilevel"/>
    <w:tmpl w:val="AC0CC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3886"/>
    <w:multiLevelType w:val="hybridMultilevel"/>
    <w:tmpl w:val="5F1E95F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5669"/>
    <w:multiLevelType w:val="hybridMultilevel"/>
    <w:tmpl w:val="8850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31"/>
  </w:num>
  <w:num w:numId="13">
    <w:abstractNumId w:val="27"/>
  </w:num>
  <w:num w:numId="14">
    <w:abstractNumId w:val="24"/>
  </w:num>
  <w:num w:numId="15">
    <w:abstractNumId w:val="23"/>
  </w:num>
  <w:num w:numId="16">
    <w:abstractNumId w:val="26"/>
  </w:num>
  <w:num w:numId="17">
    <w:abstractNumId w:val="16"/>
  </w:num>
  <w:num w:numId="18">
    <w:abstractNumId w:val="19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 w:numId="23">
    <w:abstractNumId w:val="13"/>
  </w:num>
  <w:num w:numId="24">
    <w:abstractNumId w:val="11"/>
  </w:num>
  <w:num w:numId="25">
    <w:abstractNumId w:val="29"/>
  </w:num>
  <w:num w:numId="26">
    <w:abstractNumId w:val="25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32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30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5"/>
  </w:num>
  <w:num w:numId="47">
    <w:abstractNumId w:val="28"/>
  </w:num>
  <w:num w:numId="48">
    <w:abstractNumId w:val="22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0BB9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1483"/>
    <w:rsid w:val="00552BA8"/>
    <w:rsid w:val="00554168"/>
    <w:rsid w:val="005545CA"/>
    <w:rsid w:val="00556E20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5CF1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1629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769DB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43EB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040AB"/>
    <w:rsid w:val="0091000C"/>
    <w:rsid w:val="00910244"/>
    <w:rsid w:val="0091169D"/>
    <w:rsid w:val="00913492"/>
    <w:rsid w:val="00914F87"/>
    <w:rsid w:val="0091626B"/>
    <w:rsid w:val="00921A67"/>
    <w:rsid w:val="009268B0"/>
    <w:rsid w:val="009308C2"/>
    <w:rsid w:val="00933E5F"/>
    <w:rsid w:val="00934008"/>
    <w:rsid w:val="00934545"/>
    <w:rsid w:val="009426B2"/>
    <w:rsid w:val="009432AE"/>
    <w:rsid w:val="009434E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2ED6"/>
    <w:rsid w:val="00AA43C3"/>
    <w:rsid w:val="00AA5826"/>
    <w:rsid w:val="00AB75A4"/>
    <w:rsid w:val="00AB7CB3"/>
    <w:rsid w:val="00AB7E0D"/>
    <w:rsid w:val="00AC0B36"/>
    <w:rsid w:val="00AC12F3"/>
    <w:rsid w:val="00AD6C7D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83B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11B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549D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15001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SectionLevelHeading">
    <w:name w:val="Section Level Heading"/>
    <w:basedOn w:val="Normal"/>
    <w:link w:val="SectionLevelHeadingChar"/>
    <w:qFormat/>
    <w:rsid w:val="00551483"/>
    <w:pPr>
      <w:tabs>
        <w:tab w:val="right" w:pos="680"/>
      </w:tabs>
      <w:overflowPunct w:val="0"/>
      <w:autoSpaceDE w:val="0"/>
      <w:autoSpaceDN w:val="0"/>
      <w:adjustRightInd w:val="0"/>
      <w:spacing w:before="40" w:after="40"/>
      <w:ind w:left="851" w:hanging="851"/>
      <w:textAlignment w:val="baseline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SectionLevelHeadingChar">
    <w:name w:val="Section Level Heading Char"/>
    <w:link w:val="SectionLevelHeading"/>
    <w:rsid w:val="0055148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5178-FD24-4A7B-9D55-C88C0638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25: Renters entitled to copy of personal information in a residential tenancy database</vt:lpstr>
    </vt:vector>
  </TitlesOfParts>
  <Company>Department of Justice and Community Safety</Company>
  <LinksUpToDate>false</LinksUpToDate>
  <CharactersWithSpaces>983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25: Renters entitled to copy of personal information in a residential tenancy database</dc:title>
  <dc:subject/>
  <dc:creator>Consumer Affairs Victoria</dc:creator>
  <cp:keywords/>
  <cp:lastModifiedBy>David S</cp:lastModifiedBy>
  <cp:revision>3</cp:revision>
  <cp:lastPrinted>2016-05-23T03:42:00Z</cp:lastPrinted>
  <dcterms:created xsi:type="dcterms:W3CDTF">2020-04-30T03:18:00Z</dcterms:created>
  <dcterms:modified xsi:type="dcterms:W3CDTF">2020-10-05T06:35:00Z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