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B488E" w14:textId="77777777" w:rsidR="00AA2ED6" w:rsidRDefault="00AA2ED6" w:rsidP="006D5CF1">
      <w:pPr>
        <w:pStyle w:val="Heading1"/>
      </w:pPr>
      <w:bookmarkStart w:id="0" w:name="_Toc4141151"/>
      <w:r w:rsidRPr="006D5CF1">
        <w:t xml:space="preserve">Detailed Reference Guide </w:t>
      </w:r>
      <w:r w:rsidR="00CF283B">
        <w:t>2</w:t>
      </w:r>
      <w:r w:rsidR="00190B84">
        <w:t>8</w:t>
      </w:r>
      <w:r w:rsidR="007769DB">
        <w:t>:</w:t>
      </w:r>
      <w:bookmarkEnd w:id="0"/>
      <w:r w:rsidR="007769DB">
        <w:t xml:space="preserve"> </w:t>
      </w:r>
      <w:r w:rsidR="00190B84">
        <w:t>Where and how is rent to be paid</w:t>
      </w:r>
    </w:p>
    <w:p w14:paraId="31BB1EF1" w14:textId="105553C6" w:rsidR="007769DB" w:rsidRPr="007769DB" w:rsidRDefault="007769DB" w:rsidP="007769DB">
      <w:pPr>
        <w:pStyle w:val="BodyText"/>
      </w:pPr>
      <w:r>
        <w:t xml:space="preserve">This reform starts on </w:t>
      </w:r>
      <w:r w:rsidR="00D85B62">
        <w:t>29 March 2021</w:t>
      </w:r>
      <w:r>
        <w:t>.</w:t>
      </w:r>
    </w:p>
    <w:p w14:paraId="729ED599" w14:textId="77777777" w:rsidR="00AA2ED6" w:rsidRDefault="00AA2ED6" w:rsidP="00AA2ED6">
      <w:pPr>
        <w:pStyle w:val="Heading2"/>
      </w:pPr>
      <w:r>
        <w:t>New requirement</w:t>
      </w:r>
      <w:r w:rsidR="00AD6C7D">
        <w:t>s</w:t>
      </w:r>
    </w:p>
    <w:p w14:paraId="527532D6" w14:textId="77777777" w:rsidR="00190B84" w:rsidRDefault="00190B84" w:rsidP="00190B84">
      <w:pPr>
        <w:pStyle w:val="BodyText"/>
      </w:pPr>
      <w:r>
        <w:t>The rent payable under a rental agreement is payable in the manner specified (if any) in the agreement,</w:t>
      </w:r>
      <w:r w:rsidRPr="00CF7526">
        <w:t xml:space="preserve"> </w:t>
      </w:r>
      <w:r>
        <w:t>subject to the following requirements:</w:t>
      </w:r>
    </w:p>
    <w:p w14:paraId="752C1714" w14:textId="77777777" w:rsidR="00190B84" w:rsidRDefault="00190B84" w:rsidP="00190B84">
      <w:pPr>
        <w:pStyle w:val="ListBullet"/>
      </w:pPr>
      <w:r>
        <w:t>the rental provider must provide at least one reasonably available fee-free method for paying rent (not including any bank fees or account fees payable on the renter’s bank account)</w:t>
      </w:r>
    </w:p>
    <w:p w14:paraId="377E4437" w14:textId="77777777" w:rsidR="00190B84" w:rsidRDefault="00190B84" w:rsidP="00190B84">
      <w:pPr>
        <w:pStyle w:val="ListBullet"/>
      </w:pPr>
      <w:r>
        <w:t>without limiting how rent is paid, the rental provider must permit the renter to pay rent using the Commonwealth’s ‘Centrepay’ bill paying service, or any other prescribed payment method</w:t>
      </w:r>
    </w:p>
    <w:p w14:paraId="020BC5D4" w14:textId="77777777" w:rsidR="00190B84" w:rsidRDefault="00190B84" w:rsidP="00190B84">
      <w:pPr>
        <w:pStyle w:val="ListBullet"/>
      </w:pPr>
      <w:r>
        <w:t>the rental provider must not require the renter to pay the rent by a cheque (or any other type of negotiable instrum</w:t>
      </w:r>
      <w:bookmarkStart w:id="1" w:name="_GoBack"/>
      <w:bookmarkEnd w:id="1"/>
      <w:r>
        <w:t>ent) that is post-dated.</w:t>
      </w:r>
    </w:p>
    <w:p w14:paraId="18B1134F" w14:textId="77777777" w:rsidR="00190B84" w:rsidRDefault="00190B84" w:rsidP="00190B84">
      <w:pPr>
        <w:pStyle w:val="BodyText"/>
      </w:pPr>
      <w:r>
        <w:t>The manner for paying rent under the rental agreement may be changed by agreement between the rental provider and the renter.</w:t>
      </w:r>
    </w:p>
    <w:p w14:paraId="5C3E8781" w14:textId="77777777" w:rsidR="00190B84" w:rsidRDefault="00190B84" w:rsidP="00190B84">
      <w:pPr>
        <w:pStyle w:val="BodyText"/>
      </w:pPr>
      <w:r>
        <w:t>Before the renter agrees to pay the rent using a particular method, the rental provider must give the renter information about any costs that the renter may incur by using that method. These may include third party transaction fees, dishonour fees or electronic payment facility fees.</w:t>
      </w:r>
    </w:p>
    <w:p w14:paraId="65E14D7B" w14:textId="77777777" w:rsidR="00190B84" w:rsidRDefault="00190B84" w:rsidP="00190B84">
      <w:pPr>
        <w:pStyle w:val="BodyText"/>
      </w:pPr>
      <w:r>
        <w:t>A person cannot demand or receive from a renter a charge for:</w:t>
      </w:r>
    </w:p>
    <w:p w14:paraId="0F665DEC" w14:textId="77777777" w:rsidR="00190B84" w:rsidRDefault="00190B84" w:rsidP="00190B84">
      <w:pPr>
        <w:pStyle w:val="ListBullet"/>
      </w:pPr>
      <w:r>
        <w:t>the first issue of a rent payment card, or</w:t>
      </w:r>
    </w:p>
    <w:p w14:paraId="652DF256" w14:textId="77777777" w:rsidR="00190B84" w:rsidRDefault="00190B84" w:rsidP="00190B84">
      <w:pPr>
        <w:pStyle w:val="ListBullet"/>
      </w:pPr>
      <w:r>
        <w:t>the establishment or use of direct debit facilities or any other electronic payment facility for the payment of rent.</w:t>
      </w:r>
    </w:p>
    <w:p w14:paraId="2EB6B1A6" w14:textId="77777777" w:rsidR="00D26FDA" w:rsidRPr="00D26FDA" w:rsidRDefault="00190B84" w:rsidP="00190B84">
      <w:pPr>
        <w:pStyle w:val="BodyText"/>
      </w:pPr>
      <w:r w:rsidDel="0088521C">
        <w:t>These changes also apply to rooming houses, caravan parks and residential parks.</w:t>
      </w:r>
    </w:p>
    <w:p w14:paraId="31C9F011" w14:textId="77777777" w:rsidR="00AD6C7D" w:rsidRDefault="00AD6C7D" w:rsidP="00AD6C7D">
      <w:pPr>
        <w:pStyle w:val="Heading2"/>
      </w:pPr>
      <w:r>
        <w:t>Previous requirements</w:t>
      </w:r>
    </w:p>
    <w:p w14:paraId="2B0B8FF2" w14:textId="77777777" w:rsidR="00551483" w:rsidRDefault="00190B84" w:rsidP="00E25CB1">
      <w:pPr>
        <w:pStyle w:val="BodyText"/>
      </w:pPr>
      <w:r w:rsidRPr="00190B84">
        <w:t>Previously, the rent payable under a rental agreement was payable in the manner specified in the agreement and it was not subject to any other requirements.</w:t>
      </w:r>
    </w:p>
    <w:p w14:paraId="759E1399" w14:textId="77777777" w:rsidR="00D26FDA" w:rsidRPr="00D26FDA" w:rsidRDefault="00D26FDA" w:rsidP="00D26FDA">
      <w:pPr>
        <w:pStyle w:val="Heading2"/>
      </w:pPr>
      <w:r w:rsidRPr="00D26FDA">
        <w:t>Requiring further specification</w:t>
      </w:r>
    </w:p>
    <w:p w14:paraId="4C62C8DF" w14:textId="77777777" w:rsidR="00190B84" w:rsidRPr="00190B84" w:rsidRDefault="00190B84" w:rsidP="00190B84">
      <w:pPr>
        <w:pStyle w:val="BodyText"/>
      </w:pPr>
      <w:bookmarkStart w:id="2" w:name="_Toc526339631"/>
      <w:r w:rsidRPr="00190B84">
        <w:t xml:space="preserve">Other/additional payment methods may be prescribed within forthcoming Regulations. </w:t>
      </w:r>
    </w:p>
    <w:p w14:paraId="04C0E942" w14:textId="77777777" w:rsidR="00551483" w:rsidRPr="00551483" w:rsidRDefault="00551483" w:rsidP="00551483">
      <w:pPr>
        <w:pStyle w:val="Heading2"/>
      </w:pPr>
      <w:r w:rsidRPr="00551483">
        <w:t xml:space="preserve">Relevant legislation in the </w:t>
      </w:r>
      <w:r w:rsidRPr="007769DB">
        <w:rPr>
          <w:i/>
        </w:rPr>
        <w:t>Residential Tenancies Act</w:t>
      </w:r>
      <w:bookmarkEnd w:id="2"/>
      <w:r w:rsidR="007769DB" w:rsidRPr="007769DB">
        <w:rPr>
          <w:i/>
        </w:rPr>
        <w:t xml:space="preserve"> 1997</w:t>
      </w:r>
    </w:p>
    <w:tbl>
      <w:tblPr>
        <w:tblStyle w:val="TableGrid"/>
        <w:tblW w:w="0" w:type="auto"/>
        <w:tblLook w:val="04A0" w:firstRow="1" w:lastRow="0" w:firstColumn="1" w:lastColumn="0" w:noHBand="0" w:noVBand="1"/>
      </w:tblPr>
      <w:tblGrid>
        <w:gridCol w:w="2065"/>
        <w:gridCol w:w="7506"/>
      </w:tblGrid>
      <w:tr w:rsidR="00AD6C7D" w14:paraId="785B2232" w14:textId="77777777" w:rsidTr="00AD6C7D">
        <w:tc>
          <w:tcPr>
            <w:tcW w:w="2065" w:type="dxa"/>
          </w:tcPr>
          <w:p w14:paraId="77C13F12" w14:textId="77777777" w:rsidR="00AD6C7D" w:rsidRDefault="006F567B" w:rsidP="00AD6C7D">
            <w:pPr>
              <w:pStyle w:val="TableText"/>
            </w:pPr>
            <w:r>
              <w:t>42</w:t>
            </w:r>
          </w:p>
        </w:tc>
        <w:tc>
          <w:tcPr>
            <w:tcW w:w="7506" w:type="dxa"/>
          </w:tcPr>
          <w:p w14:paraId="4B9D9B49" w14:textId="77777777" w:rsidR="00AD6C7D" w:rsidRDefault="006F567B" w:rsidP="00AD6C7D">
            <w:pPr>
              <w:pStyle w:val="TableText"/>
            </w:pPr>
            <w:r>
              <w:t>Where and how is rent to be paid? (rented premises)</w:t>
            </w:r>
          </w:p>
        </w:tc>
      </w:tr>
      <w:tr w:rsidR="006F567B" w14:paraId="17C59254" w14:textId="77777777" w:rsidTr="00AD6C7D">
        <w:tc>
          <w:tcPr>
            <w:tcW w:w="2065" w:type="dxa"/>
          </w:tcPr>
          <w:p w14:paraId="5B3BE0D5" w14:textId="77777777" w:rsidR="006F567B" w:rsidRDefault="006F567B" w:rsidP="00AD6C7D">
            <w:pPr>
              <w:pStyle w:val="TableText"/>
            </w:pPr>
            <w:r>
              <w:t>51</w:t>
            </w:r>
          </w:p>
        </w:tc>
        <w:tc>
          <w:tcPr>
            <w:tcW w:w="7506" w:type="dxa"/>
          </w:tcPr>
          <w:p w14:paraId="232D3135" w14:textId="77777777" w:rsidR="006F567B" w:rsidRDefault="006F567B" w:rsidP="00AD6C7D">
            <w:pPr>
              <w:pStyle w:val="TableText"/>
            </w:pPr>
            <w:r>
              <w:t>Certain charges prohibited</w:t>
            </w:r>
          </w:p>
        </w:tc>
      </w:tr>
      <w:tr w:rsidR="006F567B" w14:paraId="29AFD475" w14:textId="77777777" w:rsidTr="00AD6C7D">
        <w:tc>
          <w:tcPr>
            <w:tcW w:w="2065" w:type="dxa"/>
          </w:tcPr>
          <w:p w14:paraId="118B4C5A" w14:textId="77777777" w:rsidR="006F567B" w:rsidRDefault="006F567B" w:rsidP="00AD6C7D">
            <w:pPr>
              <w:pStyle w:val="TableText"/>
            </w:pPr>
            <w:r>
              <w:t>99A</w:t>
            </w:r>
          </w:p>
        </w:tc>
        <w:tc>
          <w:tcPr>
            <w:tcW w:w="7506" w:type="dxa"/>
          </w:tcPr>
          <w:p w14:paraId="27FCD623" w14:textId="77777777" w:rsidR="006F567B" w:rsidRDefault="006F567B" w:rsidP="00AD6C7D">
            <w:pPr>
              <w:pStyle w:val="TableText"/>
            </w:pPr>
            <w:r>
              <w:t>Rent payment (rooming houses)</w:t>
            </w:r>
          </w:p>
        </w:tc>
      </w:tr>
      <w:tr w:rsidR="006F567B" w14:paraId="28EC96B3" w14:textId="77777777" w:rsidTr="00AD6C7D">
        <w:tc>
          <w:tcPr>
            <w:tcW w:w="2065" w:type="dxa"/>
          </w:tcPr>
          <w:p w14:paraId="59765AE1" w14:textId="77777777" w:rsidR="006F567B" w:rsidRDefault="006F567B" w:rsidP="00AD6C7D">
            <w:pPr>
              <w:pStyle w:val="TableText"/>
            </w:pPr>
            <w:r>
              <w:t>150A</w:t>
            </w:r>
          </w:p>
        </w:tc>
        <w:tc>
          <w:tcPr>
            <w:tcW w:w="7506" w:type="dxa"/>
          </w:tcPr>
          <w:p w14:paraId="2C89436E" w14:textId="77777777" w:rsidR="006F567B" w:rsidRDefault="006F567B" w:rsidP="00AD6C7D">
            <w:pPr>
              <w:pStyle w:val="TableText"/>
            </w:pPr>
            <w:r>
              <w:t>Payment of rent or hiring charge (caravan parks)</w:t>
            </w:r>
          </w:p>
        </w:tc>
      </w:tr>
      <w:tr w:rsidR="006F567B" w14:paraId="45D357CA" w14:textId="77777777" w:rsidTr="00AD6C7D">
        <w:tc>
          <w:tcPr>
            <w:tcW w:w="2065" w:type="dxa"/>
          </w:tcPr>
          <w:p w14:paraId="175E0C4C" w14:textId="77777777" w:rsidR="006F567B" w:rsidRDefault="006F567B" w:rsidP="00AD6C7D">
            <w:pPr>
              <w:pStyle w:val="TableText"/>
            </w:pPr>
            <w:r>
              <w:t>206TA</w:t>
            </w:r>
          </w:p>
        </w:tc>
        <w:tc>
          <w:tcPr>
            <w:tcW w:w="7506" w:type="dxa"/>
          </w:tcPr>
          <w:p w14:paraId="0E0A8D17" w14:textId="77777777" w:rsidR="006F567B" w:rsidRDefault="006F567B" w:rsidP="00AD6C7D">
            <w:pPr>
              <w:pStyle w:val="TableText"/>
            </w:pPr>
            <w:r>
              <w:t>Rent payment (residential parks)</w:t>
            </w:r>
          </w:p>
        </w:tc>
      </w:tr>
    </w:tbl>
    <w:p w14:paraId="57DBAF35" w14:textId="77777777" w:rsidR="00CA31C2" w:rsidRPr="00510F74" w:rsidRDefault="00551483" w:rsidP="007769DB">
      <w:pPr>
        <w:pStyle w:val="BodyText"/>
      </w:pPr>
      <w:r>
        <w:t xml:space="preserve">Note: This was Reform </w:t>
      </w:r>
      <w:r w:rsidR="006F567B">
        <w:t>25 and 26</w:t>
      </w:r>
      <w:r w:rsidR="00AD6C7D">
        <w:t xml:space="preserve"> </w:t>
      </w:r>
      <w:r>
        <w:t xml:space="preserve">in the Fairer Safer Housing review. </w:t>
      </w:r>
    </w:p>
    <w:sectPr w:rsidR="00CA31C2" w:rsidRPr="00510F74" w:rsidSect="00230BBE">
      <w:footerReference w:type="default" r:id="rId8"/>
      <w:footerReference w:type="first" r:id="rId9"/>
      <w:type w:val="continuous"/>
      <w:pgSz w:w="11906" w:h="16838"/>
      <w:pgMar w:top="1134" w:right="1134" w:bottom="1134" w:left="1134"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D492A" w14:textId="77777777" w:rsidR="003F21DF" w:rsidRDefault="003F21DF">
      <w:r>
        <w:separator/>
      </w:r>
    </w:p>
    <w:p w14:paraId="75FCD421" w14:textId="77777777" w:rsidR="003F21DF" w:rsidRDefault="003F21DF"/>
  </w:endnote>
  <w:endnote w:type="continuationSeparator" w:id="0">
    <w:p w14:paraId="10BF9C3E" w14:textId="77777777" w:rsidR="003F21DF" w:rsidRDefault="003F21DF">
      <w:r>
        <w:continuationSeparator/>
      </w:r>
    </w:p>
    <w:p w14:paraId="21D9B7CA" w14:textId="77777777" w:rsidR="003F21DF" w:rsidRDefault="003F2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E3BD" w14:textId="77777777" w:rsidR="00543073" w:rsidRPr="005545CA" w:rsidRDefault="00543073"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7864F0">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4A46ED">
      <w:rPr>
        <w:b/>
        <w:noProof/>
      </w:rPr>
      <w:t>1</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8C524" w14:textId="77777777" w:rsidR="00510F74" w:rsidRPr="004A46ED" w:rsidRDefault="007769DB" w:rsidP="007769DB">
    <w:pPr>
      <w:pStyle w:val="Footer"/>
    </w:pPr>
    <w:r>
      <w:t>consumer.vic.gov.au/</w:t>
    </w:r>
    <w:proofErr w:type="spellStart"/>
    <w:r>
      <w:t>rentinglawchanges</w:t>
    </w:r>
    <w:proofErr w:type="spellEnd"/>
    <w:r w:rsidR="004A46ED">
      <w:tab/>
    </w:r>
    <w:r w:rsidR="004A46ED" w:rsidRPr="00176A29">
      <w:t xml:space="preserve">Page </w:t>
    </w:r>
    <w:r w:rsidR="004A46ED">
      <w:rPr>
        <w:b/>
        <w:bCs/>
      </w:rPr>
      <w:fldChar w:fldCharType="begin"/>
    </w:r>
    <w:r w:rsidR="004A46ED">
      <w:rPr>
        <w:b/>
        <w:bCs/>
      </w:rPr>
      <w:instrText xml:space="preserve"> PAGE </w:instrText>
    </w:r>
    <w:r w:rsidR="004A46ED">
      <w:rPr>
        <w:b/>
        <w:bCs/>
      </w:rPr>
      <w:fldChar w:fldCharType="separate"/>
    </w:r>
    <w:r w:rsidR="004A46ED">
      <w:rPr>
        <w:b/>
        <w:bCs/>
        <w:noProof/>
      </w:rPr>
      <w:t>1</w:t>
    </w:r>
    <w:r w:rsidR="004A46ED">
      <w:rPr>
        <w:b/>
        <w:bCs/>
      </w:rPr>
      <w:fldChar w:fldCharType="end"/>
    </w:r>
    <w:r w:rsidR="004A46ED">
      <w:t xml:space="preserve"> of </w:t>
    </w:r>
    <w:r w:rsidR="001A0BB9" w:rsidRPr="00482C9D">
      <w:rPr>
        <w:b/>
        <w:sz w:val="24"/>
        <w:szCs w:val="24"/>
      </w:rPr>
      <w:fldChar w:fldCharType="begin"/>
    </w:r>
    <w:r w:rsidR="001A0BB9" w:rsidRPr="00482C9D">
      <w:rPr>
        <w:b/>
      </w:rPr>
      <w:instrText xml:space="preserve"> NUMPAGES  </w:instrText>
    </w:r>
    <w:r w:rsidR="001A0BB9" w:rsidRPr="00482C9D">
      <w:rPr>
        <w:b/>
        <w:sz w:val="24"/>
        <w:szCs w:val="24"/>
      </w:rPr>
      <w:fldChar w:fldCharType="separate"/>
    </w:r>
    <w:r w:rsidR="001A0BB9">
      <w:rPr>
        <w:b/>
        <w:sz w:val="24"/>
        <w:szCs w:val="24"/>
      </w:rPr>
      <w:t>2</w:t>
    </w:r>
    <w:r w:rsidR="001A0BB9" w:rsidRPr="00482C9D">
      <w:rPr>
        <w:b/>
        <w:sz w:val="24"/>
        <w:szCs w:val="24"/>
      </w:rPr>
      <w:fldChar w:fldCharType="end"/>
    </w:r>
    <w:r w:rsidR="004A46ED">
      <w:rPr>
        <w:b/>
        <w:bCs/>
      </w:rPr>
      <w:tab/>
    </w:r>
    <w:r w:rsidR="004A46ED" w:rsidRPr="00B6136A">
      <w:rPr>
        <w:rFonts w:cs="Helv"/>
        <w:b/>
        <w:noProof/>
        <w:color w:val="FF0000"/>
      </w:rPr>
      <w:drawing>
        <wp:inline distT="0" distB="0" distL="0" distR="0" wp14:anchorId="5D8E4220" wp14:editId="358BB917">
          <wp:extent cx="1666875" cy="466725"/>
          <wp:effectExtent l="0" t="0" r="9525" b="9525"/>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88FBA" w14:textId="77777777" w:rsidR="003F21DF" w:rsidRDefault="003F21DF">
      <w:r>
        <w:separator/>
      </w:r>
    </w:p>
    <w:p w14:paraId="00CE8F0B" w14:textId="77777777" w:rsidR="003F21DF" w:rsidRDefault="003F21DF"/>
  </w:footnote>
  <w:footnote w:type="continuationSeparator" w:id="0">
    <w:p w14:paraId="60E84B2D" w14:textId="77777777" w:rsidR="003F21DF" w:rsidRDefault="003F21DF">
      <w:r>
        <w:continuationSeparator/>
      </w:r>
    </w:p>
    <w:p w14:paraId="4A98DDAB" w14:textId="77777777" w:rsidR="003F21DF" w:rsidRDefault="003F21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8CF898CC"/>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4E6AA5C"/>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4A088EAE"/>
    <w:lvl w:ilvl="0">
      <w:start w:val="1"/>
      <w:numFmt w:val="decimal"/>
      <w:pStyle w:val="ListNumber"/>
      <w:lvlText w:val="%1."/>
      <w:lvlJc w:val="left"/>
      <w:pPr>
        <w:ind w:left="340" w:hanging="340"/>
      </w:pPr>
      <w:rPr>
        <w:rFonts w:hint="default"/>
        <w:i w:val="0"/>
      </w:rPr>
    </w:lvl>
  </w:abstractNum>
  <w:abstractNum w:abstractNumId="5" w15:restartNumberingAfterBreak="0">
    <w:nsid w:val="FFFFFF89"/>
    <w:multiLevelType w:val="singleLevel"/>
    <w:tmpl w:val="4692E09C"/>
    <w:lvl w:ilvl="0">
      <w:start w:val="1"/>
      <w:numFmt w:val="bullet"/>
      <w:pStyle w:val="ListBullet"/>
      <w:lvlText w:val=""/>
      <w:lvlJc w:val="left"/>
      <w:pPr>
        <w:ind w:left="227" w:hanging="227"/>
      </w:pPr>
      <w:rPr>
        <w:rFonts w:ascii="Symbol" w:hAnsi="Symbol" w:hint="default"/>
      </w:rPr>
    </w:lvl>
  </w:abstractNum>
  <w:abstractNum w:abstractNumId="6"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3"/>
  </w:num>
  <w:num w:numId="6">
    <w:abstractNumId w:val="2"/>
  </w:num>
  <w:num w:numId="7">
    <w:abstractNumId w:val="1"/>
  </w:num>
  <w:num w:numId="8">
    <w:abstractNumId w:val="0"/>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62"/>
    <w:rsid w:val="000037CA"/>
    <w:rsid w:val="000168A1"/>
    <w:rsid w:val="000220CA"/>
    <w:rsid w:val="000355C2"/>
    <w:rsid w:val="00037895"/>
    <w:rsid w:val="000422C4"/>
    <w:rsid w:val="00043557"/>
    <w:rsid w:val="00045871"/>
    <w:rsid w:val="00046307"/>
    <w:rsid w:val="0005187F"/>
    <w:rsid w:val="0005581F"/>
    <w:rsid w:val="00056795"/>
    <w:rsid w:val="00056A2B"/>
    <w:rsid w:val="00056F69"/>
    <w:rsid w:val="0006239C"/>
    <w:rsid w:val="0006318E"/>
    <w:rsid w:val="00066F81"/>
    <w:rsid w:val="00067AA8"/>
    <w:rsid w:val="0007437B"/>
    <w:rsid w:val="00080E8C"/>
    <w:rsid w:val="00085AFF"/>
    <w:rsid w:val="000A05C2"/>
    <w:rsid w:val="000A159F"/>
    <w:rsid w:val="000A1E6A"/>
    <w:rsid w:val="000A280C"/>
    <w:rsid w:val="000A4445"/>
    <w:rsid w:val="000A5E17"/>
    <w:rsid w:val="000A6C1A"/>
    <w:rsid w:val="000B5EDC"/>
    <w:rsid w:val="000B65D4"/>
    <w:rsid w:val="000B7347"/>
    <w:rsid w:val="000C2798"/>
    <w:rsid w:val="000C3171"/>
    <w:rsid w:val="000C620E"/>
    <w:rsid w:val="000C7A60"/>
    <w:rsid w:val="000D780B"/>
    <w:rsid w:val="000D7EA7"/>
    <w:rsid w:val="000E0C11"/>
    <w:rsid w:val="000E3132"/>
    <w:rsid w:val="000E3EE0"/>
    <w:rsid w:val="000E5829"/>
    <w:rsid w:val="000E69CF"/>
    <w:rsid w:val="001011A2"/>
    <w:rsid w:val="00103A0B"/>
    <w:rsid w:val="00106914"/>
    <w:rsid w:val="0011355C"/>
    <w:rsid w:val="0012093B"/>
    <w:rsid w:val="00121599"/>
    <w:rsid w:val="0012684E"/>
    <w:rsid w:val="00126958"/>
    <w:rsid w:val="0013188A"/>
    <w:rsid w:val="00134668"/>
    <w:rsid w:val="001424CD"/>
    <w:rsid w:val="00151CDA"/>
    <w:rsid w:val="00151FFF"/>
    <w:rsid w:val="001530A6"/>
    <w:rsid w:val="0016060A"/>
    <w:rsid w:val="0016458D"/>
    <w:rsid w:val="00165E75"/>
    <w:rsid w:val="00167AA0"/>
    <w:rsid w:val="0017595D"/>
    <w:rsid w:val="00175B1C"/>
    <w:rsid w:val="00176A29"/>
    <w:rsid w:val="00185BEB"/>
    <w:rsid w:val="00190B84"/>
    <w:rsid w:val="00193C70"/>
    <w:rsid w:val="0019654D"/>
    <w:rsid w:val="001A0BB9"/>
    <w:rsid w:val="001A277F"/>
    <w:rsid w:val="001B44A6"/>
    <w:rsid w:val="001B47B8"/>
    <w:rsid w:val="001B4B43"/>
    <w:rsid w:val="001B5F47"/>
    <w:rsid w:val="001C0C14"/>
    <w:rsid w:val="001D2FE7"/>
    <w:rsid w:val="001D5AC2"/>
    <w:rsid w:val="001E2177"/>
    <w:rsid w:val="001E59E9"/>
    <w:rsid w:val="001E6366"/>
    <w:rsid w:val="001F260E"/>
    <w:rsid w:val="001F7271"/>
    <w:rsid w:val="0020362C"/>
    <w:rsid w:val="002130E8"/>
    <w:rsid w:val="00213B65"/>
    <w:rsid w:val="0022011C"/>
    <w:rsid w:val="00220917"/>
    <w:rsid w:val="00220BFA"/>
    <w:rsid w:val="00222C13"/>
    <w:rsid w:val="00230BBE"/>
    <w:rsid w:val="002325A7"/>
    <w:rsid w:val="00233F44"/>
    <w:rsid w:val="0024319C"/>
    <w:rsid w:val="0024452E"/>
    <w:rsid w:val="00250A4D"/>
    <w:rsid w:val="00254903"/>
    <w:rsid w:val="00254AB9"/>
    <w:rsid w:val="0026293D"/>
    <w:rsid w:val="0026293E"/>
    <w:rsid w:val="0026346A"/>
    <w:rsid w:val="002645FC"/>
    <w:rsid w:val="002660A7"/>
    <w:rsid w:val="002749A3"/>
    <w:rsid w:val="00275B66"/>
    <w:rsid w:val="00275ECB"/>
    <w:rsid w:val="00276618"/>
    <w:rsid w:val="00277089"/>
    <w:rsid w:val="002778E8"/>
    <w:rsid w:val="00277DCB"/>
    <w:rsid w:val="00285E9F"/>
    <w:rsid w:val="002867A9"/>
    <w:rsid w:val="0028766F"/>
    <w:rsid w:val="0029246A"/>
    <w:rsid w:val="00292A69"/>
    <w:rsid w:val="00294C52"/>
    <w:rsid w:val="002A1F82"/>
    <w:rsid w:val="002A2A8C"/>
    <w:rsid w:val="002B0278"/>
    <w:rsid w:val="002B1C94"/>
    <w:rsid w:val="002B2F0C"/>
    <w:rsid w:val="002B4410"/>
    <w:rsid w:val="002C6B45"/>
    <w:rsid w:val="002C7148"/>
    <w:rsid w:val="002D243D"/>
    <w:rsid w:val="002D4DC2"/>
    <w:rsid w:val="002D51D9"/>
    <w:rsid w:val="002D78BC"/>
    <w:rsid w:val="002E1AED"/>
    <w:rsid w:val="002E79FA"/>
    <w:rsid w:val="002F1B76"/>
    <w:rsid w:val="002F64C1"/>
    <w:rsid w:val="002F6912"/>
    <w:rsid w:val="00300E5B"/>
    <w:rsid w:val="003035FD"/>
    <w:rsid w:val="00307DEC"/>
    <w:rsid w:val="003102FE"/>
    <w:rsid w:val="00311BA5"/>
    <w:rsid w:val="0032298B"/>
    <w:rsid w:val="00323759"/>
    <w:rsid w:val="00330CC8"/>
    <w:rsid w:val="00335793"/>
    <w:rsid w:val="00336A96"/>
    <w:rsid w:val="0034343A"/>
    <w:rsid w:val="003435C6"/>
    <w:rsid w:val="00346A3D"/>
    <w:rsid w:val="00353DC2"/>
    <w:rsid w:val="003551C8"/>
    <w:rsid w:val="00355566"/>
    <w:rsid w:val="00356C19"/>
    <w:rsid w:val="00357B57"/>
    <w:rsid w:val="00375E18"/>
    <w:rsid w:val="0037704E"/>
    <w:rsid w:val="00396AC2"/>
    <w:rsid w:val="00397C7D"/>
    <w:rsid w:val="003A0694"/>
    <w:rsid w:val="003A2AC9"/>
    <w:rsid w:val="003A5142"/>
    <w:rsid w:val="003A5AC7"/>
    <w:rsid w:val="003A6DFB"/>
    <w:rsid w:val="003B2B25"/>
    <w:rsid w:val="003B6EEB"/>
    <w:rsid w:val="003C03A6"/>
    <w:rsid w:val="003C2C28"/>
    <w:rsid w:val="003C3F1B"/>
    <w:rsid w:val="003D1C95"/>
    <w:rsid w:val="003D25A6"/>
    <w:rsid w:val="003D4A4F"/>
    <w:rsid w:val="003E544D"/>
    <w:rsid w:val="003E60DE"/>
    <w:rsid w:val="003E7037"/>
    <w:rsid w:val="003F21DF"/>
    <w:rsid w:val="003F3404"/>
    <w:rsid w:val="003F3BF0"/>
    <w:rsid w:val="003F5034"/>
    <w:rsid w:val="00404089"/>
    <w:rsid w:val="00406892"/>
    <w:rsid w:val="004101B5"/>
    <w:rsid w:val="0041515A"/>
    <w:rsid w:val="00415DF2"/>
    <w:rsid w:val="00417260"/>
    <w:rsid w:val="00432BFC"/>
    <w:rsid w:val="00436138"/>
    <w:rsid w:val="00443192"/>
    <w:rsid w:val="00443AE0"/>
    <w:rsid w:val="00444B97"/>
    <w:rsid w:val="00445223"/>
    <w:rsid w:val="00446BA5"/>
    <w:rsid w:val="00450CFF"/>
    <w:rsid w:val="00451315"/>
    <w:rsid w:val="004564E9"/>
    <w:rsid w:val="00462315"/>
    <w:rsid w:val="00462ED7"/>
    <w:rsid w:val="004639CE"/>
    <w:rsid w:val="004660C6"/>
    <w:rsid w:val="00467231"/>
    <w:rsid w:val="00467FB0"/>
    <w:rsid w:val="00473E0E"/>
    <w:rsid w:val="00482C9D"/>
    <w:rsid w:val="00483049"/>
    <w:rsid w:val="004832C7"/>
    <w:rsid w:val="00493982"/>
    <w:rsid w:val="00494230"/>
    <w:rsid w:val="004A09F3"/>
    <w:rsid w:val="004A0D0C"/>
    <w:rsid w:val="004A1891"/>
    <w:rsid w:val="004A46ED"/>
    <w:rsid w:val="004A6437"/>
    <w:rsid w:val="004B244A"/>
    <w:rsid w:val="004B3730"/>
    <w:rsid w:val="004B3D9D"/>
    <w:rsid w:val="004C1FA9"/>
    <w:rsid w:val="004C2D1C"/>
    <w:rsid w:val="004C467F"/>
    <w:rsid w:val="004C530C"/>
    <w:rsid w:val="004C559E"/>
    <w:rsid w:val="004D4603"/>
    <w:rsid w:val="004E444A"/>
    <w:rsid w:val="004E486A"/>
    <w:rsid w:val="004E5C0F"/>
    <w:rsid w:val="004E5D70"/>
    <w:rsid w:val="004E7B70"/>
    <w:rsid w:val="004F1C98"/>
    <w:rsid w:val="004F2160"/>
    <w:rsid w:val="004F5654"/>
    <w:rsid w:val="00501F1A"/>
    <w:rsid w:val="00503C5C"/>
    <w:rsid w:val="00503E7C"/>
    <w:rsid w:val="005055F8"/>
    <w:rsid w:val="00505DF7"/>
    <w:rsid w:val="005076EB"/>
    <w:rsid w:val="00510F74"/>
    <w:rsid w:val="00512239"/>
    <w:rsid w:val="00517A0A"/>
    <w:rsid w:val="00517F6B"/>
    <w:rsid w:val="0052285C"/>
    <w:rsid w:val="005268B2"/>
    <w:rsid w:val="00537FF8"/>
    <w:rsid w:val="00543073"/>
    <w:rsid w:val="00547023"/>
    <w:rsid w:val="0054782B"/>
    <w:rsid w:val="00551483"/>
    <w:rsid w:val="00552BA8"/>
    <w:rsid w:val="00554168"/>
    <w:rsid w:val="005545CA"/>
    <w:rsid w:val="00562A61"/>
    <w:rsid w:val="00562BA1"/>
    <w:rsid w:val="00564978"/>
    <w:rsid w:val="00564F67"/>
    <w:rsid w:val="00574FF7"/>
    <w:rsid w:val="005755C6"/>
    <w:rsid w:val="005768A4"/>
    <w:rsid w:val="00577013"/>
    <w:rsid w:val="00580C9E"/>
    <w:rsid w:val="00581D61"/>
    <w:rsid w:val="00583950"/>
    <w:rsid w:val="00587D1A"/>
    <w:rsid w:val="0059064C"/>
    <w:rsid w:val="00591D58"/>
    <w:rsid w:val="00595524"/>
    <w:rsid w:val="005A1056"/>
    <w:rsid w:val="005A2426"/>
    <w:rsid w:val="005A4BDE"/>
    <w:rsid w:val="005B02D1"/>
    <w:rsid w:val="005B6073"/>
    <w:rsid w:val="005B7F0A"/>
    <w:rsid w:val="005C26AA"/>
    <w:rsid w:val="005C4493"/>
    <w:rsid w:val="005C4D70"/>
    <w:rsid w:val="005C71EE"/>
    <w:rsid w:val="005C7735"/>
    <w:rsid w:val="005D58A5"/>
    <w:rsid w:val="005D7242"/>
    <w:rsid w:val="005E274C"/>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5B7E"/>
    <w:rsid w:val="006309FD"/>
    <w:rsid w:val="006352BF"/>
    <w:rsid w:val="00644B7A"/>
    <w:rsid w:val="0064693A"/>
    <w:rsid w:val="00650FA9"/>
    <w:rsid w:val="00653F9F"/>
    <w:rsid w:val="00654F23"/>
    <w:rsid w:val="006556E4"/>
    <w:rsid w:val="00661680"/>
    <w:rsid w:val="00661DBE"/>
    <w:rsid w:val="006620EC"/>
    <w:rsid w:val="00670AFF"/>
    <w:rsid w:val="00670DB8"/>
    <w:rsid w:val="00675403"/>
    <w:rsid w:val="00677A37"/>
    <w:rsid w:val="00683199"/>
    <w:rsid w:val="00683DA8"/>
    <w:rsid w:val="006844C6"/>
    <w:rsid w:val="006848DA"/>
    <w:rsid w:val="006918F7"/>
    <w:rsid w:val="00692736"/>
    <w:rsid w:val="006956E0"/>
    <w:rsid w:val="00695BAC"/>
    <w:rsid w:val="006B46D0"/>
    <w:rsid w:val="006B4F0B"/>
    <w:rsid w:val="006B61D3"/>
    <w:rsid w:val="006C350C"/>
    <w:rsid w:val="006C7C7F"/>
    <w:rsid w:val="006D11AD"/>
    <w:rsid w:val="006D44B0"/>
    <w:rsid w:val="006D5CF1"/>
    <w:rsid w:val="006D6AFD"/>
    <w:rsid w:val="006E0F77"/>
    <w:rsid w:val="006E3FC4"/>
    <w:rsid w:val="006E5263"/>
    <w:rsid w:val="006E556F"/>
    <w:rsid w:val="006F098C"/>
    <w:rsid w:val="006F0AE0"/>
    <w:rsid w:val="006F0D9B"/>
    <w:rsid w:val="006F2D93"/>
    <w:rsid w:val="006F567B"/>
    <w:rsid w:val="006F6AF1"/>
    <w:rsid w:val="00702FF1"/>
    <w:rsid w:val="00704578"/>
    <w:rsid w:val="00706650"/>
    <w:rsid w:val="00712650"/>
    <w:rsid w:val="0071380D"/>
    <w:rsid w:val="00721629"/>
    <w:rsid w:val="00723808"/>
    <w:rsid w:val="00733B8C"/>
    <w:rsid w:val="00737D7F"/>
    <w:rsid w:val="00741010"/>
    <w:rsid w:val="00741054"/>
    <w:rsid w:val="00742B1A"/>
    <w:rsid w:val="00745E1A"/>
    <w:rsid w:val="00746873"/>
    <w:rsid w:val="007475B3"/>
    <w:rsid w:val="00747953"/>
    <w:rsid w:val="007506AC"/>
    <w:rsid w:val="00753D01"/>
    <w:rsid w:val="0075739A"/>
    <w:rsid w:val="00764E72"/>
    <w:rsid w:val="00770F09"/>
    <w:rsid w:val="00772382"/>
    <w:rsid w:val="007743C4"/>
    <w:rsid w:val="00774477"/>
    <w:rsid w:val="007769DB"/>
    <w:rsid w:val="00781129"/>
    <w:rsid w:val="007846F6"/>
    <w:rsid w:val="007864F0"/>
    <w:rsid w:val="0079466F"/>
    <w:rsid w:val="00797405"/>
    <w:rsid w:val="00797AA2"/>
    <w:rsid w:val="00797CE8"/>
    <w:rsid w:val="007A0D87"/>
    <w:rsid w:val="007A17D9"/>
    <w:rsid w:val="007A56EF"/>
    <w:rsid w:val="007A7BC8"/>
    <w:rsid w:val="007B0F3B"/>
    <w:rsid w:val="007B4E27"/>
    <w:rsid w:val="007B6100"/>
    <w:rsid w:val="007C0316"/>
    <w:rsid w:val="007C2551"/>
    <w:rsid w:val="007D407F"/>
    <w:rsid w:val="007D4D7B"/>
    <w:rsid w:val="007E53CB"/>
    <w:rsid w:val="007E59FE"/>
    <w:rsid w:val="007F4771"/>
    <w:rsid w:val="007F501C"/>
    <w:rsid w:val="00800233"/>
    <w:rsid w:val="00800C16"/>
    <w:rsid w:val="00801530"/>
    <w:rsid w:val="0080392A"/>
    <w:rsid w:val="00804FF4"/>
    <w:rsid w:val="00807551"/>
    <w:rsid w:val="0081040E"/>
    <w:rsid w:val="008137A7"/>
    <w:rsid w:val="00816BA5"/>
    <w:rsid w:val="00816CC1"/>
    <w:rsid w:val="00824986"/>
    <w:rsid w:val="008309B1"/>
    <w:rsid w:val="00835486"/>
    <w:rsid w:val="00842E31"/>
    <w:rsid w:val="00844437"/>
    <w:rsid w:val="008464BD"/>
    <w:rsid w:val="00850C35"/>
    <w:rsid w:val="00853741"/>
    <w:rsid w:val="00853779"/>
    <w:rsid w:val="00856AFE"/>
    <w:rsid w:val="008614E6"/>
    <w:rsid w:val="00865C44"/>
    <w:rsid w:val="00867B76"/>
    <w:rsid w:val="00872B40"/>
    <w:rsid w:val="00877974"/>
    <w:rsid w:val="00881665"/>
    <w:rsid w:val="008843EB"/>
    <w:rsid w:val="00886B0E"/>
    <w:rsid w:val="008913E0"/>
    <w:rsid w:val="008A4172"/>
    <w:rsid w:val="008A4880"/>
    <w:rsid w:val="008A5C9C"/>
    <w:rsid w:val="008B113A"/>
    <w:rsid w:val="008B17F9"/>
    <w:rsid w:val="008B26A1"/>
    <w:rsid w:val="008D323B"/>
    <w:rsid w:val="008E0C3F"/>
    <w:rsid w:val="008E0CFA"/>
    <w:rsid w:val="008E2696"/>
    <w:rsid w:val="008E6160"/>
    <w:rsid w:val="008F0DE5"/>
    <w:rsid w:val="008F1413"/>
    <w:rsid w:val="00900B22"/>
    <w:rsid w:val="00901425"/>
    <w:rsid w:val="009040AB"/>
    <w:rsid w:val="0091000C"/>
    <w:rsid w:val="00910244"/>
    <w:rsid w:val="0091169D"/>
    <w:rsid w:val="00913492"/>
    <w:rsid w:val="00914F87"/>
    <w:rsid w:val="0091626B"/>
    <w:rsid w:val="00921A67"/>
    <w:rsid w:val="009268B0"/>
    <w:rsid w:val="009308C2"/>
    <w:rsid w:val="00933E5F"/>
    <w:rsid w:val="00934008"/>
    <w:rsid w:val="00934545"/>
    <w:rsid w:val="009426B2"/>
    <w:rsid w:val="009432AE"/>
    <w:rsid w:val="009434EE"/>
    <w:rsid w:val="00944F23"/>
    <w:rsid w:val="009478AE"/>
    <w:rsid w:val="00947B6C"/>
    <w:rsid w:val="00951678"/>
    <w:rsid w:val="0095498C"/>
    <w:rsid w:val="00961E71"/>
    <w:rsid w:val="00962391"/>
    <w:rsid w:val="0096256C"/>
    <w:rsid w:val="00963A6C"/>
    <w:rsid w:val="009646FE"/>
    <w:rsid w:val="0096497D"/>
    <w:rsid w:val="0097720D"/>
    <w:rsid w:val="009A1F33"/>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4741"/>
    <w:rsid w:val="00A30BDB"/>
    <w:rsid w:val="00A31FC9"/>
    <w:rsid w:val="00A32C77"/>
    <w:rsid w:val="00A376E9"/>
    <w:rsid w:val="00A4335A"/>
    <w:rsid w:val="00A525EA"/>
    <w:rsid w:val="00A62E3F"/>
    <w:rsid w:val="00A66A43"/>
    <w:rsid w:val="00A776E7"/>
    <w:rsid w:val="00A82530"/>
    <w:rsid w:val="00A82629"/>
    <w:rsid w:val="00A84243"/>
    <w:rsid w:val="00A8471E"/>
    <w:rsid w:val="00A86594"/>
    <w:rsid w:val="00AA0AF0"/>
    <w:rsid w:val="00AA16A6"/>
    <w:rsid w:val="00AA2964"/>
    <w:rsid w:val="00AA2ED6"/>
    <w:rsid w:val="00AA43C3"/>
    <w:rsid w:val="00AA5826"/>
    <w:rsid w:val="00AB75A4"/>
    <w:rsid w:val="00AB7CB3"/>
    <w:rsid w:val="00AB7E0D"/>
    <w:rsid w:val="00AC0B36"/>
    <w:rsid w:val="00AC12F3"/>
    <w:rsid w:val="00AD6C7D"/>
    <w:rsid w:val="00AE7802"/>
    <w:rsid w:val="00B05649"/>
    <w:rsid w:val="00B05DC6"/>
    <w:rsid w:val="00B07793"/>
    <w:rsid w:val="00B10317"/>
    <w:rsid w:val="00B13355"/>
    <w:rsid w:val="00B13AF4"/>
    <w:rsid w:val="00B17450"/>
    <w:rsid w:val="00B21294"/>
    <w:rsid w:val="00B35212"/>
    <w:rsid w:val="00B452FA"/>
    <w:rsid w:val="00B54B0C"/>
    <w:rsid w:val="00B57F9A"/>
    <w:rsid w:val="00B751DB"/>
    <w:rsid w:val="00B80008"/>
    <w:rsid w:val="00B8378D"/>
    <w:rsid w:val="00B9341F"/>
    <w:rsid w:val="00B95039"/>
    <w:rsid w:val="00B96A5D"/>
    <w:rsid w:val="00B96DBC"/>
    <w:rsid w:val="00BA18FC"/>
    <w:rsid w:val="00BA1DF7"/>
    <w:rsid w:val="00BA276B"/>
    <w:rsid w:val="00BA3586"/>
    <w:rsid w:val="00BA3F4F"/>
    <w:rsid w:val="00BA6707"/>
    <w:rsid w:val="00BB04F4"/>
    <w:rsid w:val="00BC49B4"/>
    <w:rsid w:val="00BC7567"/>
    <w:rsid w:val="00BD17C7"/>
    <w:rsid w:val="00BD4D0E"/>
    <w:rsid w:val="00BD5638"/>
    <w:rsid w:val="00BD6B17"/>
    <w:rsid w:val="00BE2F89"/>
    <w:rsid w:val="00C03AD7"/>
    <w:rsid w:val="00C10DA5"/>
    <w:rsid w:val="00C11A0F"/>
    <w:rsid w:val="00C20885"/>
    <w:rsid w:val="00C226AA"/>
    <w:rsid w:val="00C2270A"/>
    <w:rsid w:val="00C24ACF"/>
    <w:rsid w:val="00C3028D"/>
    <w:rsid w:val="00C3368F"/>
    <w:rsid w:val="00C4111B"/>
    <w:rsid w:val="00C50CBD"/>
    <w:rsid w:val="00C527FB"/>
    <w:rsid w:val="00C5544C"/>
    <w:rsid w:val="00C619B4"/>
    <w:rsid w:val="00C62D6C"/>
    <w:rsid w:val="00C633A4"/>
    <w:rsid w:val="00C63CFD"/>
    <w:rsid w:val="00C64C5E"/>
    <w:rsid w:val="00C65A30"/>
    <w:rsid w:val="00C70279"/>
    <w:rsid w:val="00C7114D"/>
    <w:rsid w:val="00C72F8F"/>
    <w:rsid w:val="00C77624"/>
    <w:rsid w:val="00C7789B"/>
    <w:rsid w:val="00C818E9"/>
    <w:rsid w:val="00C94D41"/>
    <w:rsid w:val="00CA31C2"/>
    <w:rsid w:val="00CA3EC4"/>
    <w:rsid w:val="00CA466D"/>
    <w:rsid w:val="00CA6ED1"/>
    <w:rsid w:val="00CA7BC0"/>
    <w:rsid w:val="00CB002E"/>
    <w:rsid w:val="00CB33D5"/>
    <w:rsid w:val="00CB60B1"/>
    <w:rsid w:val="00CC19AE"/>
    <w:rsid w:val="00CC208B"/>
    <w:rsid w:val="00CC4523"/>
    <w:rsid w:val="00CC55AA"/>
    <w:rsid w:val="00CD08FD"/>
    <w:rsid w:val="00CD2422"/>
    <w:rsid w:val="00CD5914"/>
    <w:rsid w:val="00CE28D5"/>
    <w:rsid w:val="00CE400B"/>
    <w:rsid w:val="00CE536D"/>
    <w:rsid w:val="00CF283B"/>
    <w:rsid w:val="00CF2E0A"/>
    <w:rsid w:val="00D018FD"/>
    <w:rsid w:val="00D06191"/>
    <w:rsid w:val="00D154F2"/>
    <w:rsid w:val="00D16437"/>
    <w:rsid w:val="00D202B2"/>
    <w:rsid w:val="00D2596F"/>
    <w:rsid w:val="00D26FDA"/>
    <w:rsid w:val="00D30F48"/>
    <w:rsid w:val="00D3321C"/>
    <w:rsid w:val="00D41AC9"/>
    <w:rsid w:val="00D46B2D"/>
    <w:rsid w:val="00D47555"/>
    <w:rsid w:val="00D50115"/>
    <w:rsid w:val="00D509BB"/>
    <w:rsid w:val="00D60211"/>
    <w:rsid w:val="00D603A8"/>
    <w:rsid w:val="00D67575"/>
    <w:rsid w:val="00D67C5E"/>
    <w:rsid w:val="00D81AD4"/>
    <w:rsid w:val="00D81DDB"/>
    <w:rsid w:val="00D85B62"/>
    <w:rsid w:val="00D967E3"/>
    <w:rsid w:val="00DA2B70"/>
    <w:rsid w:val="00DA35AF"/>
    <w:rsid w:val="00DA45AA"/>
    <w:rsid w:val="00DA7F39"/>
    <w:rsid w:val="00DB05D1"/>
    <w:rsid w:val="00DC0DDF"/>
    <w:rsid w:val="00DC4AC5"/>
    <w:rsid w:val="00DD1BB2"/>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07B6"/>
    <w:rsid w:val="00E12CE7"/>
    <w:rsid w:val="00E17DA9"/>
    <w:rsid w:val="00E233C9"/>
    <w:rsid w:val="00E25CB1"/>
    <w:rsid w:val="00E27DDD"/>
    <w:rsid w:val="00E314FA"/>
    <w:rsid w:val="00E36BA4"/>
    <w:rsid w:val="00E43A9D"/>
    <w:rsid w:val="00E46CCB"/>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6B2A"/>
    <w:rsid w:val="00EA3C5E"/>
    <w:rsid w:val="00EB0D4C"/>
    <w:rsid w:val="00EB3B09"/>
    <w:rsid w:val="00EB4155"/>
    <w:rsid w:val="00EB5745"/>
    <w:rsid w:val="00EC33B9"/>
    <w:rsid w:val="00ED0225"/>
    <w:rsid w:val="00ED1570"/>
    <w:rsid w:val="00ED4C69"/>
    <w:rsid w:val="00ED75FC"/>
    <w:rsid w:val="00EE22A7"/>
    <w:rsid w:val="00EF5595"/>
    <w:rsid w:val="00EF6050"/>
    <w:rsid w:val="00F0318E"/>
    <w:rsid w:val="00F10E04"/>
    <w:rsid w:val="00F16A8F"/>
    <w:rsid w:val="00F30BF8"/>
    <w:rsid w:val="00F3148B"/>
    <w:rsid w:val="00F33875"/>
    <w:rsid w:val="00F34AA1"/>
    <w:rsid w:val="00F371B4"/>
    <w:rsid w:val="00F4266E"/>
    <w:rsid w:val="00F47858"/>
    <w:rsid w:val="00F55152"/>
    <w:rsid w:val="00F56FF2"/>
    <w:rsid w:val="00F602CD"/>
    <w:rsid w:val="00F60BAC"/>
    <w:rsid w:val="00F61475"/>
    <w:rsid w:val="00F6220F"/>
    <w:rsid w:val="00F6324D"/>
    <w:rsid w:val="00F6581A"/>
    <w:rsid w:val="00F729F9"/>
    <w:rsid w:val="00F73E82"/>
    <w:rsid w:val="00F7770B"/>
    <w:rsid w:val="00F90860"/>
    <w:rsid w:val="00F91DF9"/>
    <w:rsid w:val="00F969DD"/>
    <w:rsid w:val="00FA20FA"/>
    <w:rsid w:val="00FB581A"/>
    <w:rsid w:val="00FB66E7"/>
    <w:rsid w:val="00FC74E0"/>
    <w:rsid w:val="00FD65C8"/>
    <w:rsid w:val="00FE0FFD"/>
    <w:rsid w:val="00FE1487"/>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0A12EB"/>
  <w15:chartTrackingRefBased/>
  <w15:docId w15:val="{0C0A4F0B-C622-4AD6-9CC4-52204EA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uiPriority="0"/>
    <w:lsdException w:name="annotation subject" w:uiPriority="0"/>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iPriority="0" w:unhideWhenUsed="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7864F0"/>
    <w:pPr>
      <w:spacing w:after="240"/>
      <w:outlineLvl w:val="0"/>
    </w:pPr>
    <w:rPr>
      <w:rFonts w:ascii="Arial" w:hAnsi="Arial" w:cs="Arial"/>
      <w:b/>
      <w:bCs/>
      <w:sz w:val="36"/>
      <w:szCs w:val="36"/>
    </w:rPr>
  </w:style>
  <w:style w:type="paragraph" w:styleId="Heading2">
    <w:name w:val="heading 2"/>
    <w:next w:val="BodyText"/>
    <w:link w:val="Heading2Char"/>
    <w:uiPriority w:val="2"/>
    <w:qFormat/>
    <w:rsid w:val="00562BA1"/>
    <w:pPr>
      <w:keepNext/>
      <w:keepLines/>
      <w:suppressAutoHyphens/>
      <w:spacing w:before="300" w:after="120"/>
      <w:outlineLvl w:val="1"/>
    </w:pPr>
    <w:rPr>
      <w:rFonts w:ascii="Arial" w:hAnsi="Arial" w:cs="Arial"/>
      <w:b/>
      <w:bCs/>
      <w:sz w:val="26"/>
      <w:szCs w:val="26"/>
    </w:rPr>
  </w:style>
  <w:style w:type="paragraph" w:styleId="Heading3">
    <w:name w:val="heading 3"/>
    <w:next w:val="BodyText"/>
    <w:link w:val="Heading3Char"/>
    <w:uiPriority w:val="2"/>
    <w:qFormat/>
    <w:rsid w:val="00801530"/>
    <w:pPr>
      <w:keepNext/>
      <w:keepLines/>
      <w:suppressAutoHyphens/>
      <w:spacing w:before="300" w:after="120"/>
      <w:outlineLvl w:val="2"/>
    </w:pPr>
    <w:rPr>
      <w:rFonts w:ascii="Arial" w:hAnsi="Arial" w:cs="Arial"/>
      <w:b/>
      <w:bCs/>
      <w:sz w:val="24"/>
      <w:szCs w:val="24"/>
    </w:rPr>
  </w:style>
  <w:style w:type="paragraph" w:styleId="Heading4">
    <w:name w:val="heading 4"/>
    <w:next w:val="BodyText"/>
    <w:link w:val="Heading4Char"/>
    <w:uiPriority w:val="6"/>
    <w:qFormat/>
    <w:rsid w:val="00801530"/>
    <w:pPr>
      <w:keepNext/>
      <w:keepLines/>
      <w:suppressAutoHyphens/>
      <w:spacing w:before="300" w:after="120"/>
      <w:outlineLvl w:val="3"/>
    </w:pPr>
    <w:rPr>
      <w:rFonts w:ascii="Arial" w:hAnsi="Arial" w:cs="Arial"/>
      <w:b/>
      <w:bCs/>
      <w:sz w:val="22"/>
      <w:szCs w:val="22"/>
    </w:rPr>
  </w:style>
  <w:style w:type="paragraph" w:styleId="Heading5">
    <w:name w:val="heading 5"/>
    <w:next w:val="BodyText"/>
    <w:link w:val="Heading5Char"/>
    <w:uiPriority w:val="6"/>
    <w:unhideWhenUsed/>
    <w:rsid w:val="00801530"/>
    <w:pPr>
      <w:keepNext/>
      <w:keepLines/>
      <w:suppressAutoHyphens/>
      <w:spacing w:before="240" w:after="120"/>
      <w:outlineLvl w:val="4"/>
    </w:pPr>
    <w:rPr>
      <w:rFonts w:ascii="Arial" w:hAnsi="Arial" w:cs="Arial"/>
      <w:b/>
      <w:bCs/>
      <w:iCs/>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62BA1"/>
    <w:rPr>
      <w:rFonts w:ascii="Arial" w:hAnsi="Arial" w:cs="Arial"/>
      <w:b/>
      <w:bCs/>
      <w:sz w:val="26"/>
      <w:szCs w:val="26"/>
    </w:rPr>
  </w:style>
  <w:style w:type="character" w:customStyle="1" w:styleId="Heading3Char">
    <w:name w:val="Heading 3 Char"/>
    <w:link w:val="Heading3"/>
    <w:uiPriority w:val="2"/>
    <w:locked/>
    <w:rsid w:val="00801530"/>
    <w:rPr>
      <w:rFonts w:ascii="Arial" w:hAnsi="Arial" w:cs="Arial"/>
      <w:b/>
      <w:bCs/>
      <w:sz w:val="24"/>
      <w:szCs w:val="24"/>
    </w:rPr>
  </w:style>
  <w:style w:type="character" w:customStyle="1" w:styleId="Heading4Char">
    <w:name w:val="Heading 4 Char"/>
    <w:link w:val="Heading4"/>
    <w:uiPriority w:val="6"/>
    <w:locked/>
    <w:rsid w:val="00801530"/>
    <w:rPr>
      <w:rFonts w:ascii="Arial" w:hAnsi="Arial" w:cs="Arial"/>
      <w:b/>
      <w:bCs/>
      <w:sz w:val="22"/>
      <w:szCs w:val="22"/>
    </w:rPr>
  </w:style>
  <w:style w:type="character" w:customStyle="1" w:styleId="Heading5Char">
    <w:name w:val="Heading 5 Char"/>
    <w:link w:val="Heading5"/>
    <w:uiPriority w:val="6"/>
    <w:locked/>
    <w:rsid w:val="00801530"/>
    <w:rPr>
      <w:rFonts w:ascii="Arial" w:hAnsi="Arial" w:cs="Arial"/>
      <w:b/>
      <w:bCs/>
      <w:iCs/>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3F5034"/>
    <w:pPr>
      <w:tabs>
        <w:tab w:val="center" w:pos="5387"/>
        <w:tab w:val="right" w:pos="10773"/>
      </w:tabs>
      <w:suppressAutoHyphens/>
      <w:spacing w:before="200"/>
    </w:pPr>
    <w:rPr>
      <w:rFonts w:ascii="Arial" w:hAnsi="Arial" w:cs="Arial"/>
      <w:sz w:val="18"/>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6848DA"/>
    <w:pPr>
      <w:suppressAutoHyphens/>
      <w:spacing w:before="80" w:after="80" w:line="264" w:lineRule="auto"/>
    </w:pPr>
    <w:rPr>
      <w:rFonts w:ascii="Arial" w:hAnsi="Arial" w:cs="Arial"/>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4D4603"/>
    <w:pPr>
      <w:numPr>
        <w:numId w:val="3"/>
      </w:numPr>
      <w:suppressAutoHyphens/>
      <w:spacing w:before="40" w:after="40" w:line="264" w:lineRule="auto"/>
    </w:pPr>
    <w:rPr>
      <w:rFonts w:ascii="Arial" w:hAnsi="Arial" w:cs="Arial"/>
      <w:szCs w:val="18"/>
    </w:rPr>
  </w:style>
  <w:style w:type="paragraph" w:styleId="ListBullet2">
    <w:name w:val="List Bullet 2"/>
    <w:link w:val="ListBullet2Char"/>
    <w:uiPriority w:val="3"/>
    <w:qFormat/>
    <w:rsid w:val="004D4603"/>
    <w:pPr>
      <w:numPr>
        <w:numId w:val="5"/>
      </w:numPr>
      <w:suppressAutoHyphens/>
      <w:spacing w:before="40" w:after="40" w:line="264" w:lineRule="auto"/>
    </w:pPr>
    <w:rPr>
      <w:rFonts w:ascii="Arial" w:hAnsi="Arial"/>
      <w:szCs w:val="24"/>
    </w:rPr>
  </w:style>
  <w:style w:type="paragraph" w:styleId="ListNumber">
    <w:name w:val="List Number"/>
    <w:link w:val="ListNumberChar"/>
    <w:uiPriority w:val="3"/>
    <w:rsid w:val="004D4603"/>
    <w:pPr>
      <w:numPr>
        <w:numId w:val="4"/>
      </w:numPr>
      <w:spacing w:before="40" w:after="40" w:line="264" w:lineRule="auto"/>
    </w:pPr>
    <w:rPr>
      <w:rFonts w:ascii="Arial" w:hAnsi="Arial"/>
      <w:szCs w:val="24"/>
    </w:rPr>
  </w:style>
  <w:style w:type="paragraph" w:styleId="ListNumber2">
    <w:name w:val="List Number 2"/>
    <w:link w:val="ListNumber2Char"/>
    <w:uiPriority w:val="5"/>
    <w:rsid w:val="004D4603"/>
    <w:pPr>
      <w:numPr>
        <w:numId w:val="7"/>
      </w:numPr>
      <w:spacing w:before="40" w:after="40" w:line="264" w:lineRule="auto"/>
    </w:pPr>
    <w:rPr>
      <w:rFonts w:ascii="Arial" w:hAnsi="Arial"/>
      <w:szCs w:val="24"/>
    </w:rPr>
  </w:style>
  <w:style w:type="paragraph" w:customStyle="1" w:styleId="TableText">
    <w:name w:val="Table Text"/>
    <w:basedOn w:val="BodyText"/>
    <w:uiPriority w:val="3"/>
    <w:qFormat/>
    <w:rsid w:val="004D4603"/>
    <w:pPr>
      <w:spacing w:line="240" w:lineRule="auto"/>
    </w:pPr>
    <w:rPr>
      <w:szCs w:val="20"/>
    </w:rPr>
  </w:style>
  <w:style w:type="paragraph" w:styleId="ListNumber3">
    <w:name w:val="List Number 3"/>
    <w:basedOn w:val="Normal"/>
    <w:uiPriority w:val="5"/>
    <w:rsid w:val="00233F44"/>
    <w:pPr>
      <w:numPr>
        <w:numId w:val="8"/>
      </w:numPr>
      <w:spacing w:before="40" w:after="40" w:line="264" w:lineRule="auto"/>
      <w:ind w:left="1020" w:hanging="340"/>
    </w:pPr>
    <w:rPr>
      <w:sz w:val="20"/>
    </w:rPr>
  </w:style>
  <w:style w:type="character" w:customStyle="1" w:styleId="BodyTextChar">
    <w:name w:val="Body Text Char"/>
    <w:link w:val="BodyText"/>
    <w:rsid w:val="006848DA"/>
    <w:rPr>
      <w:rFonts w:ascii="Arial" w:hAnsi="Arial" w:cs="Arial"/>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BD6B17"/>
    <w:pPr>
      <w:spacing w:line="264" w:lineRule="auto"/>
    </w:pPr>
    <w:rPr>
      <w:color w:val="636363"/>
      <w:szCs w:val="18"/>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3F5034"/>
    <w:rPr>
      <w:rFonts w:ascii="Arial" w:hAnsi="Arial" w:cs="Arial"/>
      <w:sz w:val="18"/>
      <w:szCs w:val="16"/>
    </w:rPr>
  </w:style>
  <w:style w:type="character" w:customStyle="1" w:styleId="Heading1Char">
    <w:name w:val="Heading 1 Char"/>
    <w:link w:val="Heading1"/>
    <w:uiPriority w:val="2"/>
    <w:rsid w:val="007864F0"/>
    <w:rPr>
      <w:rFonts w:ascii="Arial" w:hAnsi="Arial" w:cs="Arial"/>
      <w:b/>
      <w:bCs/>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4D4603"/>
    <w:rPr>
      <w:rFonts w:ascii="Arial" w:hAnsi="Arial" w:cs="Arial"/>
      <w:szCs w:val="18"/>
    </w:rPr>
  </w:style>
  <w:style w:type="character" w:customStyle="1" w:styleId="ListBullet2Char">
    <w:name w:val="List Bullet 2 Char"/>
    <w:link w:val="ListBullet2"/>
    <w:uiPriority w:val="3"/>
    <w:rsid w:val="004D4603"/>
    <w:rPr>
      <w:rFonts w:ascii="Arial" w:hAnsi="Arial"/>
      <w:szCs w:val="24"/>
    </w:rPr>
  </w:style>
  <w:style w:type="character" w:styleId="Strong">
    <w:name w:val="Strong"/>
    <w:uiPriority w:val="4"/>
    <w:qFormat/>
    <w:rsid w:val="00DF6A8D"/>
    <w:rPr>
      <w:b/>
      <w:bCs/>
    </w:rPr>
  </w:style>
  <w:style w:type="paragraph" w:styleId="ListBullet3">
    <w:name w:val="List Bullet 3"/>
    <w:basedOn w:val="Normal"/>
    <w:uiPriority w:val="3"/>
    <w:rsid w:val="00233F44"/>
    <w:pPr>
      <w:numPr>
        <w:numId w:val="6"/>
      </w:numPr>
      <w:spacing w:before="40" w:after="40" w:line="264" w:lineRule="auto"/>
      <w:ind w:left="1020" w:hanging="340"/>
    </w:pPr>
    <w:rPr>
      <w:sz w:val="20"/>
    </w:rPr>
  </w:style>
  <w:style w:type="character" w:customStyle="1" w:styleId="ListNumberChar">
    <w:name w:val="List Number Char"/>
    <w:link w:val="ListNumber"/>
    <w:uiPriority w:val="3"/>
    <w:rsid w:val="004D4603"/>
    <w:rPr>
      <w:rFonts w:ascii="Arial" w:hAnsi="Arial"/>
      <w:szCs w:val="24"/>
    </w:rPr>
  </w:style>
  <w:style w:type="character" w:customStyle="1" w:styleId="ListNumber2Char">
    <w:name w:val="List Number 2 Char"/>
    <w:link w:val="ListNumber2"/>
    <w:uiPriority w:val="5"/>
    <w:rsid w:val="004D4603"/>
    <w:rPr>
      <w:rFonts w:ascii="Arial" w:hAnsi="Arial"/>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SectionLevelHeading">
    <w:name w:val="Section Level Heading"/>
    <w:basedOn w:val="Normal"/>
    <w:link w:val="SectionLevelHeadingChar"/>
    <w:qFormat/>
    <w:rsid w:val="00551483"/>
    <w:pPr>
      <w:tabs>
        <w:tab w:val="right" w:pos="680"/>
      </w:tabs>
      <w:overflowPunct w:val="0"/>
      <w:autoSpaceDE w:val="0"/>
      <w:autoSpaceDN w:val="0"/>
      <w:adjustRightInd w:val="0"/>
      <w:spacing w:before="40" w:after="40"/>
      <w:ind w:left="851" w:hanging="851"/>
      <w:textAlignment w:val="baseline"/>
      <w:outlineLvl w:val="2"/>
    </w:pPr>
    <w:rPr>
      <w:rFonts w:ascii="Times New Roman" w:hAnsi="Times New Roman"/>
      <w:b/>
      <w:sz w:val="24"/>
      <w:szCs w:val="20"/>
      <w:lang w:eastAsia="en-US"/>
    </w:rPr>
  </w:style>
  <w:style w:type="character" w:customStyle="1" w:styleId="SectionLevelHeadingChar">
    <w:name w:val="Section Level Heading Char"/>
    <w:link w:val="SectionLevelHeading"/>
    <w:rsid w:val="00551483"/>
    <w:rPr>
      <w:b/>
      <w:sz w:val="24"/>
      <w:lang w:eastAsia="en-US"/>
    </w:rPr>
  </w:style>
  <w:style w:type="paragraph" w:styleId="TOC5">
    <w:name w:val="toc 5"/>
    <w:basedOn w:val="Normal"/>
    <w:next w:val="Normal"/>
    <w:autoRedefine/>
    <w:uiPriority w:val="98"/>
    <w:semiHidden/>
    <w:rsid w:val="00E25CB1"/>
    <w:pPr>
      <w:spacing w:after="100"/>
      <w:ind w:left="720"/>
    </w:pPr>
  </w:style>
  <w:style w:type="paragraph" w:styleId="TOC7">
    <w:name w:val="toc 7"/>
    <w:basedOn w:val="Normal"/>
    <w:next w:val="Normal"/>
    <w:autoRedefine/>
    <w:uiPriority w:val="98"/>
    <w:semiHidden/>
    <w:rsid w:val="00190B84"/>
    <w:pPr>
      <w:spacing w:after="100"/>
      <w:ind w:left="1080"/>
    </w:pPr>
  </w:style>
  <w:style w:type="paragraph" w:customStyle="1" w:styleId="TableText-ListIndent">
    <w:name w:val="Table Text - List Indent"/>
    <w:rsid w:val="00190B84"/>
    <w:pPr>
      <w:numPr>
        <w:numId w:val="9"/>
      </w:numPr>
      <w:spacing w:before="60" w:after="60"/>
    </w:pPr>
    <w:rPr>
      <w:rFonts w:ascii="Arial" w:eastAsia="Times"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64CAE-2232-497D-932B-543D1E5EB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Detailed Reference Guide 28: Where and how is rent to be paid</vt:lpstr>
    </vt:vector>
  </TitlesOfParts>
  <Company>Department of Justice and Community Safety</Company>
  <LinksUpToDate>false</LinksUpToDate>
  <CharactersWithSpaces>2120</CharactersWithSpaces>
  <SharedDoc>false</SharedDoc>
  <HyperlinkBase/>
  <HLinks>
    <vt:vector size="6" baseType="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Reference Guide 28: Where and how is rent to be paid</dc:title>
  <dc:subject/>
  <dc:creator>Consumer Affairs Victoria</dc:creator>
  <cp:keywords/>
  <cp:lastModifiedBy>David S</cp:lastModifiedBy>
  <cp:revision>5</cp:revision>
  <cp:lastPrinted>2016-05-23T03:42:00Z</cp:lastPrinted>
  <dcterms:created xsi:type="dcterms:W3CDTF">2020-04-30T03:30:00Z</dcterms:created>
  <dcterms:modified xsi:type="dcterms:W3CDTF">2020-10-05T06:36:00Z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
  </property>
</Properties>
</file>