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DF" w:rsidRPr="00093B36" w:rsidRDefault="00167DDF" w:rsidP="00167DDF">
      <w:pPr>
        <w:pStyle w:val="CAVheading1"/>
      </w:pPr>
      <w:r>
        <w:t>Long-term leasing</w:t>
      </w:r>
    </w:p>
    <w:p w:rsidR="00555ADD" w:rsidRPr="001467DC" w:rsidRDefault="00167DDF" w:rsidP="00E91933">
      <w:pPr>
        <w:pStyle w:val="CAVdocumentsubtitle"/>
        <w:rPr>
          <w:color w:val="auto"/>
          <w:sz w:val="40"/>
          <w:szCs w:val="40"/>
        </w:rPr>
      </w:pPr>
      <w:r w:rsidRPr="00167DDF">
        <w:rPr>
          <w:color w:val="000000" w:themeColor="text1"/>
          <w:sz w:val="40"/>
          <w:szCs w:val="40"/>
        </w:rPr>
        <w:t xml:space="preserve">Information for </w:t>
      </w:r>
      <w:r w:rsidRPr="001467DC">
        <w:rPr>
          <w:color w:val="auto"/>
          <w:sz w:val="40"/>
          <w:szCs w:val="40"/>
        </w:rPr>
        <w:t>tenants</w:t>
      </w:r>
    </w:p>
    <w:p w:rsidR="00167DDF" w:rsidRPr="00167DDF" w:rsidRDefault="00167DDF" w:rsidP="00167DDF">
      <w:pPr>
        <w:pStyle w:val="Heading1"/>
      </w:pPr>
      <w:r w:rsidRPr="00167DDF">
        <w:t>How to use this kit</w:t>
      </w:r>
    </w:p>
    <w:p w:rsidR="00167DDF" w:rsidRDefault="00167DDF" w:rsidP="00167DDF">
      <w:pPr>
        <w:pStyle w:val="CAVbody"/>
      </w:pPr>
      <w:bookmarkStart w:id="0" w:name="_Toc523990832"/>
      <w:r w:rsidRPr="005779F4">
        <w:t>Consumer Affairs Victoria has developed this kit for tenant advocacy groups</w:t>
      </w:r>
      <w:r>
        <w:t>;</w:t>
      </w:r>
      <w:r w:rsidRPr="005779F4">
        <w:t xml:space="preserve"> social housing bodies</w:t>
      </w:r>
      <w:r>
        <w:t>;</w:t>
      </w:r>
      <w:r w:rsidRPr="005779F4">
        <w:t xml:space="preserve"> real estate agencies</w:t>
      </w:r>
      <w:r>
        <w:t>;</w:t>
      </w:r>
      <w:r w:rsidRPr="005779F4">
        <w:t xml:space="preserve"> and other related bodies to raise awareness of a new lease agreement option in the Victorian housing market. </w:t>
      </w:r>
      <w:r>
        <w:t>We invite you to share this content on your communication channels, as is or adjusted to meet your audiences’ needs</w:t>
      </w:r>
      <w:r w:rsidRPr="005779F4">
        <w:t xml:space="preserve">. </w:t>
      </w:r>
    </w:p>
    <w:p w:rsidR="00167DDF" w:rsidRPr="00497811" w:rsidRDefault="00167DDF" w:rsidP="00167DDF">
      <w:pPr>
        <w:pStyle w:val="CAVbody"/>
      </w:pPr>
      <w:r>
        <w:t xml:space="preserve">For more information, visit the </w:t>
      </w:r>
      <w:r w:rsidRPr="00D51E43">
        <w:t>Long-term leases</w:t>
      </w:r>
      <w:r>
        <w:t xml:space="preserve"> page on the Consumer Affairs Victoria website: </w:t>
      </w:r>
      <w:hyperlink r:id="rId8" w:history="1">
        <w:r w:rsidRPr="00AD1255">
          <w:rPr>
            <w:rStyle w:val="Hyperlink"/>
            <w:rFonts w:ascii="Calibri" w:hAnsi="Calibri" w:cs="Calibri"/>
          </w:rPr>
          <w:t>consumer.vic.gov.au/LTL</w:t>
        </w:r>
      </w:hyperlink>
      <w:r>
        <w:t xml:space="preserve">. </w:t>
      </w:r>
    </w:p>
    <w:p w:rsidR="00167DDF" w:rsidRPr="005779F4" w:rsidRDefault="00167DDF" w:rsidP="00167DDF">
      <w:pPr>
        <w:pStyle w:val="CAVbody"/>
      </w:pPr>
      <w:r w:rsidRPr="005779F4">
        <w:t xml:space="preserve">This kit contains: </w:t>
      </w:r>
    </w:p>
    <w:p w:rsidR="00167DDF" w:rsidRPr="005779F4" w:rsidRDefault="00167DDF" w:rsidP="00884ECB">
      <w:pPr>
        <w:pStyle w:val="CAVbody"/>
        <w:numPr>
          <w:ilvl w:val="0"/>
          <w:numId w:val="42"/>
        </w:numPr>
      </w:pPr>
      <w:r>
        <w:rPr>
          <w:b/>
        </w:rPr>
        <w:t>Long article</w:t>
      </w:r>
      <w:r w:rsidRPr="005779F4">
        <w:t xml:space="preserve"> – example</w:t>
      </w:r>
      <w:r>
        <w:t>,</w:t>
      </w:r>
      <w:r w:rsidRPr="005779F4">
        <w:t xml:space="preserve"> for use in printed and online newsletters</w:t>
      </w:r>
    </w:p>
    <w:p w:rsidR="00167DDF" w:rsidRPr="005779F4" w:rsidRDefault="00167DDF" w:rsidP="00884ECB">
      <w:pPr>
        <w:pStyle w:val="CAVbody"/>
        <w:numPr>
          <w:ilvl w:val="0"/>
          <w:numId w:val="42"/>
        </w:numPr>
      </w:pPr>
      <w:r w:rsidRPr="005779F4">
        <w:rPr>
          <w:b/>
        </w:rPr>
        <w:t>Short article</w:t>
      </w:r>
      <w:r w:rsidRPr="005779F4">
        <w:t xml:space="preserve"> – example</w:t>
      </w:r>
      <w:r>
        <w:t>,</w:t>
      </w:r>
      <w:r w:rsidRPr="005779F4">
        <w:t xml:space="preserve"> for use in your email newsletter or website</w:t>
      </w:r>
    </w:p>
    <w:p w:rsidR="00167DDF" w:rsidRPr="005779F4" w:rsidRDefault="00167DDF" w:rsidP="00884ECB">
      <w:pPr>
        <w:pStyle w:val="CAVbody"/>
        <w:numPr>
          <w:ilvl w:val="0"/>
          <w:numId w:val="42"/>
        </w:numPr>
      </w:pPr>
      <w:r w:rsidRPr="005779F4">
        <w:rPr>
          <w:b/>
        </w:rPr>
        <w:t>Social media posts</w:t>
      </w:r>
      <w:r w:rsidR="00A411FC">
        <w:rPr>
          <w:b/>
        </w:rPr>
        <w:t xml:space="preserve"> </w:t>
      </w:r>
      <w:r w:rsidRPr="005779F4">
        <w:t>– for p</w:t>
      </w:r>
      <w:bookmarkStart w:id="1" w:name="_GoBack"/>
      <w:bookmarkEnd w:id="1"/>
      <w:r w:rsidRPr="005779F4">
        <w:t>osting on your social accounts</w:t>
      </w:r>
    </w:p>
    <w:p w:rsidR="00167DDF" w:rsidRPr="005779F4" w:rsidRDefault="00167DDF" w:rsidP="00884ECB">
      <w:pPr>
        <w:pStyle w:val="CAVbody"/>
        <w:numPr>
          <w:ilvl w:val="0"/>
          <w:numId w:val="42"/>
        </w:numPr>
        <w:rPr>
          <w:b/>
        </w:rPr>
      </w:pPr>
      <w:r>
        <w:rPr>
          <w:b/>
        </w:rPr>
        <w:t>Fact</w:t>
      </w:r>
      <w:r w:rsidR="00884ECB">
        <w:rPr>
          <w:b/>
        </w:rPr>
        <w:t xml:space="preserve"> </w:t>
      </w:r>
      <w:r>
        <w:rPr>
          <w:b/>
        </w:rPr>
        <w:t>sheet</w:t>
      </w:r>
      <w:r w:rsidRPr="005779F4">
        <w:t xml:space="preserve"> – to help you understand and explain key points of this reform with your stakeholders</w:t>
      </w:r>
      <w:r w:rsidR="00884ECB">
        <w:t>.</w:t>
      </w:r>
    </w:p>
    <w:bookmarkEnd w:id="0"/>
    <w:p w:rsidR="00167DDF" w:rsidRPr="005779F4" w:rsidRDefault="00167DDF" w:rsidP="00167DDF">
      <w:pPr>
        <w:pStyle w:val="Heading2"/>
      </w:pPr>
      <w:r w:rsidRPr="005779F4">
        <w:t xml:space="preserve">LTL </w:t>
      </w:r>
      <w:r>
        <w:t>t</w:t>
      </w:r>
      <w:r w:rsidRPr="005779F4">
        <w:t>enant</w:t>
      </w:r>
      <w:r>
        <w:t>s’</w:t>
      </w:r>
      <w:r w:rsidRPr="005779F4">
        <w:t xml:space="preserve"> stakeholder kit – Long article</w:t>
      </w:r>
    </w:p>
    <w:p w:rsidR="00167DDF" w:rsidRDefault="00167DDF" w:rsidP="00167DDF">
      <w:pPr>
        <w:pStyle w:val="Heading3"/>
      </w:pPr>
      <w:bookmarkStart w:id="2" w:name="_Toc256778633"/>
      <w:r w:rsidRPr="00EF680D">
        <w:t>Love where you are renting? Tenants can now sign up for tailored long-term leases.</w:t>
      </w:r>
    </w:p>
    <w:p w:rsidR="00167DDF" w:rsidRDefault="00167DDF" w:rsidP="00167DDF">
      <w:pPr>
        <w:pStyle w:val="CAVbody"/>
      </w:pPr>
      <w:proofErr w:type="gramStart"/>
      <w:r w:rsidRPr="005779F4">
        <w:t>Moving house</w:t>
      </w:r>
      <w:proofErr w:type="gramEnd"/>
      <w:r w:rsidRPr="005779F4">
        <w:t xml:space="preserve"> can be a lot of work, especially when </w:t>
      </w:r>
      <w:r>
        <w:t>you have</w:t>
      </w:r>
      <w:r w:rsidRPr="005779F4">
        <w:t xml:space="preserve"> grown to love where you are staying. Attending inspections, putting in applications, packing and moving</w:t>
      </w:r>
      <w:r>
        <w:t>,</w:t>
      </w:r>
      <w:r w:rsidRPr="005779F4">
        <w:t xml:space="preserve"> impact on your time and the household budget are things to consider when planning a move to a new rental. </w:t>
      </w:r>
    </w:p>
    <w:p w:rsidR="00167DDF" w:rsidRPr="005779F4" w:rsidRDefault="00167DDF" w:rsidP="00167DDF">
      <w:pPr>
        <w:pStyle w:val="CAVbody"/>
      </w:pPr>
      <w:r w:rsidRPr="005779F4">
        <w:t>An Australian Bureau of Statistics survey found that Victorians spen</w:t>
      </w:r>
      <w:r>
        <w:t>t</w:t>
      </w:r>
      <w:r w:rsidRPr="005779F4">
        <w:t xml:space="preserve"> 20</w:t>
      </w:r>
      <w:r>
        <w:t xml:space="preserve"> per cent</w:t>
      </w:r>
      <w:r w:rsidRPr="005779F4">
        <w:t xml:space="preserve"> of their household income on rent and associated housing costs</w:t>
      </w:r>
      <w:r>
        <w:t xml:space="preserve"> </w:t>
      </w:r>
      <w:r w:rsidRPr="005779F4">
        <w:t xml:space="preserve">in 2015-2016.   </w:t>
      </w:r>
    </w:p>
    <w:p w:rsidR="00167DDF" w:rsidRPr="005779F4" w:rsidRDefault="00167DDF" w:rsidP="00167DDF">
      <w:pPr>
        <w:pStyle w:val="CAVbody"/>
      </w:pPr>
      <w:r w:rsidRPr="005779F4">
        <w:t xml:space="preserve">If you love where </w:t>
      </w:r>
      <w:r>
        <w:t>you are</w:t>
      </w:r>
      <w:r w:rsidRPr="005779F4">
        <w:t xml:space="preserve"> renting and prefer to stay where you are for the next five years or more</w:t>
      </w:r>
      <w:r>
        <w:t xml:space="preserve"> – this could be because your home is close to work</w:t>
      </w:r>
      <w:r w:rsidRPr="005779F4">
        <w:t xml:space="preserve">, school or </w:t>
      </w:r>
      <w:r>
        <w:t>leisure activities -</w:t>
      </w:r>
      <w:r w:rsidRPr="005779F4">
        <w:t xml:space="preserve"> a long-term lease might be </w:t>
      </w:r>
      <w:r>
        <w:t>right for you</w:t>
      </w:r>
      <w:r w:rsidRPr="005779F4">
        <w:t>.</w:t>
      </w:r>
    </w:p>
    <w:p w:rsidR="00167DDF" w:rsidRDefault="00167DDF" w:rsidP="00167DDF">
      <w:pPr>
        <w:pStyle w:val="CAVbody"/>
      </w:pPr>
      <w:r>
        <w:lastRenderedPageBreak/>
        <w:t>Long-term leasing can offer many benefits, such as:</w:t>
      </w:r>
      <w:r w:rsidRPr="005779F4">
        <w:t xml:space="preserve"> </w:t>
      </w:r>
    </w:p>
    <w:p w:rsidR="00167DDF" w:rsidRDefault="00167DDF" w:rsidP="00167DDF">
      <w:pPr>
        <w:pStyle w:val="CAVbullet1"/>
      </w:pPr>
      <w:r w:rsidRPr="005779F4">
        <w:t>security of tenancy</w:t>
      </w:r>
    </w:p>
    <w:p w:rsidR="00167DDF" w:rsidRDefault="00167DDF" w:rsidP="00167DDF">
      <w:pPr>
        <w:pStyle w:val="CAVbullet1"/>
      </w:pPr>
      <w:r w:rsidRPr="005779F4">
        <w:t xml:space="preserve">agreement in advance between you and the landlord on the </w:t>
      </w:r>
      <w:r>
        <w:t xml:space="preserve">rent </w:t>
      </w:r>
      <w:r w:rsidRPr="005779F4">
        <w:t xml:space="preserve">amount and frequency of rent increases </w:t>
      </w:r>
    </w:p>
    <w:p w:rsidR="00167DDF" w:rsidRDefault="00167DDF" w:rsidP="00167DDF">
      <w:pPr>
        <w:pStyle w:val="CAVbullet1"/>
      </w:pPr>
      <w:r>
        <w:t>allowing you to make</w:t>
      </w:r>
      <w:r w:rsidRPr="005779F4">
        <w:t xml:space="preserve"> minor modif</w:t>
      </w:r>
      <w:r>
        <w:t>i</w:t>
      </w:r>
      <w:r w:rsidRPr="005779F4">
        <w:t>cations</w:t>
      </w:r>
      <w:r>
        <w:t xml:space="preserve"> to the property. </w:t>
      </w:r>
      <w:r w:rsidRPr="005779F4">
        <w:t xml:space="preserve"> </w:t>
      </w:r>
    </w:p>
    <w:p w:rsidR="00167DDF" w:rsidRPr="005779F4" w:rsidRDefault="00167DDF" w:rsidP="00167DDF">
      <w:pPr>
        <w:pStyle w:val="CAVbullet1"/>
      </w:pPr>
      <w:r w:rsidRPr="005779F4">
        <w:t>Long-term leases can help you keep the rental budget in check and plan the future with more certainty.</w:t>
      </w:r>
    </w:p>
    <w:p w:rsidR="00167DDF" w:rsidRPr="00A62183" w:rsidRDefault="00167DDF" w:rsidP="00167DDF">
      <w:pPr>
        <w:pStyle w:val="Heading4"/>
      </w:pPr>
      <w:r w:rsidRPr="00A62183">
        <w:t>What is different about a long-term lease?</w:t>
      </w:r>
    </w:p>
    <w:p w:rsidR="00167DDF" w:rsidRDefault="00167DDF" w:rsidP="00167DDF">
      <w:pPr>
        <w:pStyle w:val="CAVbody"/>
      </w:pPr>
      <w:r w:rsidRPr="005779F4">
        <w:t xml:space="preserve">Long-term leases allow you to tailor the lease to suit you and your landlord’s circumstances for a rental period of more than five years.  You can use the existing agreement (Form 1) (which can now be used for both short and long-term leases) or the new Form 2 for long-term leases. </w:t>
      </w:r>
    </w:p>
    <w:p w:rsidR="00167DDF" w:rsidRPr="005779F4" w:rsidRDefault="00167DDF" w:rsidP="00167DDF">
      <w:pPr>
        <w:pStyle w:val="CAVbody"/>
      </w:pPr>
      <w:r>
        <w:t xml:space="preserve">Note: </w:t>
      </w:r>
      <w:r w:rsidRPr="005779F4">
        <w:t xml:space="preserve">Form 2 offers additional benefits, some of which are listed below. </w:t>
      </w:r>
      <w:bookmarkStart w:id="3" w:name="_Hlk5189321"/>
      <w:r w:rsidRPr="005779F4">
        <w:t xml:space="preserve">Find out more on </w:t>
      </w:r>
      <w:r>
        <w:t xml:space="preserve">the </w:t>
      </w:r>
      <w:r w:rsidRPr="00D51E43">
        <w:t>Long-term leases</w:t>
      </w:r>
      <w:r>
        <w:t xml:space="preserve"> page on the Consumer Affairs Victoria website: </w:t>
      </w:r>
      <w:hyperlink r:id="rId9" w:history="1">
        <w:r w:rsidRPr="00AD1255">
          <w:rPr>
            <w:rStyle w:val="Hyperlink"/>
            <w:rFonts w:ascii="Calibri" w:hAnsi="Calibri" w:cs="Calibri"/>
          </w:rPr>
          <w:t>consumer.vic.gov.au/LTL</w:t>
        </w:r>
      </w:hyperlink>
      <w:r w:rsidRPr="005779F4">
        <w:t xml:space="preserve">. </w:t>
      </w:r>
    </w:p>
    <w:bookmarkEnd w:id="3"/>
    <w:p w:rsidR="00167DDF" w:rsidRPr="00167DDF" w:rsidRDefault="00167DDF" w:rsidP="00167DDF">
      <w:pPr>
        <w:pStyle w:val="Heading4"/>
      </w:pPr>
      <w:r w:rsidRPr="00167DDF">
        <w:t>Rental bonds</w:t>
      </w:r>
    </w:p>
    <w:p w:rsidR="00167DDF" w:rsidRPr="005779F4" w:rsidRDefault="00167DDF" w:rsidP="00167DDF">
      <w:pPr>
        <w:pStyle w:val="CAVbody"/>
      </w:pPr>
      <w:r w:rsidRPr="005779F4">
        <w:t xml:space="preserve">The landlord can ask you to top-up the bond amount after five years, if there are at least five years remaining on the lease. </w:t>
      </w:r>
      <w:bookmarkStart w:id="4" w:name="_Hlk5188286"/>
    </w:p>
    <w:bookmarkEnd w:id="4"/>
    <w:p w:rsidR="00167DDF" w:rsidRPr="005779F4" w:rsidRDefault="00167DDF" w:rsidP="00167DDF">
      <w:pPr>
        <w:pStyle w:val="Heading4"/>
      </w:pPr>
      <w:r w:rsidRPr="005779F4">
        <w:t>Rent increases</w:t>
      </w:r>
    </w:p>
    <w:p w:rsidR="00167DDF" w:rsidRPr="005779F4" w:rsidRDefault="00167DDF" w:rsidP="00167DDF">
      <w:pPr>
        <w:pStyle w:val="CAVbody"/>
      </w:pPr>
      <w:r w:rsidRPr="005779F4">
        <w:t>The landlord can increase the rent every 12 months and you both can agree on how the increase will be calculated</w:t>
      </w:r>
      <w:r>
        <w:t xml:space="preserve"> – this may be</w:t>
      </w:r>
      <w:r w:rsidRPr="005779F4">
        <w:t xml:space="preserve"> by a fixed </w:t>
      </w:r>
      <w:r w:rsidRPr="00EF680D">
        <w:t xml:space="preserve">dollar amount or percentage, the Consumer Price Index (CPI) or State-wide Rent Index (SRI). </w:t>
      </w:r>
      <w:bookmarkStart w:id="5" w:name="_Hlk5188293"/>
    </w:p>
    <w:bookmarkEnd w:id="5"/>
    <w:p w:rsidR="00167DDF" w:rsidRPr="005779F4" w:rsidRDefault="00167DDF" w:rsidP="00167DDF">
      <w:pPr>
        <w:pStyle w:val="Heading3"/>
        <w:rPr>
          <w:rFonts w:ascii="Calibri" w:hAnsi="Calibri" w:cs="Calibri"/>
        </w:rPr>
      </w:pPr>
      <w:r w:rsidRPr="005779F4">
        <w:rPr>
          <w:rFonts w:ascii="Calibri" w:hAnsi="Calibri" w:cs="Calibri"/>
        </w:rPr>
        <w:t>Property modifications and inspections</w:t>
      </w:r>
    </w:p>
    <w:p w:rsidR="00167DDF" w:rsidRPr="005779F4" w:rsidRDefault="00167DDF" w:rsidP="00167DDF">
      <w:pPr>
        <w:pStyle w:val="CAVbody"/>
      </w:pPr>
      <w:r w:rsidRPr="005779F4">
        <w:t xml:space="preserve">You must get your landlord’s written permission before </w:t>
      </w:r>
      <w:r>
        <w:t xml:space="preserve">you make </w:t>
      </w:r>
      <w:r w:rsidRPr="005779F4">
        <w:t>any changes to the property. The landlord can also state in the lease agreement certain modifications that they are happy for you to make during the lease period. This allows you to make these changes without getting your landlord’s written permission, as it is already written into the lease.</w:t>
      </w:r>
    </w:p>
    <w:p w:rsidR="00167DDF" w:rsidRDefault="00167DDF" w:rsidP="00167DDF">
      <w:pPr>
        <w:pStyle w:val="CAVbody"/>
      </w:pPr>
      <w:r w:rsidRPr="005779F4">
        <w:t>Your landlord or property manager can inspect the property every 12 months</w:t>
      </w:r>
      <w:bookmarkStart w:id="6" w:name="_Hlk5188304"/>
      <w:r w:rsidRPr="005779F4">
        <w:t xml:space="preserve">. </w:t>
      </w:r>
    </w:p>
    <w:bookmarkEnd w:id="6"/>
    <w:p w:rsidR="00167DDF" w:rsidRPr="00A62183" w:rsidRDefault="00167DDF" w:rsidP="00167DDF">
      <w:pPr>
        <w:pStyle w:val="Heading4"/>
      </w:pPr>
      <w:r w:rsidRPr="00A62183">
        <w:t>Breach of Duty</w:t>
      </w:r>
    </w:p>
    <w:p w:rsidR="00167DDF" w:rsidRPr="00497811" w:rsidRDefault="00167DDF" w:rsidP="00167DDF">
      <w:pPr>
        <w:pStyle w:val="CAVbody"/>
      </w:pPr>
      <w:r w:rsidRPr="00497811">
        <w:t xml:space="preserve">In a long-term lease, the landlord </w:t>
      </w:r>
      <w:r>
        <w:t xml:space="preserve">or tenant </w:t>
      </w:r>
      <w:r w:rsidRPr="00497811">
        <w:t xml:space="preserve">can apply to the Victorian Civil and Administrative Tribunal (VCAT) for a compliance order after serving one </w:t>
      </w:r>
      <w:r>
        <w:t>B</w:t>
      </w:r>
      <w:r w:rsidRPr="00497811">
        <w:t xml:space="preserve">reach of </w:t>
      </w:r>
      <w:r>
        <w:t>D</w:t>
      </w:r>
      <w:r w:rsidRPr="00497811">
        <w:t xml:space="preserve">uty notice. In a short-term lease, the landlord </w:t>
      </w:r>
      <w:r>
        <w:t xml:space="preserve">or tenant </w:t>
      </w:r>
      <w:r w:rsidRPr="00497811">
        <w:t xml:space="preserve">can only do this after giving the </w:t>
      </w:r>
      <w:r>
        <w:t xml:space="preserve">other party </w:t>
      </w:r>
      <w:r w:rsidRPr="00497811">
        <w:t xml:space="preserve">three </w:t>
      </w:r>
      <w:r>
        <w:t>B</w:t>
      </w:r>
      <w:r w:rsidRPr="00497811">
        <w:t xml:space="preserve">reach of </w:t>
      </w:r>
      <w:r>
        <w:t>D</w:t>
      </w:r>
      <w:r w:rsidRPr="00497811">
        <w:t xml:space="preserve">uty notices.  </w:t>
      </w:r>
    </w:p>
    <w:p w:rsidR="00167DDF" w:rsidRPr="00F50BF6" w:rsidRDefault="00167DDF" w:rsidP="00167DDF">
      <w:pPr>
        <w:pStyle w:val="Heading4"/>
      </w:pPr>
      <w:r w:rsidRPr="00F50BF6">
        <w:lastRenderedPageBreak/>
        <w:t>Ending a long-term lease agreement</w:t>
      </w:r>
    </w:p>
    <w:p w:rsidR="00167DDF" w:rsidRPr="005779F4" w:rsidRDefault="00167DDF" w:rsidP="00167DDF">
      <w:pPr>
        <w:pStyle w:val="CAVbody"/>
      </w:pPr>
      <w:r w:rsidRPr="005779F4">
        <w:t xml:space="preserve">The landlord cannot shorten the term of the lease agreement unless you agree, or unless you break one of the rules that allows the landlord to give you a notice to vacate. You or the landlord can still apply to the Victorian Civil and Administrative Tribunal (VCAT) if either of you needs to end the lease early due to hardship reasons. </w:t>
      </w:r>
    </w:p>
    <w:p w:rsidR="00167DDF" w:rsidRPr="00783CC9" w:rsidRDefault="00167DDF" w:rsidP="00167DDF">
      <w:pPr>
        <w:pStyle w:val="Heading4"/>
      </w:pPr>
      <w:r w:rsidRPr="00783CC9">
        <w:t>Find out if a long-term lease is right for you</w:t>
      </w:r>
    </w:p>
    <w:p w:rsidR="00167DDF" w:rsidRPr="00497811" w:rsidRDefault="00167DDF" w:rsidP="00167DDF">
      <w:pPr>
        <w:pStyle w:val="CAVbody"/>
        <w:rPr>
          <w:noProof/>
        </w:rPr>
      </w:pPr>
      <w:r>
        <w:t>Consumer Affairs Victoria’s</w:t>
      </w:r>
      <w:r w:rsidRPr="00497811">
        <w:t xml:space="preserve"> </w:t>
      </w:r>
      <w:r>
        <w:t xml:space="preserve">new </w:t>
      </w:r>
      <w:hyperlink r:id="rId10" w:history="1">
        <w:r w:rsidRPr="00243B99">
          <w:rPr>
            <w:rStyle w:val="Hyperlink"/>
            <w:rFonts w:ascii="Calibri" w:hAnsi="Calibri" w:cs="Calibri"/>
          </w:rPr>
          <w:t>navigation tool</w:t>
        </w:r>
      </w:hyperlink>
      <w:r w:rsidRPr="00497811">
        <w:t xml:space="preserve"> can help you decide whether a long-term lease is right for </w:t>
      </w:r>
      <w:r>
        <w:t>you</w:t>
      </w:r>
      <w:r w:rsidRPr="00497811">
        <w:t>.</w:t>
      </w:r>
      <w:r>
        <w:t xml:space="preserve">  </w:t>
      </w:r>
    </w:p>
    <w:p w:rsidR="00167DDF" w:rsidRPr="00F50BF6" w:rsidRDefault="00167DDF" w:rsidP="00167DDF">
      <w:pPr>
        <w:pStyle w:val="Heading4"/>
      </w:pPr>
      <w:r w:rsidRPr="00F50BF6">
        <w:t>How to get a long-term lease</w:t>
      </w:r>
    </w:p>
    <w:p w:rsidR="00167DDF" w:rsidRPr="005779F4" w:rsidRDefault="00167DDF" w:rsidP="00167DDF">
      <w:pPr>
        <w:pStyle w:val="CAVbody"/>
      </w:pPr>
      <w:r w:rsidRPr="005779F4">
        <w:t xml:space="preserve">If you are happy with your current tenancy arrangement and would like to continue it for more than five years, speak </w:t>
      </w:r>
      <w:r>
        <w:t>with</w:t>
      </w:r>
      <w:r w:rsidRPr="005779F4">
        <w:t xml:space="preserve"> your landlord about switching to a long-term lease. Make sure you negotiate the terms of the long-term lease agreement before ending the existing lease.</w:t>
      </w:r>
    </w:p>
    <w:p w:rsidR="00167DDF" w:rsidRPr="005779F4" w:rsidRDefault="00167DDF" w:rsidP="00167DDF">
      <w:pPr>
        <w:pStyle w:val="CAVbody"/>
      </w:pPr>
      <w:r w:rsidRPr="005779F4">
        <w:t xml:space="preserve">If you are looking to rent a property for the first time, </w:t>
      </w:r>
      <w:r>
        <w:t xml:space="preserve">it is </w:t>
      </w:r>
      <w:r w:rsidRPr="005779F4">
        <w:t xml:space="preserve">a good idea to start with a short-term lease – for example, 12 months – to see if the arrangement is right for you. If you decide </w:t>
      </w:r>
      <w:r>
        <w:t>you are</w:t>
      </w:r>
      <w:r w:rsidRPr="005779F4">
        <w:t xml:space="preserve"> happy with the arrangement, </w:t>
      </w:r>
      <w:r>
        <w:t>discuss</w:t>
      </w:r>
      <w:r w:rsidRPr="005779F4">
        <w:t xml:space="preserve"> with your landlord towards the end of the 12-month lease about whether they would be willing to sign a long-term lease. </w:t>
      </w:r>
    </w:p>
    <w:p w:rsidR="00167DDF" w:rsidRPr="005779F4" w:rsidRDefault="00167DDF" w:rsidP="00167DDF">
      <w:pPr>
        <w:pStyle w:val="CAVbody"/>
      </w:pPr>
      <w:r w:rsidRPr="00C0680F">
        <w:t xml:space="preserve">If you are looking for a landlord who is interested in signing a long-term lease, you can create a ‘renter resume’ on </w:t>
      </w:r>
      <w:hyperlink r:id="rId11" w:history="1">
        <w:r w:rsidRPr="00C0680F">
          <w:rPr>
            <w:rStyle w:val="Hyperlink"/>
            <w:rFonts w:ascii="Calibri" w:hAnsi="Calibri" w:cs="Calibri"/>
          </w:rPr>
          <w:t>rent.com.au</w:t>
        </w:r>
      </w:hyperlink>
      <w:r w:rsidRPr="00C0680F">
        <w:t xml:space="preserve"> and select the ‘long-term lease’ option to show </w:t>
      </w:r>
      <w:r>
        <w:t>you are</w:t>
      </w:r>
      <w:r w:rsidRPr="00C0680F">
        <w:t xml:space="preserve"> interested in renting a home for more than five years.  </w:t>
      </w:r>
    </w:p>
    <w:p w:rsidR="00167DDF" w:rsidRDefault="00167DDF" w:rsidP="00167DDF">
      <w:pPr>
        <w:pStyle w:val="CAVbody"/>
        <w:rPr>
          <w:color w:val="595959"/>
          <w:sz w:val="18"/>
          <w:szCs w:val="18"/>
        </w:rPr>
      </w:pPr>
      <w:r w:rsidRPr="00497811">
        <w:t xml:space="preserve">For more information, </w:t>
      </w:r>
      <w:r>
        <w:t xml:space="preserve">visit the </w:t>
      </w:r>
      <w:r w:rsidRPr="00D51E43">
        <w:t>Long-term leases</w:t>
      </w:r>
      <w:r>
        <w:t xml:space="preserve"> page on the Consumer Affairs Victoria website: </w:t>
      </w:r>
      <w:hyperlink r:id="rId12" w:history="1">
        <w:r w:rsidRPr="00AD1255">
          <w:rPr>
            <w:rStyle w:val="Hyperlink"/>
            <w:rFonts w:ascii="Calibri" w:hAnsi="Calibri" w:cs="Calibri"/>
          </w:rPr>
          <w:t>consumer.vic.gov.au/LTL</w:t>
        </w:r>
      </w:hyperlink>
      <w:r>
        <w:t xml:space="preserve">. </w:t>
      </w:r>
    </w:p>
    <w:p w:rsidR="00167DDF" w:rsidRPr="00A62183" w:rsidRDefault="00167DDF" w:rsidP="00167DDF">
      <w:pPr>
        <w:pStyle w:val="Heading2"/>
      </w:pPr>
      <w:bookmarkStart w:id="7" w:name="_Hlk3555335"/>
      <w:r w:rsidRPr="00A62183">
        <w:t xml:space="preserve">LTL </w:t>
      </w:r>
      <w:r>
        <w:t>t</w:t>
      </w:r>
      <w:r w:rsidRPr="00A62183">
        <w:t>enants’ stakeholder kit – Short article</w:t>
      </w:r>
    </w:p>
    <w:bookmarkEnd w:id="7"/>
    <w:p w:rsidR="00167DDF" w:rsidRPr="005779F4" w:rsidRDefault="00167DDF" w:rsidP="00167DDF">
      <w:pPr>
        <w:pStyle w:val="Heading3"/>
      </w:pPr>
      <w:r w:rsidRPr="005779F4">
        <w:t xml:space="preserve">Love where you are renting? Tenants can now sign up for </w:t>
      </w:r>
      <w:r>
        <w:t>long-term leases</w:t>
      </w:r>
      <w:r w:rsidRPr="005779F4">
        <w:t>.</w:t>
      </w:r>
    </w:p>
    <w:p w:rsidR="00167DDF" w:rsidRPr="005779F4" w:rsidRDefault="00167DDF" w:rsidP="00167DDF">
      <w:pPr>
        <w:pStyle w:val="CAVbody"/>
      </w:pPr>
      <w:r w:rsidRPr="005779F4">
        <w:t xml:space="preserve">If you love where you are renting and prefer to stay long-term where you are </w:t>
      </w:r>
      <w:r>
        <w:t>- it may be handy for work</w:t>
      </w:r>
      <w:r w:rsidRPr="005779F4">
        <w:t xml:space="preserve">, school or </w:t>
      </w:r>
      <w:r>
        <w:t>leisure activities -</w:t>
      </w:r>
      <w:r w:rsidRPr="005779F4">
        <w:t xml:space="preserve"> a long-term lease might be </w:t>
      </w:r>
      <w:r>
        <w:t>right for you</w:t>
      </w:r>
      <w:r w:rsidRPr="005779F4">
        <w:t>.</w:t>
      </w:r>
    </w:p>
    <w:p w:rsidR="00167DDF" w:rsidRPr="00A62183" w:rsidRDefault="00167DDF" w:rsidP="00167DDF">
      <w:pPr>
        <w:pStyle w:val="Heading4"/>
      </w:pPr>
      <w:r w:rsidRPr="00A62183">
        <w:t>What is different about a long-term lease?</w:t>
      </w:r>
    </w:p>
    <w:p w:rsidR="00167DDF" w:rsidRDefault="00167DDF" w:rsidP="00167DDF">
      <w:pPr>
        <w:pStyle w:val="CAVbody"/>
      </w:pPr>
      <w:r w:rsidRPr="00C0680F">
        <w:t>You can use the existing agreement (Form 1</w:t>
      </w:r>
      <w:r>
        <w:t xml:space="preserve">, </w:t>
      </w:r>
      <w:r w:rsidRPr="00C0680F">
        <w:t xml:space="preserve">which can now be used for both short and long-term leases) or the new Form 2 for long-term leases. </w:t>
      </w:r>
    </w:p>
    <w:p w:rsidR="00167DDF" w:rsidRPr="005779F4" w:rsidRDefault="00167DDF" w:rsidP="00167DDF">
      <w:pPr>
        <w:pStyle w:val="CAVbody"/>
      </w:pPr>
      <w:r>
        <w:t xml:space="preserve">Note: </w:t>
      </w:r>
      <w:r w:rsidRPr="00C0680F">
        <w:t xml:space="preserve">Form 2 offers additional benefits, some of which are listed below. Find out more on </w:t>
      </w:r>
      <w:r>
        <w:t xml:space="preserve">the </w:t>
      </w:r>
      <w:r w:rsidRPr="00D51E43">
        <w:t>Long-term leases</w:t>
      </w:r>
      <w:r>
        <w:t xml:space="preserve"> page on the Consumer Affairs Victoria website: </w:t>
      </w:r>
      <w:hyperlink r:id="rId13" w:history="1">
        <w:r w:rsidRPr="00AD1255">
          <w:rPr>
            <w:rStyle w:val="Hyperlink"/>
            <w:rFonts w:ascii="Calibri" w:hAnsi="Calibri" w:cs="Calibri"/>
          </w:rPr>
          <w:t>consumer.vic.gov.au/LTL</w:t>
        </w:r>
      </w:hyperlink>
      <w:r w:rsidRPr="005779F4">
        <w:t xml:space="preserve">. </w:t>
      </w:r>
    </w:p>
    <w:p w:rsidR="00167DDF" w:rsidRPr="005779F4" w:rsidRDefault="00167DDF" w:rsidP="00167DDF">
      <w:pPr>
        <w:pStyle w:val="Heading3"/>
        <w:rPr>
          <w:rFonts w:ascii="Calibri" w:hAnsi="Calibri" w:cs="Calibri"/>
        </w:rPr>
      </w:pPr>
      <w:r w:rsidRPr="005779F4">
        <w:rPr>
          <w:rFonts w:ascii="Calibri" w:hAnsi="Calibri" w:cs="Calibri"/>
        </w:rPr>
        <w:lastRenderedPageBreak/>
        <w:t>Rental bonds</w:t>
      </w:r>
    </w:p>
    <w:p w:rsidR="00167DDF" w:rsidRPr="005779F4" w:rsidRDefault="00167DDF" w:rsidP="00167DDF">
      <w:pPr>
        <w:pStyle w:val="CAVbody"/>
      </w:pPr>
      <w:r w:rsidRPr="005779F4">
        <w:t>The landlord can ask you to top-up the bond amount after five years, if there are at least five years remaining on the lease.</w:t>
      </w:r>
      <w:r>
        <w:t xml:space="preserve">  </w:t>
      </w:r>
    </w:p>
    <w:p w:rsidR="00167DDF" w:rsidRPr="005779F4" w:rsidRDefault="00167DDF" w:rsidP="00167DDF">
      <w:pPr>
        <w:pStyle w:val="Heading4"/>
      </w:pPr>
      <w:r w:rsidRPr="005779F4">
        <w:t>Rent increases</w:t>
      </w:r>
    </w:p>
    <w:p w:rsidR="00167DDF" w:rsidRPr="005779F4" w:rsidRDefault="00167DDF" w:rsidP="00167DDF">
      <w:pPr>
        <w:pStyle w:val="CAVbody"/>
      </w:pPr>
      <w:r w:rsidRPr="005779F4">
        <w:t>The landlord can increase the rent every 12 months and you both can agree on how the increase will be calculated</w:t>
      </w:r>
      <w:r>
        <w:t xml:space="preserve"> - this may be </w:t>
      </w:r>
      <w:r w:rsidRPr="005779F4">
        <w:t xml:space="preserve">by a fixed dollar amount or percentage, the Consumer Price Index (CPI) or State-wide Rent Index (SRI). </w:t>
      </w:r>
      <w:r>
        <w:t xml:space="preserve"> </w:t>
      </w:r>
    </w:p>
    <w:p w:rsidR="00167DDF" w:rsidRPr="005779F4" w:rsidRDefault="00167DDF" w:rsidP="00167DDF">
      <w:pPr>
        <w:pStyle w:val="Heading4"/>
      </w:pPr>
      <w:r w:rsidRPr="005779F4">
        <w:t>Property modifications and inspections</w:t>
      </w:r>
    </w:p>
    <w:p w:rsidR="00167DDF" w:rsidRPr="005779F4" w:rsidRDefault="00167DDF" w:rsidP="00167DDF">
      <w:pPr>
        <w:pStyle w:val="CAVbody"/>
      </w:pPr>
      <w:r w:rsidRPr="005779F4">
        <w:t>The landlord cannot unreasonably refuse your written request to make minor modifications</w:t>
      </w:r>
      <w:r>
        <w:t xml:space="preserve"> to the property</w:t>
      </w:r>
      <w:r w:rsidRPr="005779F4">
        <w:t xml:space="preserve"> (these are listed in the lease agreement).  </w:t>
      </w:r>
    </w:p>
    <w:p w:rsidR="00167DDF" w:rsidRDefault="00167DDF" w:rsidP="00167DDF">
      <w:pPr>
        <w:pStyle w:val="CAVbody"/>
      </w:pPr>
      <w:r w:rsidRPr="005779F4">
        <w:t>Your landlord or property manager can inspect the property every 12 months</w:t>
      </w:r>
      <w:r>
        <w:t xml:space="preserve">. </w:t>
      </w:r>
      <w:bookmarkStart w:id="8" w:name="_Hlk5188834"/>
    </w:p>
    <w:bookmarkEnd w:id="8"/>
    <w:p w:rsidR="00167DDF" w:rsidRPr="00CB1C91" w:rsidRDefault="00167DDF" w:rsidP="00167DDF">
      <w:pPr>
        <w:pStyle w:val="Heading4"/>
      </w:pPr>
      <w:r w:rsidRPr="00CB1C91">
        <w:t>Breach of Duty</w:t>
      </w:r>
    </w:p>
    <w:p w:rsidR="00167DDF" w:rsidRPr="00497811" w:rsidRDefault="00167DDF" w:rsidP="00167DDF">
      <w:pPr>
        <w:pStyle w:val="CAVbody"/>
      </w:pPr>
      <w:r w:rsidRPr="00497811">
        <w:t xml:space="preserve">In a long-term lease, the landlord </w:t>
      </w:r>
      <w:r>
        <w:t xml:space="preserve">or tenant </w:t>
      </w:r>
      <w:r w:rsidRPr="00497811">
        <w:t xml:space="preserve">can apply to the Victorian Civil and Administrative Tribunal (VCAT) for a compliance order after serving one </w:t>
      </w:r>
      <w:r>
        <w:t>B</w:t>
      </w:r>
      <w:r w:rsidRPr="00497811">
        <w:t xml:space="preserve">reach of </w:t>
      </w:r>
      <w:r>
        <w:t>D</w:t>
      </w:r>
      <w:r w:rsidRPr="00497811">
        <w:t xml:space="preserve">uty notice. In a short-term lease, the landlord </w:t>
      </w:r>
      <w:r>
        <w:t xml:space="preserve">or tenant </w:t>
      </w:r>
      <w:r w:rsidRPr="00497811">
        <w:t xml:space="preserve">can only do this after giving the </w:t>
      </w:r>
      <w:r>
        <w:t xml:space="preserve">other party </w:t>
      </w:r>
      <w:r w:rsidRPr="00497811">
        <w:t xml:space="preserve">three </w:t>
      </w:r>
      <w:r>
        <w:t>B</w:t>
      </w:r>
      <w:r w:rsidRPr="00497811">
        <w:t xml:space="preserve">reach of </w:t>
      </w:r>
      <w:r>
        <w:t>D</w:t>
      </w:r>
      <w:r w:rsidRPr="00497811">
        <w:t xml:space="preserve">uty notices.  </w:t>
      </w:r>
    </w:p>
    <w:p w:rsidR="00167DDF" w:rsidRPr="005779F4" w:rsidRDefault="00167DDF" w:rsidP="00167DDF">
      <w:pPr>
        <w:pStyle w:val="Heading4"/>
      </w:pPr>
      <w:r w:rsidRPr="005779F4">
        <w:t>Ending a long-term lease agreement</w:t>
      </w:r>
    </w:p>
    <w:p w:rsidR="00167DDF" w:rsidRPr="005779F4" w:rsidRDefault="00167DDF" w:rsidP="00167DDF">
      <w:pPr>
        <w:pStyle w:val="CAVbody"/>
      </w:pPr>
      <w:r w:rsidRPr="005779F4">
        <w:t xml:space="preserve">The landlord cannot shorten the term of the lease agreement unless you agree, or you break one of the rules that allows the landlord to give you a notice to vacate. You or the landlord can still apply to the Victorian Civil and Administrative Tribunal (VCAT) if either of you needs to end the lease early due to hardship reasons. </w:t>
      </w:r>
      <w:bookmarkStart w:id="9" w:name="_Hlk5190023"/>
    </w:p>
    <w:bookmarkEnd w:id="9"/>
    <w:p w:rsidR="00167DDF" w:rsidRPr="00F50BF6" w:rsidRDefault="00167DDF" w:rsidP="00167DDF">
      <w:pPr>
        <w:pStyle w:val="Heading4"/>
      </w:pPr>
      <w:r w:rsidRPr="00F50BF6">
        <w:t>Find out if a long-term lease is right for you</w:t>
      </w:r>
    </w:p>
    <w:p w:rsidR="00167DDF" w:rsidRPr="00497811" w:rsidRDefault="00167DDF" w:rsidP="00167DDF">
      <w:pPr>
        <w:pStyle w:val="CAVbody"/>
        <w:rPr>
          <w:noProof/>
        </w:rPr>
      </w:pPr>
      <w:r>
        <w:t>Consumer Affairs Victoria’s</w:t>
      </w:r>
      <w:r w:rsidRPr="00497811">
        <w:t xml:space="preserve"> </w:t>
      </w:r>
      <w:r>
        <w:t xml:space="preserve">new </w:t>
      </w:r>
      <w:hyperlink r:id="rId14" w:history="1">
        <w:r w:rsidRPr="00243B99">
          <w:rPr>
            <w:rStyle w:val="Hyperlink"/>
            <w:rFonts w:ascii="Calibri" w:hAnsi="Calibri" w:cs="Calibri"/>
          </w:rPr>
          <w:t>navigation tool</w:t>
        </w:r>
      </w:hyperlink>
      <w:r w:rsidRPr="00497811">
        <w:t xml:space="preserve"> can help you decide whether a long-term lease is right for </w:t>
      </w:r>
      <w:r>
        <w:t>you</w:t>
      </w:r>
      <w:r w:rsidRPr="00497811">
        <w:t>.</w:t>
      </w:r>
      <w:r>
        <w:t xml:space="preserve">  </w:t>
      </w:r>
    </w:p>
    <w:p w:rsidR="00167DDF" w:rsidRPr="00F50BF6" w:rsidRDefault="00167DDF" w:rsidP="00167DDF">
      <w:pPr>
        <w:pStyle w:val="Heading4"/>
      </w:pPr>
      <w:r w:rsidRPr="00F50BF6">
        <w:t>How to get a long-term lease</w:t>
      </w:r>
    </w:p>
    <w:p w:rsidR="00167DDF" w:rsidRPr="005779F4" w:rsidRDefault="00167DDF" w:rsidP="00167DDF">
      <w:pPr>
        <w:pStyle w:val="CAVbody"/>
      </w:pPr>
      <w:r w:rsidRPr="005779F4">
        <w:t xml:space="preserve">If you are happy with your current tenancy arrangement and would like to continue it for more than five years, speak </w:t>
      </w:r>
      <w:r>
        <w:t>with</w:t>
      </w:r>
      <w:r w:rsidRPr="005779F4">
        <w:t xml:space="preserve"> your landlord about switching to a long-term lease. Negotiate the terms of the long-term lease agreement before ending the existing lease.</w:t>
      </w:r>
    </w:p>
    <w:p w:rsidR="00167DDF" w:rsidRPr="005779F4" w:rsidRDefault="00167DDF" w:rsidP="00167DDF">
      <w:pPr>
        <w:pStyle w:val="CAVbody"/>
      </w:pPr>
      <w:r w:rsidRPr="005779F4">
        <w:t xml:space="preserve">If you are looking for a landlord who is interested in signing a long-term lease, you can create a ‘renter resume’ on </w:t>
      </w:r>
      <w:hyperlink r:id="rId15" w:history="1">
        <w:r w:rsidRPr="005779F4">
          <w:rPr>
            <w:rStyle w:val="Hyperlink"/>
            <w:rFonts w:ascii="Calibri" w:hAnsi="Calibri" w:cs="Calibri"/>
          </w:rPr>
          <w:t>rent.com.au</w:t>
        </w:r>
      </w:hyperlink>
      <w:r w:rsidRPr="005779F4">
        <w:t xml:space="preserve"> and select the ‘long-term lease’ option to show </w:t>
      </w:r>
      <w:r>
        <w:t>you are</w:t>
      </w:r>
      <w:r w:rsidRPr="005779F4">
        <w:t xml:space="preserve"> interested in renting a home for more than five years.  </w:t>
      </w:r>
    </w:p>
    <w:p w:rsidR="00A411FC" w:rsidRDefault="00167DDF" w:rsidP="00167DDF">
      <w:pPr>
        <w:pStyle w:val="CAVbody"/>
      </w:pPr>
      <w:r w:rsidRPr="00497811">
        <w:t xml:space="preserve">For more information, </w:t>
      </w:r>
      <w:r>
        <w:t xml:space="preserve">visit the </w:t>
      </w:r>
      <w:r w:rsidRPr="00D51E43">
        <w:t>Long-term leases</w:t>
      </w:r>
      <w:r>
        <w:t xml:space="preserve"> page on the Consumer Affairs Victoria website: </w:t>
      </w:r>
      <w:hyperlink r:id="rId16" w:history="1">
        <w:r w:rsidRPr="00AD1255">
          <w:rPr>
            <w:rStyle w:val="Hyperlink"/>
            <w:rFonts w:ascii="Calibri" w:hAnsi="Calibri" w:cs="Calibri"/>
          </w:rPr>
          <w:t>consumer.vic.gov.au/LTL</w:t>
        </w:r>
      </w:hyperlink>
      <w:r>
        <w:t xml:space="preserve">. </w:t>
      </w:r>
    </w:p>
    <w:p w:rsidR="00A411FC" w:rsidRPr="00A62183" w:rsidRDefault="00A411FC" w:rsidP="00A411FC">
      <w:pPr>
        <w:pStyle w:val="Heading2"/>
      </w:pPr>
      <w:bookmarkStart w:id="10" w:name="_Hlk3555600"/>
      <w:r w:rsidRPr="00A62183">
        <w:lastRenderedPageBreak/>
        <w:t>Sample social media posts</w:t>
      </w:r>
    </w:p>
    <w:p w:rsidR="00A411FC" w:rsidRPr="005779F4" w:rsidRDefault="00A411FC" w:rsidP="00A411FC">
      <w:pPr>
        <w:pStyle w:val="CAVbody"/>
      </w:pPr>
      <w:r w:rsidRPr="005779F4">
        <w:t>Here are some suggested posts you can use through your social media channels.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3058"/>
        <w:gridCol w:w="4114"/>
      </w:tblGrid>
      <w:tr w:rsidR="00A411FC" w:rsidRPr="005779F4" w:rsidTr="001D39F5">
        <w:trPr>
          <w:tblHeader/>
        </w:trPr>
        <w:tc>
          <w:tcPr>
            <w:tcW w:w="1838" w:type="dxa"/>
          </w:tcPr>
          <w:p w:rsidR="00A411FC" w:rsidRPr="005779F4" w:rsidRDefault="00A411FC" w:rsidP="00A411FC">
            <w:pPr>
              <w:pStyle w:val="CAVtablecolhead"/>
            </w:pPr>
            <w:bookmarkStart w:id="11" w:name="_Hlk3555619"/>
            <w:bookmarkEnd w:id="10"/>
            <w:r w:rsidRPr="005779F4">
              <w:t>Topic</w:t>
            </w:r>
          </w:p>
        </w:tc>
        <w:tc>
          <w:tcPr>
            <w:tcW w:w="3058" w:type="dxa"/>
            <w:shd w:val="clear" w:color="auto" w:fill="auto"/>
          </w:tcPr>
          <w:p w:rsidR="00A411FC" w:rsidRPr="005779F4" w:rsidRDefault="00A411FC" w:rsidP="00A411FC">
            <w:pPr>
              <w:pStyle w:val="CAVtablecolhead"/>
            </w:pPr>
            <w:r w:rsidRPr="005779F4">
              <w:t>Facebook</w:t>
            </w:r>
          </w:p>
        </w:tc>
        <w:tc>
          <w:tcPr>
            <w:tcW w:w="4114" w:type="dxa"/>
            <w:shd w:val="clear" w:color="auto" w:fill="auto"/>
          </w:tcPr>
          <w:p w:rsidR="00A411FC" w:rsidRPr="005779F4" w:rsidRDefault="00A411FC" w:rsidP="00A411FC">
            <w:pPr>
              <w:pStyle w:val="CAVtablecolhead"/>
            </w:pPr>
            <w:r w:rsidRPr="005779F4">
              <w:t>Twitter</w:t>
            </w:r>
          </w:p>
        </w:tc>
      </w:tr>
      <w:tr w:rsidR="00A411FC" w:rsidRPr="005779F4" w:rsidTr="001D39F5">
        <w:tc>
          <w:tcPr>
            <w:tcW w:w="1838" w:type="dxa"/>
          </w:tcPr>
          <w:p w:rsidR="00A411FC" w:rsidRPr="005779F4" w:rsidRDefault="00A411FC" w:rsidP="00A411FC">
            <w:pPr>
              <w:pStyle w:val="CAVtabletext"/>
            </w:pPr>
            <w:r w:rsidRPr="005779F4">
              <w:t xml:space="preserve">General – under the </w:t>
            </w:r>
            <w:r w:rsidRPr="005779F4">
              <w:rPr>
                <w:i/>
              </w:rPr>
              <w:t>Residential Tenancies Act</w:t>
            </w:r>
            <w:r w:rsidRPr="005779F4">
              <w:t>, long-term lease is a new option in the Victorian housing market.</w:t>
            </w:r>
          </w:p>
        </w:tc>
        <w:tc>
          <w:tcPr>
            <w:tcW w:w="3058" w:type="dxa"/>
            <w:shd w:val="clear" w:color="auto" w:fill="auto"/>
          </w:tcPr>
          <w:p w:rsidR="00A411FC" w:rsidRPr="005779F4" w:rsidRDefault="00A411FC" w:rsidP="00A411FC">
            <w:pPr>
              <w:pStyle w:val="CAVtabletext"/>
            </w:pPr>
            <w:r w:rsidRPr="005779F4">
              <w:t xml:space="preserve">Love where </w:t>
            </w:r>
            <w:r>
              <w:t>you are</w:t>
            </w:r>
            <w:r w:rsidRPr="005779F4">
              <w:t xml:space="preserve"> renting </w:t>
            </w:r>
            <w:r>
              <w:t>because it is handy for work</w:t>
            </w:r>
            <w:r w:rsidRPr="005779F4">
              <w:t xml:space="preserve">, school or </w:t>
            </w:r>
            <w:r>
              <w:t>leisure activities</w:t>
            </w:r>
            <w:r w:rsidRPr="005779F4">
              <w:t xml:space="preserve">? A long-term lease might be suitable for tenants </w:t>
            </w:r>
            <w:r>
              <w:t xml:space="preserve">who want </w:t>
            </w:r>
            <w:r w:rsidRPr="005779F4">
              <w:t xml:space="preserve">to stay in their local community for the next five years or more. </w:t>
            </w:r>
            <w:r>
              <w:t>Visit the</w:t>
            </w:r>
            <w:r w:rsidRPr="005779F4">
              <w:t xml:space="preserve"> </w:t>
            </w:r>
            <w:r>
              <w:t>@</w:t>
            </w:r>
            <w:proofErr w:type="spellStart"/>
            <w:r w:rsidRPr="005779F4">
              <w:t>Consumer</w:t>
            </w:r>
            <w:r>
              <w:t>A</w:t>
            </w:r>
            <w:r w:rsidRPr="005779F4">
              <w:t>ffairs</w:t>
            </w:r>
            <w:r>
              <w:t>V</w:t>
            </w:r>
            <w:r w:rsidRPr="005779F4">
              <w:t>ictoria</w:t>
            </w:r>
            <w:proofErr w:type="spellEnd"/>
            <w:r w:rsidRPr="005779F4">
              <w:t xml:space="preserve"> </w:t>
            </w:r>
            <w:r>
              <w:t xml:space="preserve">website to find out if long-term leasing is </w:t>
            </w:r>
            <w:r w:rsidRPr="005779F4">
              <w:t>right for you</w:t>
            </w:r>
            <w:r>
              <w:t>:</w:t>
            </w:r>
            <w:r w:rsidRPr="005779F4">
              <w:t xml:space="preserve"> </w:t>
            </w:r>
            <w:r>
              <w:t>(link to</w:t>
            </w:r>
            <w:r w:rsidRPr="005779F4">
              <w:t xml:space="preserve"> </w:t>
            </w:r>
            <w:hyperlink r:id="rId17" w:history="1">
              <w:r w:rsidRPr="00AF4FEC">
                <w:rPr>
                  <w:rStyle w:val="Hyperlink"/>
                  <w:rFonts w:ascii="Calibri" w:hAnsi="Calibri" w:cs="Calibri"/>
                </w:rPr>
                <w:t>consumer.vic.gov.au/LTL</w:t>
              </w:r>
            </w:hyperlink>
            <w:r>
              <w:t xml:space="preserve"> ) </w:t>
            </w:r>
          </w:p>
          <w:p w:rsidR="00A411FC" w:rsidRPr="005779F4" w:rsidRDefault="00A411FC" w:rsidP="00A411FC">
            <w:pPr>
              <w:pStyle w:val="CAVtabletext"/>
            </w:pPr>
          </w:p>
        </w:tc>
        <w:tc>
          <w:tcPr>
            <w:tcW w:w="4114" w:type="dxa"/>
            <w:shd w:val="clear" w:color="auto" w:fill="auto"/>
          </w:tcPr>
          <w:p w:rsidR="00A411FC" w:rsidRPr="005779F4" w:rsidRDefault="00A411FC" w:rsidP="00A411FC">
            <w:pPr>
              <w:pStyle w:val="CAVtabletext"/>
            </w:pPr>
            <w:r w:rsidRPr="005779F4">
              <w:t xml:space="preserve">Tenants: stay in your local community for the next five years or more. </w:t>
            </w:r>
            <w:r>
              <w:t>Find out if long term leasing is right for you on more on the @</w:t>
            </w:r>
            <w:proofErr w:type="spellStart"/>
            <w:r>
              <w:t>consumervic</w:t>
            </w:r>
            <w:proofErr w:type="spellEnd"/>
            <w:r>
              <w:t xml:space="preserve"> website:</w:t>
            </w:r>
            <w:r w:rsidRPr="005779F4">
              <w:t xml:space="preserve"> </w:t>
            </w:r>
            <w:r>
              <w:t xml:space="preserve">(link to </w:t>
            </w:r>
            <w:hyperlink r:id="rId18" w:history="1">
              <w:r w:rsidRPr="00AF4FEC">
                <w:rPr>
                  <w:rStyle w:val="Hyperlink"/>
                  <w:rFonts w:ascii="Calibri" w:hAnsi="Calibri" w:cs="Calibri"/>
                </w:rPr>
                <w:t>consumer.vic.gov.au/LTL</w:t>
              </w:r>
            </w:hyperlink>
            <w:r>
              <w:t xml:space="preserve"> )</w:t>
            </w:r>
          </w:p>
          <w:p w:rsidR="00A411FC" w:rsidRPr="005779F4" w:rsidRDefault="00A411FC" w:rsidP="00A411FC">
            <w:pPr>
              <w:pStyle w:val="CAVtabletext"/>
            </w:pPr>
          </w:p>
        </w:tc>
      </w:tr>
      <w:tr w:rsidR="00A411FC" w:rsidRPr="005779F4" w:rsidTr="001D39F5">
        <w:tc>
          <w:tcPr>
            <w:tcW w:w="1838" w:type="dxa"/>
          </w:tcPr>
          <w:p w:rsidR="00A411FC" w:rsidRPr="005779F4" w:rsidRDefault="00A411FC" w:rsidP="00A411FC">
            <w:pPr>
              <w:pStyle w:val="CAVtabletext"/>
            </w:pPr>
            <w:r w:rsidRPr="005779F4">
              <w:t xml:space="preserve">Long-term lease – is it right for me? </w:t>
            </w:r>
          </w:p>
        </w:tc>
        <w:tc>
          <w:tcPr>
            <w:tcW w:w="3058" w:type="dxa"/>
            <w:shd w:val="clear" w:color="auto" w:fill="auto"/>
          </w:tcPr>
          <w:p w:rsidR="00A411FC" w:rsidRPr="005779F4" w:rsidRDefault="00A411FC" w:rsidP="00A411FC">
            <w:pPr>
              <w:pStyle w:val="CAVtabletext"/>
            </w:pPr>
            <w:r w:rsidRPr="005779F4">
              <w:t xml:space="preserve">For tenants who are happy with their current rental and want to stay settled in one location for a longer period, a long-term lease might be a good option. Find out if </w:t>
            </w:r>
            <w:r>
              <w:t>it is right</w:t>
            </w:r>
            <w:r w:rsidRPr="005779F4">
              <w:t xml:space="preserve"> for you</w:t>
            </w:r>
            <w:r>
              <w:t xml:space="preserve"> on the @</w:t>
            </w:r>
            <w:proofErr w:type="spellStart"/>
            <w:r>
              <w:t>ConsumerAffairsVictoria</w:t>
            </w:r>
            <w:proofErr w:type="spellEnd"/>
            <w:r>
              <w:t xml:space="preserve"> website</w:t>
            </w:r>
            <w:r w:rsidRPr="005779F4">
              <w:t>: (</w:t>
            </w:r>
            <w:r>
              <w:t>L</w:t>
            </w:r>
            <w:r w:rsidRPr="005779F4">
              <w:t>ink to decision tree</w:t>
            </w:r>
            <w:r>
              <w:t xml:space="preserve">: </w:t>
            </w:r>
            <w:r w:rsidRPr="007B33C3">
              <w:rPr>
                <w:rStyle w:val="Hyperlink"/>
                <w:rFonts w:ascii="Calibri" w:hAnsi="Calibri" w:cs="Calibri"/>
              </w:rPr>
              <w:t>http://bit.ly/LTLDecision</w:t>
            </w:r>
            <w:r>
              <w:t xml:space="preserve"> </w:t>
            </w:r>
            <w:r w:rsidRPr="005779F4">
              <w:t>)</w:t>
            </w:r>
          </w:p>
        </w:tc>
        <w:tc>
          <w:tcPr>
            <w:tcW w:w="4114" w:type="dxa"/>
            <w:shd w:val="clear" w:color="auto" w:fill="auto"/>
          </w:tcPr>
          <w:p w:rsidR="00A411FC" w:rsidRPr="005779F4" w:rsidRDefault="00A411FC" w:rsidP="00A411FC">
            <w:pPr>
              <w:pStyle w:val="CAVtabletext"/>
            </w:pPr>
            <w:r w:rsidRPr="005779F4">
              <w:t xml:space="preserve">For tenants who are happy with their current rental and want to stay settled in one location for a longer period, a long-term lease might be a good option. Find out if </w:t>
            </w:r>
            <w:r>
              <w:t>it is</w:t>
            </w:r>
            <w:r w:rsidRPr="005779F4">
              <w:t xml:space="preserve"> right for you</w:t>
            </w:r>
            <w:r>
              <w:t xml:space="preserve"> on the @</w:t>
            </w:r>
            <w:proofErr w:type="spellStart"/>
            <w:r>
              <w:t>consumervic</w:t>
            </w:r>
            <w:proofErr w:type="spellEnd"/>
            <w:r>
              <w:t xml:space="preserve"> website</w:t>
            </w:r>
            <w:r w:rsidRPr="005779F4">
              <w:t>: (</w:t>
            </w:r>
            <w:r>
              <w:t>L</w:t>
            </w:r>
            <w:r w:rsidRPr="005779F4">
              <w:t>ink to decision tree</w:t>
            </w:r>
            <w:r>
              <w:t xml:space="preserve">: </w:t>
            </w:r>
            <w:r w:rsidRPr="007B33C3">
              <w:rPr>
                <w:rStyle w:val="Hyperlink"/>
                <w:rFonts w:ascii="Calibri" w:hAnsi="Calibri" w:cs="Calibri"/>
              </w:rPr>
              <w:t>http://bit.ly/LTLDecision</w:t>
            </w:r>
            <w:r>
              <w:t xml:space="preserve"> </w:t>
            </w:r>
            <w:r w:rsidRPr="005779F4">
              <w:t>)</w:t>
            </w:r>
          </w:p>
        </w:tc>
      </w:tr>
      <w:tr w:rsidR="00A411FC" w:rsidRPr="005779F4" w:rsidTr="001D39F5">
        <w:tc>
          <w:tcPr>
            <w:tcW w:w="1838" w:type="dxa"/>
          </w:tcPr>
          <w:p w:rsidR="00A411FC" w:rsidRPr="005779F4" w:rsidRDefault="00A411FC" w:rsidP="00A411FC">
            <w:pPr>
              <w:pStyle w:val="CAVtabletext"/>
            </w:pPr>
            <w:r w:rsidRPr="005779F4">
              <w:t>How to start a long-term lease</w:t>
            </w:r>
          </w:p>
        </w:tc>
        <w:tc>
          <w:tcPr>
            <w:tcW w:w="3058" w:type="dxa"/>
            <w:shd w:val="clear" w:color="auto" w:fill="auto"/>
          </w:tcPr>
          <w:p w:rsidR="00A411FC" w:rsidRPr="005779F4" w:rsidRDefault="00A411FC" w:rsidP="00A411FC">
            <w:pPr>
              <w:pStyle w:val="CAVtabletext"/>
            </w:pPr>
            <w:r w:rsidRPr="005779F4">
              <w:t xml:space="preserve">Tenants who are keen to stay settled in one location for a longer period can consider a long-term lease. Find out </w:t>
            </w:r>
            <w:r>
              <w:t>more on</w:t>
            </w:r>
            <w:r w:rsidRPr="005779F4">
              <w:t xml:space="preserve"> </w:t>
            </w:r>
            <w:r>
              <w:t>@</w:t>
            </w:r>
            <w:proofErr w:type="spellStart"/>
            <w:r>
              <w:t>ConsumerAffairsVictoria’s</w:t>
            </w:r>
            <w:proofErr w:type="spellEnd"/>
            <w:r>
              <w:t xml:space="preserve"> website</w:t>
            </w:r>
            <w:r w:rsidRPr="005779F4">
              <w:t xml:space="preserve">: </w:t>
            </w:r>
            <w:r>
              <w:t>(Link</w:t>
            </w:r>
            <w:r w:rsidRPr="005779F4">
              <w:t xml:space="preserve"> to </w:t>
            </w:r>
            <w:r>
              <w:t>H</w:t>
            </w:r>
            <w:r w:rsidRPr="005779F4">
              <w:t>ow to start a LTL</w:t>
            </w:r>
            <w:r>
              <w:t xml:space="preserve">: </w:t>
            </w:r>
            <w:proofErr w:type="gramStart"/>
            <w:r w:rsidRPr="007B33C3">
              <w:rPr>
                <w:rStyle w:val="Hyperlink"/>
                <w:rFonts w:ascii="Calibri" w:hAnsi="Calibri" w:cs="Calibri"/>
              </w:rPr>
              <w:t>http://bit.ly/LTLHowTo</w:t>
            </w:r>
            <w:r>
              <w:t xml:space="preserve"> </w:t>
            </w:r>
            <w:r w:rsidRPr="005779F4">
              <w:t>)</w:t>
            </w:r>
            <w:proofErr w:type="gramEnd"/>
          </w:p>
        </w:tc>
        <w:tc>
          <w:tcPr>
            <w:tcW w:w="4114" w:type="dxa"/>
            <w:shd w:val="clear" w:color="auto" w:fill="auto"/>
          </w:tcPr>
          <w:p w:rsidR="00A411FC" w:rsidRPr="00AF4FEC" w:rsidRDefault="00A411FC" w:rsidP="00A411FC">
            <w:pPr>
              <w:pStyle w:val="CAVtabletext"/>
            </w:pPr>
            <w:r w:rsidRPr="005779F4">
              <w:t xml:space="preserve">Tenants who are keen to stay settled in one location for a longer period can consider a long-term lease. Find out </w:t>
            </w:r>
            <w:r>
              <w:t>more on</w:t>
            </w:r>
            <w:r w:rsidRPr="005779F4">
              <w:t xml:space="preserve"> </w:t>
            </w:r>
            <w:r>
              <w:t>the @</w:t>
            </w:r>
            <w:proofErr w:type="spellStart"/>
            <w:r>
              <w:t>c</w:t>
            </w:r>
            <w:r w:rsidRPr="005779F4">
              <w:t>onsumer</w:t>
            </w:r>
            <w:r>
              <w:t>vic</w:t>
            </w:r>
            <w:proofErr w:type="spellEnd"/>
            <w:r>
              <w:t xml:space="preserve"> website</w:t>
            </w:r>
            <w:proofErr w:type="gramStart"/>
            <w:r w:rsidRPr="005779F4">
              <w:t xml:space="preserve">: </w:t>
            </w:r>
            <w:r>
              <w:t xml:space="preserve"> (</w:t>
            </w:r>
            <w:proofErr w:type="gramEnd"/>
            <w:r>
              <w:t>Link</w:t>
            </w:r>
            <w:r w:rsidRPr="005779F4">
              <w:t xml:space="preserve"> to </w:t>
            </w:r>
            <w:r>
              <w:t>H</w:t>
            </w:r>
            <w:r w:rsidRPr="005779F4">
              <w:t>ow to start a LTL</w:t>
            </w:r>
            <w:r>
              <w:t xml:space="preserve">: </w:t>
            </w:r>
            <w:r w:rsidRPr="007B33C3">
              <w:rPr>
                <w:rStyle w:val="Hyperlink"/>
                <w:rFonts w:ascii="Calibri" w:hAnsi="Calibri" w:cs="Calibri"/>
              </w:rPr>
              <w:t>http://bit.ly/LTLHowTo</w:t>
            </w:r>
            <w:r>
              <w:t xml:space="preserve">) </w:t>
            </w:r>
          </w:p>
        </w:tc>
      </w:tr>
    </w:tbl>
    <w:p w:rsidR="00A411FC" w:rsidRPr="00A62183" w:rsidRDefault="00A411FC" w:rsidP="00A411FC">
      <w:pPr>
        <w:pStyle w:val="Heading2"/>
      </w:pPr>
      <w:bookmarkStart w:id="12" w:name="_Hlk3555566"/>
      <w:bookmarkEnd w:id="11"/>
      <w:r w:rsidRPr="00A62183">
        <w:t>Facts</w:t>
      </w:r>
      <w:r>
        <w:t xml:space="preserve"> about long-term leases (LTL)</w:t>
      </w:r>
    </w:p>
    <w:p w:rsidR="00A411FC" w:rsidRPr="005779F4" w:rsidRDefault="00A411FC" w:rsidP="00A411FC">
      <w:pPr>
        <w:pStyle w:val="CAVbullet1"/>
      </w:pPr>
      <w:r w:rsidRPr="005779F4">
        <w:t xml:space="preserve">Long term leases (LTL) are a new option under the Residential Tenancies Act in addition to current lease agreements of </w:t>
      </w:r>
      <w:r>
        <w:t>fewer</w:t>
      </w:r>
      <w:r w:rsidRPr="005779F4">
        <w:t xml:space="preserve"> than five years (also known as ‘short-term leases’) in Victoria. </w:t>
      </w:r>
    </w:p>
    <w:p w:rsidR="00A411FC" w:rsidRPr="005779F4" w:rsidRDefault="00A411FC" w:rsidP="00A411FC">
      <w:pPr>
        <w:pStyle w:val="CAVbullet1"/>
      </w:pPr>
      <w:r w:rsidRPr="005779F4">
        <w:t xml:space="preserve">In Australia, more than one in five tenants have been renting the same property for more than five years. The new LTL agreement formalises this arrangement so that landlords and tenants </w:t>
      </w:r>
      <w:r>
        <w:t>can</w:t>
      </w:r>
      <w:r w:rsidRPr="005779F4">
        <w:t xml:space="preserve"> tailor it to suit the circumstances of a rental period of five years or more. </w:t>
      </w:r>
    </w:p>
    <w:p w:rsidR="00A411FC" w:rsidRPr="005779F4" w:rsidRDefault="00A411FC" w:rsidP="00A411FC">
      <w:pPr>
        <w:pStyle w:val="CAVbullet1"/>
        <w:rPr>
          <w:b/>
        </w:rPr>
      </w:pPr>
      <w:r w:rsidRPr="005779F4">
        <w:t xml:space="preserve">Landlords and tenants can decide if an LTL is suitable for their circumstances – LTL is an </w:t>
      </w:r>
      <w:r w:rsidRPr="005779F4">
        <w:rPr>
          <w:b/>
        </w:rPr>
        <w:t>option</w:t>
      </w:r>
      <w:r w:rsidRPr="005779F4">
        <w:t xml:space="preserve"> and not compulsory. Consumer Affairs Victoria’s </w:t>
      </w:r>
      <w:r w:rsidRPr="007B33C3">
        <w:rPr>
          <w:rStyle w:val="Hyperlink"/>
          <w:rFonts w:ascii="Calibri" w:hAnsi="Calibri" w:cs="Calibri"/>
        </w:rPr>
        <w:t>navigation tool</w:t>
      </w:r>
      <w:r w:rsidRPr="005779F4">
        <w:t xml:space="preserve"> can help both parties to work out if </w:t>
      </w:r>
      <w:r>
        <w:t xml:space="preserve">it is </w:t>
      </w:r>
      <w:r w:rsidRPr="005779F4">
        <w:t>right for them</w:t>
      </w:r>
      <w:r>
        <w:t xml:space="preserve">: </w:t>
      </w:r>
      <w:r w:rsidRPr="007B33C3">
        <w:t>http://bit.ly/LTLDecision</w:t>
      </w:r>
      <w:r w:rsidRPr="005779F4">
        <w:t xml:space="preserve">. </w:t>
      </w:r>
      <w:r w:rsidRPr="005779F4">
        <w:rPr>
          <w:b/>
        </w:rPr>
        <w:t xml:space="preserve"> </w:t>
      </w:r>
    </w:p>
    <w:p w:rsidR="00A411FC" w:rsidRPr="002533AE" w:rsidRDefault="00A411FC" w:rsidP="00A411FC">
      <w:pPr>
        <w:pStyle w:val="CAVbullet1"/>
      </w:pPr>
      <w:r w:rsidRPr="00497811">
        <w:t>LTLs must be in writing and</w:t>
      </w:r>
      <w:r>
        <w:t xml:space="preserve"> can be made</w:t>
      </w:r>
      <w:r w:rsidRPr="00497811">
        <w:t xml:space="preserve"> on Consumer Affairs Victoria’s</w:t>
      </w:r>
      <w:r>
        <w:t xml:space="preserve"> existing agreement Form 1,  or the new prescribed</w:t>
      </w:r>
      <w:r w:rsidRPr="00497811">
        <w:t xml:space="preserve"> Form 2</w:t>
      </w:r>
      <w:r w:rsidRPr="00497811">
        <w:rPr>
          <w:b/>
        </w:rPr>
        <w:t>.</w:t>
      </w:r>
      <w:r>
        <w:rPr>
          <w:b/>
        </w:rPr>
        <w:t xml:space="preserve"> </w:t>
      </w:r>
      <w:bookmarkStart w:id="13" w:name="_Hlk4678940"/>
      <w:r>
        <w:t>Note that Form</w:t>
      </w:r>
      <w:r w:rsidRPr="002533AE">
        <w:t xml:space="preserve"> 2 includes additional </w:t>
      </w:r>
      <w:r w:rsidRPr="002533AE">
        <w:lastRenderedPageBreak/>
        <w:t>benefits</w:t>
      </w:r>
      <w:r>
        <w:t>,</w:t>
      </w:r>
      <w:r w:rsidRPr="002533AE">
        <w:t xml:space="preserve"> such as </w:t>
      </w:r>
      <w:r>
        <w:t xml:space="preserve">the option for landlords to request </w:t>
      </w:r>
      <w:r w:rsidRPr="002533AE">
        <w:t>rental bond top-ups</w:t>
      </w:r>
      <w:r>
        <w:t xml:space="preserve">, if there are five or more years left on the lease. </w:t>
      </w:r>
      <w:r w:rsidRPr="007B33C3">
        <w:rPr>
          <w:rStyle w:val="Hyperlink"/>
          <w:rFonts w:ascii="Calibri" w:hAnsi="Calibri" w:cs="Calibri"/>
        </w:rPr>
        <w:t>Download the forms</w:t>
      </w:r>
      <w:r>
        <w:t xml:space="preserve"> from the Consumer Affairs Victoria website: </w:t>
      </w:r>
      <w:r w:rsidRPr="007B33C3">
        <w:t>http://bit.ly/LTLHowTo</w:t>
      </w:r>
      <w:r>
        <w:t>.</w:t>
      </w:r>
    </w:p>
    <w:bookmarkEnd w:id="13"/>
    <w:p w:rsidR="00A411FC" w:rsidRPr="005779F4" w:rsidRDefault="00A411FC" w:rsidP="00A411FC">
      <w:pPr>
        <w:pStyle w:val="CAVbullet1"/>
      </w:pPr>
      <w:r w:rsidRPr="005779F4">
        <w:t xml:space="preserve">LTLs can create security, stability and certainty for both tenants and landlords. Long-term leases can </w:t>
      </w:r>
      <w:r>
        <w:t>benefit</w:t>
      </w:r>
      <w:r w:rsidRPr="005779F4">
        <w:t xml:space="preserve"> landlords who want a steady source of income and the security of knowing they </w:t>
      </w:r>
      <w:r>
        <w:t xml:space="preserve">do not </w:t>
      </w:r>
      <w:r w:rsidRPr="005779F4">
        <w:t xml:space="preserve">have to worry about having to find new tenants every few years. </w:t>
      </w:r>
      <w:r>
        <w:t>A</w:t>
      </w:r>
      <w:r w:rsidRPr="005779F4">
        <w:t xml:space="preserve"> long-term lease can benefit </w:t>
      </w:r>
      <w:r>
        <w:t>tenants</w:t>
      </w:r>
      <w:r w:rsidRPr="005779F4">
        <w:t xml:space="preserve"> looking to rent the same property for a longer period. Older Victorians and many families with young children are interested in a long-term lease because it lets them find a local job, have their kids go to the same school for the duration of their schooling years, and establish themselves in a community.</w:t>
      </w:r>
    </w:p>
    <w:p w:rsidR="00A411FC" w:rsidRPr="005779F4" w:rsidRDefault="00A411FC" w:rsidP="00A411FC">
      <w:pPr>
        <w:pStyle w:val="CAVbullet1"/>
      </w:pPr>
      <w:r>
        <w:t>L</w:t>
      </w:r>
      <w:r w:rsidRPr="005779F4">
        <w:t xml:space="preserve">andlords who are happy with their tenant and are looking to offer a long-term lease, </w:t>
      </w:r>
      <w:r>
        <w:t xml:space="preserve">should </w:t>
      </w:r>
      <w:r w:rsidRPr="005779F4">
        <w:t xml:space="preserve">discuss with their tenant </w:t>
      </w:r>
      <w:r>
        <w:t>about switching</w:t>
      </w:r>
      <w:r w:rsidRPr="005779F4">
        <w:t xml:space="preserve"> from a short-term lease </w:t>
      </w:r>
      <w:r>
        <w:t>to</w:t>
      </w:r>
      <w:r w:rsidRPr="005779F4">
        <w:t xml:space="preserve"> a long-term lease. Landlords can also list their property on the </w:t>
      </w:r>
      <w:hyperlink r:id="rId19" w:history="1">
        <w:r w:rsidRPr="005779F4">
          <w:rPr>
            <w:rStyle w:val="Hyperlink"/>
            <w:rFonts w:ascii="Calibri" w:hAnsi="Calibri" w:cs="Calibri"/>
          </w:rPr>
          <w:t>rent.com.au</w:t>
        </w:r>
      </w:hyperlink>
      <w:r w:rsidRPr="005779F4">
        <w:t xml:space="preserve"> website and select the ‘long-term lease’ option to show </w:t>
      </w:r>
      <w:r>
        <w:t>they are</w:t>
      </w:r>
      <w:r w:rsidRPr="005779F4">
        <w:t xml:space="preserve"> interested in leasing </w:t>
      </w:r>
      <w:r>
        <w:t>their</w:t>
      </w:r>
      <w:r w:rsidRPr="005779F4">
        <w:t xml:space="preserve"> home for more than five years.</w:t>
      </w:r>
    </w:p>
    <w:p w:rsidR="00A411FC" w:rsidRPr="005779F4" w:rsidRDefault="00A411FC" w:rsidP="00A411FC">
      <w:pPr>
        <w:pStyle w:val="CAVbullet1"/>
      </w:pPr>
      <w:r w:rsidRPr="005779F4">
        <w:t>The tenant can make minor modifications to the rental property, with the written permission of the landlord on the</w:t>
      </w:r>
      <w:r>
        <w:t xml:space="preserve"> agreement. </w:t>
      </w:r>
    </w:p>
    <w:p w:rsidR="00A411FC" w:rsidRPr="005779F4" w:rsidRDefault="00A411FC" w:rsidP="00A411FC">
      <w:pPr>
        <w:pStyle w:val="CAVbullet1"/>
      </w:pPr>
      <w:r w:rsidRPr="005779F4">
        <w:t>The landlord can only increase the rent once every 12 months and both tenant and landlord can agree on how the increase will be calculated</w:t>
      </w:r>
      <w:r>
        <w:t xml:space="preserve"> – this may be </w:t>
      </w:r>
      <w:r w:rsidRPr="005779F4">
        <w:t>by a fixed dollar amount or percentage, the Consumer Price Index (CPI) or State-wide Rent Index (SRI).</w:t>
      </w:r>
    </w:p>
    <w:p w:rsidR="00A411FC" w:rsidRPr="005779F4" w:rsidRDefault="00A411FC" w:rsidP="00A411FC">
      <w:pPr>
        <w:pStyle w:val="CAVbullet1"/>
      </w:pPr>
      <w:bookmarkStart w:id="14" w:name="_Hlk3560758"/>
      <w:r w:rsidRPr="005779F4">
        <w:t>Both landlord and tenant can end or shorten the lease agreement by mutual agreement.</w:t>
      </w:r>
    </w:p>
    <w:p w:rsidR="00A411FC" w:rsidRPr="005779F4" w:rsidRDefault="00A411FC" w:rsidP="00A411FC">
      <w:pPr>
        <w:pStyle w:val="CAVbullet1"/>
      </w:pPr>
      <w:bookmarkStart w:id="15" w:name="_Hlk3561044"/>
      <w:bookmarkEnd w:id="14"/>
      <w:r w:rsidRPr="005779F4">
        <w:t xml:space="preserve">A tenant can break the lease before the long-term lease period is up. If the landlord is unwilling, they can ask the tenant to pay one month’s rent for every full year left on the lease (capped at six months) or until the landlord finds a new tenant, whichever comes first. The tenant may also need to pay reletting or re-advertising fees if required.  </w:t>
      </w:r>
    </w:p>
    <w:bookmarkEnd w:id="15"/>
    <w:p w:rsidR="00A411FC" w:rsidRPr="005779F4" w:rsidRDefault="00A411FC" w:rsidP="00A411FC">
      <w:pPr>
        <w:pStyle w:val="CAVbullet1"/>
      </w:pPr>
      <w:r w:rsidRPr="005779F4">
        <w:t xml:space="preserve"> As with a short-term lease, if the tenant does not </w:t>
      </w:r>
      <w:r>
        <w:t>meet</w:t>
      </w:r>
      <w:r w:rsidRPr="005779F4">
        <w:t xml:space="preserve"> their obligations</w:t>
      </w:r>
      <w:r>
        <w:t>,</w:t>
      </w:r>
      <w:r w:rsidRPr="005779F4">
        <w:t xml:space="preserve"> the landlord can give them a Breach of Duty notice, giving them 14 days to rectify the breach. In a long-term lease, the landlord can apply to the Victorian Civil and Administrative Tribunal (VCAT) for a compliance order after serving one breach of duty notice. In a short-term lease, the landlord can only do this after giving the tenant three breach of duty notices.  </w:t>
      </w:r>
    </w:p>
    <w:p w:rsidR="00A411FC" w:rsidRPr="005779F4" w:rsidRDefault="00A411FC" w:rsidP="00A411FC">
      <w:pPr>
        <w:pStyle w:val="CAVbullet1"/>
      </w:pPr>
      <w:r w:rsidRPr="005779F4">
        <w:t>The landlord can only end the lease early by giving the tenant a notice to vacate for reasons such as causing malicious damage to the property, using the property for illegal purposes, or owing more than 14 days’ rent. If none of these apply, the landlord must wait until the end of the fixed</w:t>
      </w:r>
      <w:r>
        <w:t>-</w:t>
      </w:r>
      <w:r w:rsidRPr="005779F4">
        <w:t>term agreement to end the lease.  The landlord can also end the lease early or reduce the number of years on the agreement</w:t>
      </w:r>
      <w:r>
        <w:t>,</w:t>
      </w:r>
      <w:r w:rsidRPr="005779F4">
        <w:t xml:space="preserve"> if the tenant agrees.</w:t>
      </w:r>
    </w:p>
    <w:p w:rsidR="00A411FC" w:rsidRPr="005779F4" w:rsidRDefault="00A411FC" w:rsidP="00A411FC">
      <w:pPr>
        <w:pStyle w:val="CAVbullet1"/>
      </w:pPr>
      <w:r w:rsidRPr="005779F4">
        <w:t>If the landlord wants to end the lease due to hardship reasons, such as financial or medical, they can apply VCAT</w:t>
      </w:r>
      <w:r>
        <w:t xml:space="preserve"> </w:t>
      </w:r>
      <w:r w:rsidRPr="005779F4">
        <w:t>for a ruling.</w:t>
      </w:r>
    </w:p>
    <w:p w:rsidR="00A411FC" w:rsidRPr="005779F4" w:rsidRDefault="00A411FC" w:rsidP="00A411FC">
      <w:pPr>
        <w:pStyle w:val="CAVbullet1"/>
      </w:pPr>
      <w:bookmarkStart w:id="16" w:name="_Hlk3561101"/>
      <w:r w:rsidRPr="005779F4">
        <w:t xml:space="preserve">Tenants experiencing </w:t>
      </w:r>
      <w:r>
        <w:t>family</w:t>
      </w:r>
      <w:r w:rsidRPr="005779F4">
        <w:t xml:space="preserve"> violence can apply to VCAT to end the lease agreement early.</w:t>
      </w:r>
    </w:p>
    <w:bookmarkEnd w:id="16"/>
    <w:p w:rsidR="00A411FC" w:rsidRPr="005779F4" w:rsidRDefault="00A411FC" w:rsidP="001467DC">
      <w:pPr>
        <w:pStyle w:val="CAVbullet1"/>
      </w:pPr>
      <w:r>
        <w:lastRenderedPageBreak/>
        <w:t>T</w:t>
      </w:r>
      <w:r w:rsidRPr="005779F4">
        <w:t>enants and landlords can also apply to VCAT for a compliance order if they feel the other party is not following a term agreed to in the long-term lease. Most of the reasons and timeframes for giving tenants a notice to vacate still apply in a long-term lease. More info</w:t>
      </w:r>
      <w:r w:rsidR="001467DC">
        <w:t>rmation</w:t>
      </w:r>
      <w:r w:rsidRPr="005779F4">
        <w:t xml:space="preserve">: </w:t>
      </w:r>
      <w:hyperlink r:id="rId20" w:history="1">
        <w:r w:rsidRPr="001467DC">
          <w:rPr>
            <w:rStyle w:val="Hyperlink"/>
            <w:rFonts w:ascii="Calibri" w:hAnsi="Calibri" w:cs="Calibri"/>
          </w:rPr>
          <w:t>http://bit.ly/LandlordNTV</w:t>
        </w:r>
      </w:hyperlink>
      <w:r w:rsidRPr="005779F4">
        <w:t xml:space="preserve"> </w:t>
      </w:r>
    </w:p>
    <w:p w:rsidR="006D360C" w:rsidRPr="003072C6" w:rsidRDefault="00A411FC" w:rsidP="0022724E">
      <w:pPr>
        <w:pStyle w:val="CAVbody"/>
      </w:pPr>
      <w:bookmarkStart w:id="17" w:name="_Hlk3561140"/>
      <w:bookmarkEnd w:id="12"/>
      <w:r w:rsidRPr="00497811">
        <w:t xml:space="preserve">For more information on long-term leases and whether </w:t>
      </w:r>
      <w:r>
        <w:t>they are</w:t>
      </w:r>
      <w:r w:rsidRPr="00497811">
        <w:t xml:space="preserve"> right for you, </w:t>
      </w:r>
      <w:r>
        <w:t xml:space="preserve">visit the </w:t>
      </w:r>
      <w:r w:rsidRPr="00D51E43">
        <w:t>Long-term leases</w:t>
      </w:r>
      <w:r>
        <w:t xml:space="preserve"> page on the Consumer Affairs Victoria website: </w:t>
      </w:r>
      <w:hyperlink r:id="rId21" w:history="1">
        <w:r w:rsidRPr="00AD1255">
          <w:rPr>
            <w:rStyle w:val="Hyperlink"/>
            <w:rFonts w:ascii="Calibri" w:hAnsi="Calibri" w:cs="Calibri"/>
          </w:rPr>
          <w:t>consumer.vic.gov.au/LTL</w:t>
        </w:r>
      </w:hyperlink>
      <w:r>
        <w:t xml:space="preserve">. </w:t>
      </w:r>
      <w:bookmarkEnd w:id="17"/>
      <w:r>
        <w:rPr>
          <w:color w:val="595959"/>
          <w:sz w:val="18"/>
          <w:szCs w:val="18"/>
        </w:rPr>
        <w:t xml:space="preserve"> </w:t>
      </w:r>
      <w:bookmarkEnd w:id="2"/>
      <w:r>
        <w:t xml:space="preserve"> </w:t>
      </w:r>
    </w:p>
    <w:sectPr w:rsidR="006D360C" w:rsidRPr="003072C6" w:rsidSect="004C385A">
      <w:headerReference w:type="even" r:id="rId22"/>
      <w:headerReference w:type="default" r:id="rId23"/>
      <w:footerReference w:type="even" r:id="rId24"/>
      <w:footerReference w:type="default" r:id="rId25"/>
      <w:pgSz w:w="11906" w:h="16838" w:code="9"/>
      <w:pgMar w:top="2268" w:right="1418" w:bottom="1701" w:left="1418" w:header="45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CD2" w:rsidRDefault="009A4CD2">
      <w:r>
        <w:separator/>
      </w:r>
    </w:p>
    <w:p w:rsidR="009A4CD2" w:rsidRDefault="009A4CD2"/>
  </w:endnote>
  <w:endnote w:type="continuationSeparator" w:id="0">
    <w:p w:rsidR="009A4CD2" w:rsidRDefault="009A4CD2">
      <w:r>
        <w:continuationSeparator/>
      </w:r>
    </w:p>
    <w:p w:rsidR="009A4CD2" w:rsidRDefault="009A4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1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8114D1" w:rsidRDefault="00977C63" w:rsidP="00190105">
    <w:pPr>
      <w:pStyle w:val="CAVfooter"/>
    </w:pPr>
    <w:r>
      <w:t xml:space="preserve">Page </w:t>
    </w:r>
    <w:r w:rsidRPr="005A39EC">
      <w:fldChar w:fldCharType="begin"/>
    </w:r>
    <w:r w:rsidRPr="005A39EC">
      <w:instrText xml:space="preserve"> PAGE </w:instrText>
    </w:r>
    <w:r w:rsidRPr="005A39EC">
      <w:fldChar w:fldCharType="separate"/>
    </w:r>
    <w:r w:rsidR="000F78E5">
      <w:rPr>
        <w:noProof/>
      </w:rPr>
      <w:t>2</w:t>
    </w:r>
    <w:r w:rsidRPr="005A39EC">
      <w:fldChar w:fldCharType="end"/>
    </w:r>
    <w:r>
      <w:tab/>
      <w:t>Document title</w:t>
    </w:r>
  </w:p>
  <w:p w:rsidR="00C239E4" w:rsidRDefault="00C239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Ind w:w="0" w:type="dxa"/>
      <w:tblBorders>
        <w:top w:val="none" w:sz="0" w:space="0" w:color="auto"/>
        <w:bottom w:val="none" w:sz="0" w:space="0" w:color="auto"/>
        <w:insideH w:val="none" w:sz="0" w:space="0" w:color="auto"/>
      </w:tblBorders>
      <w:tblCellMar>
        <w:left w:w="0" w:type="dxa"/>
        <w:right w:w="0" w:type="dxa"/>
      </w:tblCellMar>
      <w:tblLook w:val="04A0" w:firstRow="1" w:lastRow="0" w:firstColumn="1" w:lastColumn="0" w:noHBand="0" w:noVBand="1"/>
    </w:tblPr>
    <w:tblGrid>
      <w:gridCol w:w="6096"/>
      <w:gridCol w:w="2976"/>
    </w:tblGrid>
    <w:tr w:rsidR="00217CDA" w:rsidTr="006323FC">
      <w:trPr>
        <w:cnfStyle w:val="100000000000" w:firstRow="1" w:lastRow="0" w:firstColumn="0" w:lastColumn="0" w:oddVBand="0" w:evenVBand="0" w:oddHBand="0" w:evenHBand="0" w:firstRowFirstColumn="0" w:firstRowLastColumn="0" w:lastRowFirstColumn="0" w:lastRowLastColumn="0"/>
      </w:trPr>
      <w:tc>
        <w:tcPr>
          <w:tcW w:w="6096" w:type="dxa"/>
          <w:shd w:val="clear" w:color="auto" w:fill="auto"/>
          <w:hideMark/>
        </w:tcPr>
        <w:p w:rsidR="00780D4A" w:rsidRDefault="00D05BCB">
          <w:pPr>
            <w:pStyle w:val="Footer"/>
            <w:rPr>
              <w:color w:val="595959" w:themeColor="text1" w:themeTint="A6"/>
              <w:szCs w:val="16"/>
            </w:rPr>
          </w:pPr>
          <w:bookmarkStart w:id="18" w:name="_Hlk517688279"/>
          <w:r>
            <w:rPr>
              <w:color w:val="595959" w:themeColor="text1" w:themeTint="A6"/>
              <w:szCs w:val="16"/>
            </w:rPr>
            <w:t>Long-term leasing: Information for tenants</w:t>
          </w:r>
        </w:p>
        <w:p w:rsidR="00217CDA" w:rsidRDefault="001467DC">
          <w:pPr>
            <w:pStyle w:val="Footer"/>
            <w:rPr>
              <w:rFonts w:eastAsiaTheme="minorEastAsia"/>
              <w:color w:val="595959" w:themeColor="text1" w:themeTint="A6"/>
              <w:lang w:val="en-US" w:eastAsia="ja-JP"/>
            </w:rPr>
          </w:pPr>
          <w:r>
            <w:rPr>
              <w:color w:val="595959" w:themeColor="text1" w:themeTint="A6"/>
              <w:szCs w:val="16"/>
            </w:rPr>
            <w:t>P</w:t>
          </w:r>
          <w:r w:rsidR="00217CDA">
            <w:rPr>
              <w:color w:val="595959" w:themeColor="text1" w:themeTint="A6"/>
              <w:szCs w:val="16"/>
            </w:rPr>
            <w:t xml:space="preserve">age </w:t>
          </w:r>
          <w:r w:rsidR="00217CDA">
            <w:rPr>
              <w:color w:val="595959" w:themeColor="text1" w:themeTint="A6"/>
            </w:rPr>
            <w:fldChar w:fldCharType="begin"/>
          </w:r>
          <w:r w:rsidR="00217CDA">
            <w:rPr>
              <w:color w:val="595959" w:themeColor="text1" w:themeTint="A6"/>
              <w:szCs w:val="16"/>
            </w:rPr>
            <w:instrText xml:space="preserve"> PAGE   \* MERGEFORMAT </w:instrText>
          </w:r>
          <w:r w:rsidR="00217CDA">
            <w:rPr>
              <w:color w:val="595959" w:themeColor="text1" w:themeTint="A6"/>
            </w:rPr>
            <w:fldChar w:fldCharType="separate"/>
          </w:r>
          <w:r w:rsidR="00BB24F2">
            <w:rPr>
              <w:noProof/>
              <w:color w:val="595959" w:themeColor="text1" w:themeTint="A6"/>
              <w:szCs w:val="16"/>
            </w:rPr>
            <w:t>2</w:t>
          </w:r>
          <w:r w:rsidR="00217CDA">
            <w:rPr>
              <w:color w:val="595959" w:themeColor="text1" w:themeTint="A6"/>
            </w:rPr>
            <w:fldChar w:fldCharType="end"/>
          </w:r>
        </w:p>
      </w:tc>
      <w:tc>
        <w:tcPr>
          <w:tcW w:w="2976" w:type="dxa"/>
          <w:shd w:val="clear" w:color="auto" w:fill="auto"/>
          <w:hideMark/>
        </w:tcPr>
        <w:p w:rsidR="00217CDA" w:rsidRDefault="00217CDA">
          <w:pPr>
            <w:pStyle w:val="Footer"/>
            <w:jc w:val="right"/>
            <w:rPr>
              <w:rFonts w:eastAsiaTheme="minorEastAsia"/>
              <w:color w:val="595959" w:themeColor="text1" w:themeTint="A6"/>
              <w:sz w:val="20"/>
              <w:lang w:val="en-US" w:eastAsia="ja-JP"/>
            </w:rPr>
          </w:pPr>
          <w:r>
            <w:rPr>
              <w:noProof/>
              <w:color w:val="595959" w:themeColor="text1" w:themeTint="A6"/>
              <w:lang w:eastAsia="en-AU"/>
            </w:rPr>
            <w:drawing>
              <wp:inline distT="0" distB="0" distL="0" distR="0" wp14:anchorId="0165B78E" wp14:editId="363F66C7">
                <wp:extent cx="1687830" cy="468630"/>
                <wp:effectExtent l="0" t="0" r="7620" b="762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468630"/>
                        </a:xfrm>
                        <a:prstGeom prst="rect">
                          <a:avLst/>
                        </a:prstGeom>
                        <a:noFill/>
                        <a:ln>
                          <a:noFill/>
                        </a:ln>
                      </pic:spPr>
                    </pic:pic>
                  </a:graphicData>
                </a:graphic>
              </wp:inline>
            </w:drawing>
          </w:r>
        </w:p>
      </w:tc>
    </w:tr>
    <w:bookmarkEnd w:id="18"/>
  </w:tbl>
  <w:p w:rsidR="002D3D83" w:rsidRPr="00217CDA" w:rsidRDefault="002D3D83" w:rsidP="006323FC">
    <w:pPr>
      <w:pStyle w:val="CAV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CD2" w:rsidRDefault="009A4CD2">
      <w:r>
        <w:separator/>
      </w:r>
    </w:p>
    <w:p w:rsidR="009A4CD2" w:rsidRDefault="009A4CD2"/>
  </w:footnote>
  <w:footnote w:type="continuationSeparator" w:id="0">
    <w:p w:rsidR="009A4CD2" w:rsidRDefault="009A4CD2">
      <w:r>
        <w:continuationSeparator/>
      </w:r>
    </w:p>
    <w:p w:rsidR="009A4CD2" w:rsidRDefault="009A4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69374A" w:rsidRDefault="00977C63" w:rsidP="00190105">
    <w:pPr>
      <w:pStyle w:val="CAVheader"/>
    </w:pPr>
  </w:p>
  <w:p w:rsidR="00C239E4" w:rsidRDefault="00C239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D83" w:rsidRDefault="002D3D83" w:rsidP="007E1711">
    <w:pPr>
      <w:pStyle w:val="CAVheader"/>
    </w:pPr>
    <w:r>
      <w:rPr>
        <w:noProof/>
        <w:lang w:eastAsia="en-AU"/>
      </w:rPr>
      <w:drawing>
        <wp:anchor distT="0" distB="0" distL="114300" distR="114300" simplePos="0" relativeHeight="251660288" behindDoc="1" locked="1" layoutInCell="1" allowOverlap="0" wp14:anchorId="10789424" wp14:editId="7CD7E47E">
          <wp:simplePos x="0" y="0"/>
          <wp:positionH relativeFrom="page">
            <wp:posOffset>0</wp:posOffset>
          </wp:positionH>
          <wp:positionV relativeFrom="page">
            <wp:posOffset>0</wp:posOffset>
          </wp:positionV>
          <wp:extent cx="7576200" cy="1246680"/>
          <wp:effectExtent l="0" t="0" r="5715" b="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
                    <a:extLst>
                      <a:ext uri="{28A0092B-C50C-407E-A947-70E740481C1C}">
                        <a14:useLocalDpi xmlns:a14="http://schemas.microsoft.com/office/drawing/2010/main" val="0"/>
                      </a:ext>
                    </a:extLst>
                  </a:blip>
                  <a:srcRect b="88365"/>
                  <a:stretch>
                    <a:fillRect/>
                  </a:stretch>
                </pic:blipFill>
                <pic:spPr bwMode="auto">
                  <a:xfrm>
                    <a:off x="0" y="0"/>
                    <a:ext cx="7576200" cy="1246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E30"/>
    <w:multiLevelType w:val="multilevel"/>
    <w:tmpl w:val="4A1477D0"/>
    <w:styleLink w:val="ZZNumbersloweralpha"/>
    <w:lvl w:ilvl="0">
      <w:start w:val="1"/>
      <w:numFmt w:val="lowerLetter"/>
      <w:pStyle w:val="CAVnumberloweralpha"/>
      <w:lvlText w:val="(%1)"/>
      <w:lvlJc w:val="left"/>
      <w:pPr>
        <w:tabs>
          <w:tab w:val="num" w:pos="397"/>
        </w:tabs>
        <w:ind w:left="397" w:hanging="397"/>
      </w:pPr>
      <w:rPr>
        <w:rFonts w:hint="default"/>
      </w:rPr>
    </w:lvl>
    <w:lvl w:ilvl="1">
      <w:start w:val="1"/>
      <w:numFmt w:val="lowerLetter"/>
      <w:pStyle w:val="CAV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2B7D0561"/>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7B96CDA"/>
    <w:multiLevelType w:val="multilevel"/>
    <w:tmpl w:val="ACFE2276"/>
    <w:lvl w:ilvl="0">
      <w:start w:val="1"/>
      <w:numFmt w:val="decimal"/>
      <w:pStyle w:val="CAV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B6008B3"/>
    <w:multiLevelType w:val="hybridMultilevel"/>
    <w:tmpl w:val="F1D6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CAVnumberdigitindent"/>
      <w:lvlText w:val="%2."/>
      <w:lvlJc w:val="left"/>
      <w:pPr>
        <w:tabs>
          <w:tab w:val="num" w:pos="794"/>
        </w:tabs>
        <w:ind w:left="794" w:hanging="397"/>
      </w:pPr>
      <w:rPr>
        <w:rFonts w:hint="default"/>
      </w:rPr>
    </w:lvl>
    <w:lvl w:ilvl="2">
      <w:start w:val="1"/>
      <w:numFmt w:val="bullet"/>
      <w:lvlRestart w:val="0"/>
      <w:pStyle w:val="CAVbulletafternumbers1"/>
      <w:lvlText w:val="•"/>
      <w:lvlJc w:val="left"/>
      <w:pPr>
        <w:ind w:left="794" w:hanging="397"/>
      </w:pPr>
      <w:rPr>
        <w:rFonts w:ascii="Calibri" w:hAnsi="Calibri" w:hint="default"/>
        <w:color w:val="auto"/>
      </w:rPr>
    </w:lvl>
    <w:lvl w:ilvl="3">
      <w:start w:val="1"/>
      <w:numFmt w:val="bullet"/>
      <w:lvlRestart w:val="0"/>
      <w:pStyle w:val="CAV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CAVnumberlowerroman"/>
      <w:lvlText w:val="(%1)"/>
      <w:lvlJc w:val="left"/>
      <w:pPr>
        <w:tabs>
          <w:tab w:val="num" w:pos="397"/>
        </w:tabs>
        <w:ind w:left="397" w:hanging="397"/>
      </w:pPr>
      <w:rPr>
        <w:rFonts w:hint="default"/>
      </w:rPr>
    </w:lvl>
    <w:lvl w:ilvl="1">
      <w:start w:val="1"/>
      <w:numFmt w:val="lowerRoman"/>
      <w:pStyle w:val="CAV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CAVtablebullet1"/>
      <w:lvlText w:val="•"/>
      <w:lvlJc w:val="left"/>
      <w:pPr>
        <w:ind w:left="227" w:hanging="227"/>
      </w:pPr>
      <w:rPr>
        <w:rFonts w:ascii="Calibri" w:hAnsi="Calibri" w:hint="default"/>
      </w:rPr>
    </w:lvl>
    <w:lvl w:ilvl="1">
      <w:start w:val="1"/>
      <w:numFmt w:val="bullet"/>
      <w:lvlRestart w:val="0"/>
      <w:pStyle w:val="CA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F1AE3C58"/>
    <w:styleLink w:val="ZZBullets"/>
    <w:lvl w:ilvl="0">
      <w:start w:val="1"/>
      <w:numFmt w:val="bullet"/>
      <w:pStyle w:val="CAVbullet1"/>
      <w:lvlText w:val="•"/>
      <w:lvlJc w:val="left"/>
      <w:pPr>
        <w:ind w:left="284" w:hanging="284"/>
      </w:pPr>
      <w:rPr>
        <w:rFonts w:ascii="Calibri" w:hAnsi="Calibri" w:hint="default"/>
      </w:rPr>
    </w:lvl>
    <w:lvl w:ilvl="1">
      <w:start w:val="1"/>
      <w:numFmt w:val="bullet"/>
      <w:lvlRestart w:val="0"/>
      <w:pStyle w:val="CA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CAVquotebullet1"/>
      <w:lvlText w:val="•"/>
      <w:lvlJc w:val="left"/>
      <w:pPr>
        <w:ind w:left="680" w:hanging="283"/>
      </w:pPr>
      <w:rPr>
        <w:rFonts w:ascii="Calibri" w:hAnsi="Calibri" w:hint="default"/>
        <w:color w:val="auto"/>
      </w:rPr>
    </w:lvl>
    <w:lvl w:ilvl="1">
      <w:start w:val="1"/>
      <w:numFmt w:val="bullet"/>
      <w:lvlRestart w:val="0"/>
      <w:pStyle w:val="CAV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96F1AAB"/>
    <w:multiLevelType w:val="hybridMultilevel"/>
    <w:tmpl w:val="6A98E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597544"/>
    <w:multiLevelType w:val="hybridMultilevel"/>
    <w:tmpl w:val="EBB2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5"/>
  </w:num>
  <w:num w:numId="18">
    <w:abstractNumId w:val="5"/>
  </w:num>
  <w:num w:numId="19">
    <w:abstractNumId w:val="3"/>
  </w:num>
  <w:num w:numId="20">
    <w:abstractNumId w:val="0"/>
  </w:num>
  <w:num w:numId="21">
    <w:abstractNumId w:val="5"/>
  </w:num>
  <w:num w:numId="22">
    <w:abstractNumId w:val="0"/>
  </w:num>
  <w:num w:numId="23">
    <w:abstractNumId w:val="6"/>
  </w:num>
  <w:num w:numId="24">
    <w:abstractNumId w:val="6"/>
  </w:num>
  <w:num w:numId="25">
    <w:abstractNumId w:val="9"/>
  </w:num>
  <w:num w:numId="26">
    <w:abstractNumId w:val="9"/>
  </w:num>
  <w:num w:numId="27">
    <w:abstractNumId w:val="7"/>
  </w:num>
  <w:num w:numId="28">
    <w:abstractNumId w:val="7"/>
  </w:num>
  <w:num w:numId="29">
    <w:abstractNumId w:val="8"/>
  </w:num>
  <w:num w:numId="30">
    <w:abstractNumId w:val="5"/>
  </w:num>
  <w:num w:numId="31">
    <w:abstractNumId w:val="0"/>
  </w:num>
  <w:num w:numId="32">
    <w:abstractNumId w:val="9"/>
  </w:num>
  <w:num w:numId="33">
    <w:abstractNumId w:val="6"/>
  </w:num>
  <w:num w:numId="34">
    <w:abstractNumId w:val="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
  </w:num>
  <w:num w:numId="41">
    <w:abstractNumId w:val="8"/>
  </w:num>
  <w:num w:numId="4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7DDF"/>
    <w:rsid w:val="00002990"/>
    <w:rsid w:val="000048AC"/>
    <w:rsid w:val="00014FC4"/>
    <w:rsid w:val="00020AAB"/>
    <w:rsid w:val="000223A4"/>
    <w:rsid w:val="00022E60"/>
    <w:rsid w:val="00026C19"/>
    <w:rsid w:val="00031263"/>
    <w:rsid w:val="0005587D"/>
    <w:rsid w:val="00060E93"/>
    <w:rsid w:val="00063847"/>
    <w:rsid w:val="00064936"/>
    <w:rsid w:val="000734F8"/>
    <w:rsid w:val="000736B8"/>
    <w:rsid w:val="000817CB"/>
    <w:rsid w:val="000873EF"/>
    <w:rsid w:val="000B3792"/>
    <w:rsid w:val="000C6242"/>
    <w:rsid w:val="000C68DB"/>
    <w:rsid w:val="000D2C32"/>
    <w:rsid w:val="000E6F72"/>
    <w:rsid w:val="000F0478"/>
    <w:rsid w:val="000F0A50"/>
    <w:rsid w:val="000F78E5"/>
    <w:rsid w:val="00103D5E"/>
    <w:rsid w:val="00104EA7"/>
    <w:rsid w:val="00105FAD"/>
    <w:rsid w:val="0011155B"/>
    <w:rsid w:val="00111A6A"/>
    <w:rsid w:val="00121BF1"/>
    <w:rsid w:val="00127A8B"/>
    <w:rsid w:val="00134BE5"/>
    <w:rsid w:val="001412D1"/>
    <w:rsid w:val="001423E3"/>
    <w:rsid w:val="001467DC"/>
    <w:rsid w:val="001475EA"/>
    <w:rsid w:val="001504F5"/>
    <w:rsid w:val="001517BD"/>
    <w:rsid w:val="0015789D"/>
    <w:rsid w:val="00161BA2"/>
    <w:rsid w:val="00167DDF"/>
    <w:rsid w:val="0017248D"/>
    <w:rsid w:val="00173626"/>
    <w:rsid w:val="00175206"/>
    <w:rsid w:val="0017614A"/>
    <w:rsid w:val="0018177B"/>
    <w:rsid w:val="001817CD"/>
    <w:rsid w:val="0018235E"/>
    <w:rsid w:val="0018768C"/>
    <w:rsid w:val="00190105"/>
    <w:rsid w:val="00192BA0"/>
    <w:rsid w:val="00197303"/>
    <w:rsid w:val="001A17EA"/>
    <w:rsid w:val="001A1D17"/>
    <w:rsid w:val="001A22AA"/>
    <w:rsid w:val="001A7A18"/>
    <w:rsid w:val="001B1565"/>
    <w:rsid w:val="001B166D"/>
    <w:rsid w:val="001B28B5"/>
    <w:rsid w:val="001B2975"/>
    <w:rsid w:val="001C08A9"/>
    <w:rsid w:val="001C122D"/>
    <w:rsid w:val="001D2A82"/>
    <w:rsid w:val="001D569B"/>
    <w:rsid w:val="001E0EA3"/>
    <w:rsid w:val="001E4995"/>
    <w:rsid w:val="001E7A42"/>
    <w:rsid w:val="001F09DC"/>
    <w:rsid w:val="001F43E6"/>
    <w:rsid w:val="00203582"/>
    <w:rsid w:val="00213772"/>
    <w:rsid w:val="00214189"/>
    <w:rsid w:val="00215D68"/>
    <w:rsid w:val="00217CDA"/>
    <w:rsid w:val="00220749"/>
    <w:rsid w:val="0022422C"/>
    <w:rsid w:val="0022724E"/>
    <w:rsid w:val="00230666"/>
    <w:rsid w:val="00231153"/>
    <w:rsid w:val="0023252E"/>
    <w:rsid w:val="00241C31"/>
    <w:rsid w:val="00256E7C"/>
    <w:rsid w:val="002679D5"/>
    <w:rsid w:val="002714FD"/>
    <w:rsid w:val="00275F94"/>
    <w:rsid w:val="00281B9C"/>
    <w:rsid w:val="00284C9B"/>
    <w:rsid w:val="002A141B"/>
    <w:rsid w:val="002A26B6"/>
    <w:rsid w:val="002A6A4E"/>
    <w:rsid w:val="002B5A85"/>
    <w:rsid w:val="002B63A7"/>
    <w:rsid w:val="002C5543"/>
    <w:rsid w:val="002D0F7F"/>
    <w:rsid w:val="002D3D83"/>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23A2"/>
    <w:rsid w:val="00355886"/>
    <w:rsid w:val="00356814"/>
    <w:rsid w:val="00367778"/>
    <w:rsid w:val="003741AD"/>
    <w:rsid w:val="0038019F"/>
    <w:rsid w:val="003805DD"/>
    <w:rsid w:val="00382071"/>
    <w:rsid w:val="003927B1"/>
    <w:rsid w:val="003A2F25"/>
    <w:rsid w:val="003A67D6"/>
    <w:rsid w:val="003B2807"/>
    <w:rsid w:val="003C68F2"/>
    <w:rsid w:val="003D58B8"/>
    <w:rsid w:val="003D5CFB"/>
    <w:rsid w:val="003E19F2"/>
    <w:rsid w:val="003E2636"/>
    <w:rsid w:val="003E2E12"/>
    <w:rsid w:val="003E5768"/>
    <w:rsid w:val="003F2459"/>
    <w:rsid w:val="003F39CE"/>
    <w:rsid w:val="00401108"/>
    <w:rsid w:val="00402927"/>
    <w:rsid w:val="00407993"/>
    <w:rsid w:val="00410AFD"/>
    <w:rsid w:val="00411833"/>
    <w:rsid w:val="00412F64"/>
    <w:rsid w:val="00417BEB"/>
    <w:rsid w:val="00417CC6"/>
    <w:rsid w:val="004324FF"/>
    <w:rsid w:val="00432A55"/>
    <w:rsid w:val="004372B7"/>
    <w:rsid w:val="0044260A"/>
    <w:rsid w:val="00444D82"/>
    <w:rsid w:val="004564C6"/>
    <w:rsid w:val="004610CC"/>
    <w:rsid w:val="00465464"/>
    <w:rsid w:val="00465E87"/>
    <w:rsid w:val="0047786A"/>
    <w:rsid w:val="00477A65"/>
    <w:rsid w:val="00482DB3"/>
    <w:rsid w:val="004A0236"/>
    <w:rsid w:val="004A369A"/>
    <w:rsid w:val="004A3B3E"/>
    <w:rsid w:val="004C385A"/>
    <w:rsid w:val="004C5777"/>
    <w:rsid w:val="004D0173"/>
    <w:rsid w:val="004D1056"/>
    <w:rsid w:val="004D2B7B"/>
    <w:rsid w:val="004D3577"/>
    <w:rsid w:val="004E1EDE"/>
    <w:rsid w:val="004E21E2"/>
    <w:rsid w:val="004E293F"/>
    <w:rsid w:val="004E380D"/>
    <w:rsid w:val="004E7922"/>
    <w:rsid w:val="004F0DFC"/>
    <w:rsid w:val="004F18A8"/>
    <w:rsid w:val="004F3441"/>
    <w:rsid w:val="004F41B2"/>
    <w:rsid w:val="004F4AFC"/>
    <w:rsid w:val="004F52A5"/>
    <w:rsid w:val="00500C8C"/>
    <w:rsid w:val="00501375"/>
    <w:rsid w:val="00501D3B"/>
    <w:rsid w:val="005022C9"/>
    <w:rsid w:val="00502B8F"/>
    <w:rsid w:val="0050779D"/>
    <w:rsid w:val="005139EA"/>
    <w:rsid w:val="00520BBB"/>
    <w:rsid w:val="00524310"/>
    <w:rsid w:val="00525456"/>
    <w:rsid w:val="00526D47"/>
    <w:rsid w:val="00532236"/>
    <w:rsid w:val="005338EA"/>
    <w:rsid w:val="00541DFE"/>
    <w:rsid w:val="00543E6C"/>
    <w:rsid w:val="00544184"/>
    <w:rsid w:val="00551789"/>
    <w:rsid w:val="00553F68"/>
    <w:rsid w:val="005552FD"/>
    <w:rsid w:val="00555ADD"/>
    <w:rsid w:val="005600E5"/>
    <w:rsid w:val="00564E8F"/>
    <w:rsid w:val="00564F00"/>
    <w:rsid w:val="005728A4"/>
    <w:rsid w:val="005763FC"/>
    <w:rsid w:val="00576EB4"/>
    <w:rsid w:val="00577B30"/>
    <w:rsid w:val="00582768"/>
    <w:rsid w:val="00583461"/>
    <w:rsid w:val="005856A4"/>
    <w:rsid w:val="00590730"/>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323FC"/>
    <w:rsid w:val="00637D59"/>
    <w:rsid w:val="00653B84"/>
    <w:rsid w:val="00653E0D"/>
    <w:rsid w:val="0068485E"/>
    <w:rsid w:val="00685322"/>
    <w:rsid w:val="006865C8"/>
    <w:rsid w:val="00686B48"/>
    <w:rsid w:val="00687038"/>
    <w:rsid w:val="0068714E"/>
    <w:rsid w:val="006872F5"/>
    <w:rsid w:val="006929F7"/>
    <w:rsid w:val="0069374A"/>
    <w:rsid w:val="00694AB8"/>
    <w:rsid w:val="00695EF7"/>
    <w:rsid w:val="0069699D"/>
    <w:rsid w:val="006B2C51"/>
    <w:rsid w:val="006B6361"/>
    <w:rsid w:val="006D24CE"/>
    <w:rsid w:val="006D360C"/>
    <w:rsid w:val="006D5AC9"/>
    <w:rsid w:val="006D66ED"/>
    <w:rsid w:val="006E786B"/>
    <w:rsid w:val="006F3E0E"/>
    <w:rsid w:val="007002B1"/>
    <w:rsid w:val="00704EB7"/>
    <w:rsid w:val="00705742"/>
    <w:rsid w:val="007104FE"/>
    <w:rsid w:val="00711B0C"/>
    <w:rsid w:val="007121A2"/>
    <w:rsid w:val="00713981"/>
    <w:rsid w:val="007176D6"/>
    <w:rsid w:val="00727D54"/>
    <w:rsid w:val="00731EF2"/>
    <w:rsid w:val="007344C5"/>
    <w:rsid w:val="00734959"/>
    <w:rsid w:val="00735137"/>
    <w:rsid w:val="0073520D"/>
    <w:rsid w:val="007373DB"/>
    <w:rsid w:val="00745AE8"/>
    <w:rsid w:val="007754D5"/>
    <w:rsid w:val="00780226"/>
    <w:rsid w:val="00780D4A"/>
    <w:rsid w:val="00781AB4"/>
    <w:rsid w:val="007923B7"/>
    <w:rsid w:val="00792616"/>
    <w:rsid w:val="007926BB"/>
    <w:rsid w:val="0079344C"/>
    <w:rsid w:val="007968AE"/>
    <w:rsid w:val="007A0283"/>
    <w:rsid w:val="007C02C7"/>
    <w:rsid w:val="007C21EE"/>
    <w:rsid w:val="007D3A2E"/>
    <w:rsid w:val="007D6652"/>
    <w:rsid w:val="007E1711"/>
    <w:rsid w:val="007E343D"/>
    <w:rsid w:val="007F4383"/>
    <w:rsid w:val="007F5858"/>
    <w:rsid w:val="007F6862"/>
    <w:rsid w:val="00801601"/>
    <w:rsid w:val="0080169A"/>
    <w:rsid w:val="008036A7"/>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669BE"/>
    <w:rsid w:val="00876275"/>
    <w:rsid w:val="00882B99"/>
    <w:rsid w:val="00884ECB"/>
    <w:rsid w:val="00886121"/>
    <w:rsid w:val="008A295B"/>
    <w:rsid w:val="008A5B97"/>
    <w:rsid w:val="008A6604"/>
    <w:rsid w:val="008B1C73"/>
    <w:rsid w:val="008B5482"/>
    <w:rsid w:val="008C11F4"/>
    <w:rsid w:val="008C2BEC"/>
    <w:rsid w:val="008C6523"/>
    <w:rsid w:val="008C6D0E"/>
    <w:rsid w:val="008D09D2"/>
    <w:rsid w:val="008D37EA"/>
    <w:rsid w:val="008D39C5"/>
    <w:rsid w:val="008D46CE"/>
    <w:rsid w:val="008D4E4C"/>
    <w:rsid w:val="008E1D89"/>
    <w:rsid w:val="008E3E3E"/>
    <w:rsid w:val="008F06F3"/>
    <w:rsid w:val="008F38C2"/>
    <w:rsid w:val="008F5F87"/>
    <w:rsid w:val="00900A34"/>
    <w:rsid w:val="00901B47"/>
    <w:rsid w:val="00906132"/>
    <w:rsid w:val="00907073"/>
    <w:rsid w:val="009208F5"/>
    <w:rsid w:val="00927D51"/>
    <w:rsid w:val="00932272"/>
    <w:rsid w:val="00932862"/>
    <w:rsid w:val="00935D60"/>
    <w:rsid w:val="009447BB"/>
    <w:rsid w:val="00944C48"/>
    <w:rsid w:val="00946335"/>
    <w:rsid w:val="009513C4"/>
    <w:rsid w:val="00952D73"/>
    <w:rsid w:val="00955E55"/>
    <w:rsid w:val="00962200"/>
    <w:rsid w:val="00964526"/>
    <w:rsid w:val="00966F54"/>
    <w:rsid w:val="00975E61"/>
    <w:rsid w:val="00976E31"/>
    <w:rsid w:val="00977C63"/>
    <w:rsid w:val="00980087"/>
    <w:rsid w:val="00980C0B"/>
    <w:rsid w:val="0098524F"/>
    <w:rsid w:val="00987ABE"/>
    <w:rsid w:val="009906C7"/>
    <w:rsid w:val="009963CD"/>
    <w:rsid w:val="009A4CD2"/>
    <w:rsid w:val="009B266D"/>
    <w:rsid w:val="009B5CBF"/>
    <w:rsid w:val="009C184A"/>
    <w:rsid w:val="009C2CA5"/>
    <w:rsid w:val="009D35B3"/>
    <w:rsid w:val="009D3E45"/>
    <w:rsid w:val="009F351F"/>
    <w:rsid w:val="009F3F89"/>
    <w:rsid w:val="009F480E"/>
    <w:rsid w:val="00A022A2"/>
    <w:rsid w:val="00A02D15"/>
    <w:rsid w:val="00A11403"/>
    <w:rsid w:val="00A26B0D"/>
    <w:rsid w:val="00A3735A"/>
    <w:rsid w:val="00A411FC"/>
    <w:rsid w:val="00A42F1B"/>
    <w:rsid w:val="00A44EBE"/>
    <w:rsid w:val="00A50F5D"/>
    <w:rsid w:val="00A546BC"/>
    <w:rsid w:val="00A55989"/>
    <w:rsid w:val="00A5694A"/>
    <w:rsid w:val="00A63DA4"/>
    <w:rsid w:val="00A75CD5"/>
    <w:rsid w:val="00A763D5"/>
    <w:rsid w:val="00A83DF3"/>
    <w:rsid w:val="00A85915"/>
    <w:rsid w:val="00A86270"/>
    <w:rsid w:val="00A87DF2"/>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057F5"/>
    <w:rsid w:val="00B128A0"/>
    <w:rsid w:val="00B20240"/>
    <w:rsid w:val="00B23281"/>
    <w:rsid w:val="00B27571"/>
    <w:rsid w:val="00B4164B"/>
    <w:rsid w:val="00B50001"/>
    <w:rsid w:val="00B5409A"/>
    <w:rsid w:val="00B55574"/>
    <w:rsid w:val="00B6525D"/>
    <w:rsid w:val="00B65ABA"/>
    <w:rsid w:val="00B67097"/>
    <w:rsid w:val="00B6790F"/>
    <w:rsid w:val="00B71B3B"/>
    <w:rsid w:val="00B853DB"/>
    <w:rsid w:val="00B87D61"/>
    <w:rsid w:val="00B93948"/>
    <w:rsid w:val="00BA1983"/>
    <w:rsid w:val="00BA4BC7"/>
    <w:rsid w:val="00BA55B7"/>
    <w:rsid w:val="00BA5E47"/>
    <w:rsid w:val="00BA7D57"/>
    <w:rsid w:val="00BB04D5"/>
    <w:rsid w:val="00BB156E"/>
    <w:rsid w:val="00BB24F2"/>
    <w:rsid w:val="00BB3330"/>
    <w:rsid w:val="00BB47D7"/>
    <w:rsid w:val="00BB4A62"/>
    <w:rsid w:val="00BB53D6"/>
    <w:rsid w:val="00BC01C1"/>
    <w:rsid w:val="00BC45A1"/>
    <w:rsid w:val="00BC5A34"/>
    <w:rsid w:val="00BD17F5"/>
    <w:rsid w:val="00BD5F7C"/>
    <w:rsid w:val="00BD6E05"/>
    <w:rsid w:val="00BE54D0"/>
    <w:rsid w:val="00BF6B6C"/>
    <w:rsid w:val="00BF7251"/>
    <w:rsid w:val="00BF7F28"/>
    <w:rsid w:val="00C01909"/>
    <w:rsid w:val="00C05787"/>
    <w:rsid w:val="00C11871"/>
    <w:rsid w:val="00C13059"/>
    <w:rsid w:val="00C156D4"/>
    <w:rsid w:val="00C167A3"/>
    <w:rsid w:val="00C17191"/>
    <w:rsid w:val="00C2181C"/>
    <w:rsid w:val="00C239E4"/>
    <w:rsid w:val="00C2657D"/>
    <w:rsid w:val="00C26A87"/>
    <w:rsid w:val="00C3745D"/>
    <w:rsid w:val="00C416E1"/>
    <w:rsid w:val="00C47BF8"/>
    <w:rsid w:val="00C51B1C"/>
    <w:rsid w:val="00C53DCE"/>
    <w:rsid w:val="00C56B56"/>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5C8C"/>
    <w:rsid w:val="00CA6722"/>
    <w:rsid w:val="00CA6D4E"/>
    <w:rsid w:val="00CA7B4B"/>
    <w:rsid w:val="00CB36A8"/>
    <w:rsid w:val="00CB4FC7"/>
    <w:rsid w:val="00CC139A"/>
    <w:rsid w:val="00CC1E7A"/>
    <w:rsid w:val="00CC4F64"/>
    <w:rsid w:val="00CD058C"/>
    <w:rsid w:val="00CD3B98"/>
    <w:rsid w:val="00CD4216"/>
    <w:rsid w:val="00CD518C"/>
    <w:rsid w:val="00CD733F"/>
    <w:rsid w:val="00CD7C65"/>
    <w:rsid w:val="00CE0942"/>
    <w:rsid w:val="00CE7CA5"/>
    <w:rsid w:val="00CF1D81"/>
    <w:rsid w:val="00CF2DC9"/>
    <w:rsid w:val="00CF7CB6"/>
    <w:rsid w:val="00D05BCB"/>
    <w:rsid w:val="00D311AB"/>
    <w:rsid w:val="00D32290"/>
    <w:rsid w:val="00D325A8"/>
    <w:rsid w:val="00D32DBD"/>
    <w:rsid w:val="00D442AD"/>
    <w:rsid w:val="00D5618A"/>
    <w:rsid w:val="00D5784B"/>
    <w:rsid w:val="00D63EFB"/>
    <w:rsid w:val="00D658AF"/>
    <w:rsid w:val="00D70A79"/>
    <w:rsid w:val="00D83DE9"/>
    <w:rsid w:val="00D8450A"/>
    <w:rsid w:val="00D8450D"/>
    <w:rsid w:val="00D95AF9"/>
    <w:rsid w:val="00DA09C9"/>
    <w:rsid w:val="00DA1822"/>
    <w:rsid w:val="00DB5E1F"/>
    <w:rsid w:val="00DC19D8"/>
    <w:rsid w:val="00DC2613"/>
    <w:rsid w:val="00DC4512"/>
    <w:rsid w:val="00DD31F9"/>
    <w:rsid w:val="00DD3691"/>
    <w:rsid w:val="00DD4B55"/>
    <w:rsid w:val="00DE1E90"/>
    <w:rsid w:val="00DE24E6"/>
    <w:rsid w:val="00DE5C8A"/>
    <w:rsid w:val="00DE68FB"/>
    <w:rsid w:val="00DF07AD"/>
    <w:rsid w:val="00DF3364"/>
    <w:rsid w:val="00E055BB"/>
    <w:rsid w:val="00E11988"/>
    <w:rsid w:val="00E15DA9"/>
    <w:rsid w:val="00E2095D"/>
    <w:rsid w:val="00E30414"/>
    <w:rsid w:val="00E40769"/>
    <w:rsid w:val="00E42E8B"/>
    <w:rsid w:val="00E60F12"/>
    <w:rsid w:val="00E652FB"/>
    <w:rsid w:val="00E66C20"/>
    <w:rsid w:val="00E71C46"/>
    <w:rsid w:val="00E731B7"/>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7623"/>
    <w:rsid w:val="00F07D0B"/>
    <w:rsid w:val="00F2073E"/>
    <w:rsid w:val="00F3136B"/>
    <w:rsid w:val="00F314F1"/>
    <w:rsid w:val="00F327EA"/>
    <w:rsid w:val="00F33641"/>
    <w:rsid w:val="00F42842"/>
    <w:rsid w:val="00F43EE0"/>
    <w:rsid w:val="00F46E40"/>
    <w:rsid w:val="00F4760A"/>
    <w:rsid w:val="00F50A0F"/>
    <w:rsid w:val="00F5231E"/>
    <w:rsid w:val="00F529FE"/>
    <w:rsid w:val="00F52B8E"/>
    <w:rsid w:val="00F53CFD"/>
    <w:rsid w:val="00F54AF5"/>
    <w:rsid w:val="00F557E3"/>
    <w:rsid w:val="00F61E78"/>
    <w:rsid w:val="00F635C5"/>
    <w:rsid w:val="00F736E3"/>
    <w:rsid w:val="00F767E8"/>
    <w:rsid w:val="00F86A3F"/>
    <w:rsid w:val="00F91297"/>
    <w:rsid w:val="00F9133B"/>
    <w:rsid w:val="00F97730"/>
    <w:rsid w:val="00FA5DFD"/>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3EA55E"/>
  <w15:docId w15:val="{E6181604-5E14-4781-B91C-2054C004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45AE8"/>
    <w:rPr>
      <w:rFonts w:ascii="Arial" w:hAnsi="Arial"/>
      <w:lang w:eastAsia="en-US"/>
    </w:rPr>
  </w:style>
  <w:style w:type="paragraph" w:styleId="Heading1">
    <w:name w:val="heading 1"/>
    <w:next w:val="CAVbody"/>
    <w:link w:val="Heading1Char"/>
    <w:uiPriority w:val="1"/>
    <w:qFormat/>
    <w:rsid w:val="00367778"/>
    <w:pPr>
      <w:keepNext/>
      <w:keepLines/>
      <w:spacing w:before="520" w:after="440"/>
      <w:outlineLvl w:val="0"/>
    </w:pPr>
    <w:rPr>
      <w:rFonts w:ascii="Arial" w:hAnsi="Arial"/>
      <w:bCs/>
      <w:color w:val="0072CE" w:themeColor="text2"/>
      <w:sz w:val="44"/>
      <w:szCs w:val="44"/>
      <w:lang w:eastAsia="en-US"/>
    </w:rPr>
  </w:style>
  <w:style w:type="paragraph" w:styleId="Heading2">
    <w:name w:val="heading 2"/>
    <w:next w:val="CAVbody"/>
    <w:link w:val="Heading2Char"/>
    <w:uiPriority w:val="1"/>
    <w:qFormat/>
    <w:rsid w:val="00685322"/>
    <w:pPr>
      <w:keepNext/>
      <w:keepLines/>
      <w:spacing w:before="300" w:after="160" w:line="264" w:lineRule="auto"/>
      <w:outlineLvl w:val="1"/>
    </w:pPr>
    <w:rPr>
      <w:rFonts w:ascii="Arial" w:hAnsi="Arial"/>
      <w:b/>
      <w:color w:val="0072CE" w:themeColor="text2"/>
      <w:sz w:val="30"/>
      <w:szCs w:val="28"/>
      <w:lang w:eastAsia="en-US"/>
    </w:rPr>
  </w:style>
  <w:style w:type="paragraph" w:styleId="Heading3">
    <w:name w:val="heading 3"/>
    <w:next w:val="CAVbody"/>
    <w:link w:val="Heading3Char"/>
    <w:uiPriority w:val="1"/>
    <w:qFormat/>
    <w:rsid w:val="00685322"/>
    <w:pPr>
      <w:keepNext/>
      <w:keepLines/>
      <w:spacing w:before="300" w:after="120"/>
      <w:outlineLvl w:val="2"/>
    </w:pPr>
    <w:rPr>
      <w:rFonts w:ascii="Arial" w:eastAsia="MS Gothic" w:hAnsi="Arial"/>
      <w:b/>
      <w:bCs/>
      <w:sz w:val="26"/>
      <w:szCs w:val="26"/>
      <w:lang w:eastAsia="en-US"/>
    </w:rPr>
  </w:style>
  <w:style w:type="paragraph" w:styleId="Heading4">
    <w:name w:val="heading 4"/>
    <w:next w:val="CAVbody"/>
    <w:link w:val="Heading4Char"/>
    <w:uiPriority w:val="1"/>
    <w:qFormat/>
    <w:rsid w:val="00685322"/>
    <w:pPr>
      <w:keepNext/>
      <w:keepLines/>
      <w:spacing w:before="240" w:after="120"/>
      <w:outlineLvl w:val="3"/>
    </w:pPr>
    <w:rPr>
      <w:rFonts w:ascii="Arial" w:eastAsia="MS Mincho" w:hAnsi="Arial"/>
      <w:b/>
      <w:bCs/>
      <w:sz w:val="23"/>
      <w:szCs w:val="23"/>
      <w:lang w:eastAsia="en-US"/>
    </w:rPr>
  </w:style>
  <w:style w:type="paragraph" w:styleId="Heading5">
    <w:name w:val="heading 5"/>
    <w:next w:val="CAVbody"/>
    <w:link w:val="Heading5Char"/>
    <w:uiPriority w:val="9"/>
    <w:qFormat/>
    <w:rsid w:val="00367778"/>
    <w:pPr>
      <w:keepNext/>
      <w:keepLines/>
      <w:suppressAutoHyphens/>
      <w:spacing w:before="240" w:after="120"/>
      <w:outlineLvl w:val="4"/>
    </w:pPr>
    <w:rPr>
      <w:rFonts w:ascii="Arial" w:eastAsia="MS Mincho" w:hAnsi="Arial"/>
      <w:b/>
      <w:bCs/>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67778"/>
    <w:rPr>
      <w:rFonts w:ascii="Arial" w:hAnsi="Arial"/>
      <w:bCs/>
      <w:color w:val="0072CE" w:themeColor="text2"/>
      <w:sz w:val="44"/>
      <w:szCs w:val="44"/>
      <w:lang w:eastAsia="en-US"/>
    </w:rPr>
  </w:style>
  <w:style w:type="character" w:customStyle="1" w:styleId="Heading2Char">
    <w:name w:val="Heading 2 Char"/>
    <w:link w:val="Heading2"/>
    <w:uiPriority w:val="1"/>
    <w:rsid w:val="00685322"/>
    <w:rPr>
      <w:rFonts w:ascii="Arial" w:hAnsi="Arial"/>
      <w:b/>
      <w:color w:val="0072CE" w:themeColor="text2"/>
      <w:sz w:val="30"/>
      <w:szCs w:val="28"/>
      <w:lang w:eastAsia="en-US"/>
    </w:rPr>
  </w:style>
  <w:style w:type="character" w:customStyle="1" w:styleId="Heading3Char">
    <w:name w:val="Heading 3 Char"/>
    <w:link w:val="Heading3"/>
    <w:uiPriority w:val="1"/>
    <w:rsid w:val="00685322"/>
    <w:rPr>
      <w:rFonts w:ascii="Arial" w:eastAsia="MS Gothic" w:hAnsi="Arial"/>
      <w:b/>
      <w:bCs/>
      <w:sz w:val="26"/>
      <w:szCs w:val="26"/>
      <w:lang w:eastAsia="en-US"/>
    </w:rPr>
  </w:style>
  <w:style w:type="character" w:customStyle="1" w:styleId="Heading4Char">
    <w:name w:val="Heading 4 Char"/>
    <w:link w:val="Heading4"/>
    <w:uiPriority w:val="1"/>
    <w:rsid w:val="00685322"/>
    <w:rPr>
      <w:rFonts w:ascii="Arial" w:eastAsia="MS Mincho" w:hAnsi="Arial"/>
      <w:b/>
      <w:bCs/>
      <w:sz w:val="23"/>
      <w:szCs w:val="23"/>
      <w:lang w:eastAsia="en-US"/>
    </w:rPr>
  </w:style>
  <w:style w:type="paragraph" w:styleId="Header">
    <w:name w:val="header"/>
    <w:basedOn w:val="CAVheader"/>
    <w:link w:val="HeaderChar"/>
    <w:uiPriority w:val="99"/>
    <w:qFormat/>
    <w:rsid w:val="004E380D"/>
  </w:style>
  <w:style w:type="paragraph" w:styleId="Footer">
    <w:name w:val="footer"/>
    <w:basedOn w:val="CAVfooter"/>
    <w:link w:val="FooterChar"/>
    <w:uiPriority w:val="99"/>
    <w:qFormat/>
    <w:rsid w:val="0031753A"/>
  </w:style>
  <w:style w:type="character" w:styleId="FollowedHyperlink">
    <w:name w:val="FollowedHyperlink"/>
    <w:uiPriority w:val="99"/>
    <w:rsid w:val="007F6862"/>
    <w:rPr>
      <w:color w:val="87189D"/>
      <w:u w:val="dotted"/>
    </w:r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39"/>
    <w:rsid w:val="003523A2"/>
    <w:rPr>
      <w:rFonts w:ascii="Arial" w:hAnsi="Arial"/>
    </w:rPr>
    <w:tblPr>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Pr>
    <w:tblStylePr w:type="firstRow">
      <w:tblPr/>
      <w:tcPr>
        <w:shd w:val="clear" w:color="auto" w:fill="F2F2F2" w:themeFill="background1" w:themeFillShade="F2"/>
      </w:tcPr>
    </w:tblStylePr>
  </w:style>
  <w:style w:type="character" w:styleId="PageNumber">
    <w:name w:val="page number"/>
    <w:basedOn w:val="DefaultParagraphFont"/>
    <w:semiHidden/>
    <w:rsid w:val="00DA7946"/>
  </w:style>
  <w:style w:type="character" w:styleId="FootnoteReference">
    <w:name w:val="footnote reference"/>
    <w:uiPriority w:val="8"/>
    <w:rsid w:val="00D869F2"/>
    <w:rPr>
      <w:vertAlign w:val="superscript"/>
    </w:rPr>
  </w:style>
  <w:style w:type="paragraph" w:styleId="FootnoteText">
    <w:name w:val="footnote text"/>
    <w:basedOn w:val="Normal"/>
    <w:uiPriority w:val="8"/>
    <w:rsid w:val="00BB53D6"/>
    <w:pPr>
      <w:spacing w:before="60" w:after="60" w:line="264" w:lineRule="auto"/>
    </w:pPr>
    <w:rPr>
      <w:rFonts w:eastAsia="MS Gothic" w:cs="Arial"/>
      <w:sz w:val="18"/>
      <w:szCs w:val="18"/>
    </w:rPr>
  </w:style>
  <w:style w:type="paragraph" w:styleId="TOC1">
    <w:name w:val="toc 1"/>
    <w:basedOn w:val="Normal"/>
    <w:next w:val="Normal"/>
    <w:uiPriority w:val="39"/>
    <w:rsid w:val="00FA5DFD"/>
    <w:pPr>
      <w:keepNext/>
      <w:keepLines/>
      <w:tabs>
        <w:tab w:val="right" w:leader="dot" w:pos="9072"/>
      </w:tabs>
      <w:spacing w:before="160" w:after="60" w:line="288" w:lineRule="auto"/>
      <w:ind w:right="680"/>
    </w:pPr>
    <w:rPr>
      <w:b/>
      <w:noProof/>
      <w:sz w:val="22"/>
    </w:rPr>
  </w:style>
  <w:style w:type="paragraph" w:styleId="TOC2">
    <w:name w:val="toc 2"/>
    <w:basedOn w:val="Normal"/>
    <w:next w:val="Normal"/>
    <w:uiPriority w:val="39"/>
    <w:rsid w:val="00FA5DFD"/>
    <w:pPr>
      <w:keepNext/>
      <w:keepLines/>
      <w:tabs>
        <w:tab w:val="right" w:leader="dot" w:pos="9072"/>
      </w:tabs>
      <w:spacing w:after="60" w:line="288" w:lineRule="auto"/>
      <w:ind w:right="680"/>
    </w:pPr>
    <w:rPr>
      <w:noProof/>
      <w:sz w:val="22"/>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CAVdocumenttitle">
    <w:name w:val="CAV document title"/>
    <w:uiPriority w:val="4"/>
    <w:rsid w:val="00A87DF2"/>
    <w:pPr>
      <w:keepLines/>
      <w:spacing w:after="240"/>
    </w:pPr>
    <w:rPr>
      <w:rFonts w:ascii="Arial" w:hAnsi="Arial"/>
      <w:b/>
      <w:bCs/>
      <w:color w:val="0072CE" w:themeColor="text2"/>
      <w:sz w:val="52"/>
      <w:szCs w:val="50"/>
      <w:lang w:eastAsia="en-US"/>
    </w:rPr>
  </w:style>
  <w:style w:type="paragraph" w:customStyle="1" w:styleId="CAVdocumentsubtitle">
    <w:name w:val="CAV document subtitle"/>
    <w:uiPriority w:val="4"/>
    <w:rsid w:val="00637D59"/>
    <w:pPr>
      <w:spacing w:after="120"/>
    </w:pPr>
    <w:rPr>
      <w:rFonts w:ascii="Arial" w:hAnsi="Arial"/>
      <w:bCs/>
      <w:color w:val="FFFFFF"/>
      <w:sz w:val="30"/>
      <w:szCs w:val="30"/>
      <w:lang w:eastAsia="en-US"/>
    </w:rPr>
  </w:style>
  <w:style w:type="character" w:customStyle="1" w:styleId="Heading5Char">
    <w:name w:val="Heading 5 Char"/>
    <w:link w:val="Heading5"/>
    <w:uiPriority w:val="9"/>
    <w:rsid w:val="00367778"/>
    <w:rPr>
      <w:rFonts w:ascii="Arial" w:eastAsia="MS Mincho" w:hAnsi="Arial"/>
      <w:b/>
      <w:bCs/>
      <w:i/>
      <w:sz w:val="22"/>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CAVbody">
    <w:name w:val="CAV body"/>
    <w:qFormat/>
    <w:rsid w:val="00FA5DFD"/>
    <w:pPr>
      <w:spacing w:after="120" w:line="288" w:lineRule="auto"/>
    </w:pPr>
    <w:rPr>
      <w:rFonts w:ascii="Arial" w:eastAsia="Times" w:hAnsi="Arial"/>
      <w:sz w:val="22"/>
      <w:lang w:eastAsia="en-US"/>
    </w:rPr>
  </w:style>
  <w:style w:type="paragraph" w:customStyle="1" w:styleId="CAVbullet1">
    <w:name w:val="CAV bullet 1"/>
    <w:basedOn w:val="CAVbody"/>
    <w:qFormat/>
    <w:rsid w:val="007F5858"/>
    <w:pPr>
      <w:numPr>
        <w:numId w:val="2"/>
      </w:numPr>
      <w:spacing w:after="40"/>
    </w:pPr>
  </w:style>
  <w:style w:type="paragraph" w:customStyle="1" w:styleId="CAVnumberloweralpha">
    <w:name w:val="CAV number lower alpha"/>
    <w:basedOn w:val="CAVbody"/>
    <w:uiPriority w:val="3"/>
    <w:rsid w:val="008669BE"/>
    <w:pPr>
      <w:numPr>
        <w:numId w:val="31"/>
      </w:numPr>
    </w:pPr>
  </w:style>
  <w:style w:type="paragraph" w:customStyle="1" w:styleId="CAVnumberloweralphaindent">
    <w:name w:val="CAV number lower alpha indent"/>
    <w:basedOn w:val="CAVbody"/>
    <w:uiPriority w:val="3"/>
    <w:rsid w:val="008669BE"/>
    <w:pPr>
      <w:numPr>
        <w:ilvl w:val="1"/>
        <w:numId w:val="31"/>
      </w:numPr>
    </w:pPr>
  </w:style>
  <w:style w:type="paragraph" w:customStyle="1" w:styleId="CAVtablefigurenote">
    <w:name w:val="CAV table/figure note"/>
    <w:uiPriority w:val="4"/>
    <w:rsid w:val="008A5B97"/>
    <w:pPr>
      <w:spacing w:before="60" w:after="60" w:line="240" w:lineRule="exact"/>
    </w:pPr>
    <w:rPr>
      <w:rFonts w:ascii="Arial" w:hAnsi="Arial"/>
      <w:sz w:val="18"/>
      <w:lang w:eastAsia="en-US"/>
    </w:rPr>
  </w:style>
  <w:style w:type="paragraph" w:customStyle="1" w:styleId="CAVtabletext">
    <w:name w:val="CAV table text"/>
    <w:uiPriority w:val="3"/>
    <w:qFormat/>
    <w:rsid w:val="00E30414"/>
    <w:pPr>
      <w:spacing w:before="80" w:after="60"/>
    </w:pPr>
    <w:rPr>
      <w:rFonts w:ascii="Arial" w:hAnsi="Arial"/>
      <w:lang w:eastAsia="en-US"/>
    </w:rPr>
  </w:style>
  <w:style w:type="paragraph" w:customStyle="1" w:styleId="CAVtablecaption">
    <w:name w:val="CAV table caption"/>
    <w:next w:val="CAVbody"/>
    <w:uiPriority w:val="3"/>
    <w:qFormat/>
    <w:rsid w:val="00367778"/>
    <w:pPr>
      <w:keepNext/>
      <w:keepLines/>
      <w:spacing w:before="240" w:after="120"/>
    </w:pPr>
    <w:rPr>
      <w:rFonts w:ascii="Arial" w:hAnsi="Arial"/>
      <w:b/>
      <w:sz w:val="22"/>
      <w:szCs w:val="22"/>
      <w:lang w:eastAsia="en-US"/>
    </w:rPr>
  </w:style>
  <w:style w:type="paragraph" w:customStyle="1" w:styleId="CAVfigurecaption">
    <w:name w:val="CAV figure caption"/>
    <w:next w:val="CAVbody"/>
    <w:rsid w:val="00367778"/>
    <w:pPr>
      <w:keepNext/>
      <w:keepLines/>
      <w:spacing w:before="240" w:after="120"/>
    </w:pPr>
    <w:rPr>
      <w:rFonts w:ascii="Arial" w:hAnsi="Arial"/>
      <w:b/>
      <w:sz w:val="22"/>
      <w:lang w:eastAsia="en-US"/>
    </w:rPr>
  </w:style>
  <w:style w:type="paragraph" w:customStyle="1" w:styleId="CAVfooter">
    <w:name w:val="CAV footer"/>
    <w:uiPriority w:val="11"/>
    <w:rsid w:val="006323FC"/>
    <w:rPr>
      <w:rFonts w:ascii="Arial" w:hAnsi="Arial" w:cs="Arial"/>
      <w:sz w:val="16"/>
      <w:lang w:eastAsia="en-US"/>
    </w:rPr>
  </w:style>
  <w:style w:type="paragraph" w:customStyle="1" w:styleId="CAVbullet2">
    <w:name w:val="CAV bullet 2"/>
    <w:basedOn w:val="CAVbody"/>
    <w:uiPriority w:val="2"/>
    <w:qFormat/>
    <w:rsid w:val="007F5858"/>
    <w:pPr>
      <w:numPr>
        <w:ilvl w:val="1"/>
        <w:numId w:val="2"/>
      </w:numPr>
      <w:spacing w:after="40"/>
    </w:pPr>
  </w:style>
  <w:style w:type="paragraph" w:customStyle="1" w:styleId="CAVheader">
    <w:name w:val="CAV header"/>
    <w:basedOn w:val="CAVfooter"/>
    <w:uiPriority w:val="11"/>
    <w:rsid w:val="00E969B1"/>
  </w:style>
  <w:style w:type="character" w:styleId="Strong">
    <w:name w:val="Strong"/>
    <w:uiPriority w:val="22"/>
    <w:qFormat/>
    <w:rsid w:val="00DC19D8"/>
    <w:rPr>
      <w:b/>
      <w:bCs/>
    </w:rPr>
  </w:style>
  <w:style w:type="paragraph" w:customStyle="1" w:styleId="CAVnumberdigit">
    <w:name w:val="CAV number digit"/>
    <w:basedOn w:val="CAVbody"/>
    <w:uiPriority w:val="2"/>
    <w:rsid w:val="008669BE"/>
    <w:pPr>
      <w:numPr>
        <w:numId w:val="19"/>
      </w:numPr>
    </w:pPr>
  </w:style>
  <w:style w:type="paragraph" w:customStyle="1" w:styleId="CAVtablecolhead">
    <w:name w:val="CAV table col head"/>
    <w:uiPriority w:val="3"/>
    <w:qFormat/>
    <w:rsid w:val="00D8450A"/>
    <w:pPr>
      <w:spacing w:before="80" w:after="60"/>
    </w:pPr>
    <w:rPr>
      <w:rFonts w:ascii="Arial" w:hAnsi="Arial"/>
      <w:b/>
      <w:color w:val="000000" w:themeColor="text1"/>
      <w:lang w:eastAsia="en-US"/>
    </w:rPr>
  </w:style>
  <w:style w:type="paragraph" w:customStyle="1" w:styleId="CAVbodyaftertablefigure">
    <w:name w:val="CAV body after table/figure"/>
    <w:basedOn w:val="CAVbody"/>
    <w:next w:val="CAVbody"/>
    <w:rsid w:val="00876275"/>
    <w:pPr>
      <w:spacing w:before="240"/>
    </w:pPr>
  </w:style>
  <w:style w:type="paragraph" w:customStyle="1" w:styleId="CAVTOCheading">
    <w:name w:val="CAV TOC heading"/>
    <w:basedOn w:val="Heading1"/>
    <w:link w:val="CAVTOCheadingChar"/>
    <w:uiPriority w:val="5"/>
    <w:rsid w:val="00964526"/>
    <w:pPr>
      <w:spacing w:before="0"/>
      <w:outlineLvl w:val="9"/>
    </w:pPr>
  </w:style>
  <w:style w:type="character" w:customStyle="1" w:styleId="CAVTOCheadingChar">
    <w:name w:val="CAV TOC heading Char"/>
    <w:link w:val="CAVTOCheading"/>
    <w:uiPriority w:val="5"/>
    <w:rsid w:val="00964526"/>
    <w:rPr>
      <w:rFonts w:ascii="Arial" w:hAnsi="Arial"/>
      <w:bCs/>
      <w:color w:val="0072CE" w:themeColor="text2"/>
      <w:sz w:val="44"/>
      <w:szCs w:val="44"/>
      <w:lang w:eastAsia="en-US"/>
    </w:rPr>
  </w:style>
  <w:style w:type="paragraph" w:customStyle="1" w:styleId="CAVbodynospace">
    <w:name w:val="CAV body no space"/>
    <w:basedOn w:val="CAVbody"/>
    <w:uiPriority w:val="3"/>
    <w:qFormat/>
    <w:rsid w:val="00CA6D4E"/>
    <w:pPr>
      <w:spacing w:after="0"/>
    </w:pPr>
  </w:style>
  <w:style w:type="paragraph" w:customStyle="1" w:styleId="CAVquote">
    <w:name w:val="CAV quote"/>
    <w:basedOn w:val="CAVbody"/>
    <w:uiPriority w:val="4"/>
    <w:rsid w:val="00E75ED2"/>
    <w:pPr>
      <w:ind w:left="397"/>
    </w:pPr>
    <w:rPr>
      <w:szCs w:val="18"/>
    </w:rPr>
  </w:style>
  <w:style w:type="numbering" w:customStyle="1" w:styleId="ZZBullets">
    <w:name w:val="ZZ Bullets"/>
    <w:rsid w:val="007F5858"/>
    <w:pPr>
      <w:numPr>
        <w:numId w:val="2"/>
      </w:numPr>
    </w:pPr>
  </w:style>
  <w:style w:type="paragraph" w:customStyle="1" w:styleId="CAVnumberlowerroman">
    <w:name w:val="CAV number lower roman"/>
    <w:basedOn w:val="CAVbody"/>
    <w:uiPriority w:val="3"/>
    <w:rsid w:val="008669BE"/>
    <w:pPr>
      <w:numPr>
        <w:numId w:val="33"/>
      </w:numPr>
    </w:pPr>
  </w:style>
  <w:style w:type="paragraph" w:customStyle="1" w:styleId="CAVnumberlowerromanindent">
    <w:name w:val="CAV number lower roman indent"/>
    <w:basedOn w:val="CAVbody"/>
    <w:uiPriority w:val="3"/>
    <w:rsid w:val="008669BE"/>
    <w:pPr>
      <w:numPr>
        <w:ilvl w:val="1"/>
        <w:numId w:val="33"/>
      </w:numPr>
    </w:pPr>
  </w:style>
  <w:style w:type="paragraph" w:customStyle="1" w:styleId="CAVnumberdigitindent">
    <w:name w:val="CAV number digit indent"/>
    <w:basedOn w:val="CAVnumberloweralphaindent"/>
    <w:uiPriority w:val="3"/>
    <w:rsid w:val="008669BE"/>
    <w:pPr>
      <w:numPr>
        <w:numId w:val="30"/>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CAVbodyafterbullets">
    <w:name w:val="CAV body after bullets"/>
    <w:basedOn w:val="CAVbody"/>
    <w:uiPriority w:val="11"/>
    <w:rsid w:val="008669BE"/>
    <w:pPr>
      <w:spacing w:before="120"/>
    </w:pPr>
  </w:style>
  <w:style w:type="paragraph" w:customStyle="1" w:styleId="CAVbulletafternumbers1">
    <w:name w:val="CAV bullet after numbers 1"/>
    <w:basedOn w:val="CAVbody"/>
    <w:uiPriority w:val="4"/>
    <w:rsid w:val="008669BE"/>
    <w:pPr>
      <w:numPr>
        <w:ilvl w:val="2"/>
        <w:numId w:val="30"/>
      </w:numPr>
    </w:pPr>
  </w:style>
  <w:style w:type="paragraph" w:customStyle="1" w:styleId="CAVbulletafternumbers2">
    <w:name w:val="CAV bullet after numbers 2"/>
    <w:basedOn w:val="CAVbody"/>
    <w:rsid w:val="008669BE"/>
    <w:pPr>
      <w:numPr>
        <w:ilvl w:val="3"/>
        <w:numId w:val="30"/>
      </w:numPr>
    </w:pPr>
  </w:style>
  <w:style w:type="paragraph" w:customStyle="1" w:styleId="CAVquotebullet1">
    <w:name w:val="CAV quote bullet 1"/>
    <w:basedOn w:val="CAVquote"/>
    <w:rsid w:val="008669BE"/>
    <w:pPr>
      <w:numPr>
        <w:numId w:val="32"/>
      </w:numPr>
    </w:pPr>
  </w:style>
  <w:style w:type="paragraph" w:customStyle="1" w:styleId="CAVquotebullet2">
    <w:name w:val="CAV quote bullet 2"/>
    <w:basedOn w:val="CAVquote"/>
    <w:rsid w:val="008669BE"/>
    <w:pPr>
      <w:numPr>
        <w:ilvl w:val="1"/>
        <w:numId w:val="32"/>
      </w:numPr>
    </w:pPr>
  </w:style>
  <w:style w:type="paragraph" w:customStyle="1" w:styleId="CAVtablebullet1">
    <w:name w:val="CAV table bullet 1"/>
    <w:basedOn w:val="CAVtabletext"/>
    <w:uiPriority w:val="3"/>
    <w:qFormat/>
    <w:rsid w:val="008669BE"/>
    <w:pPr>
      <w:numPr>
        <w:numId w:val="34"/>
      </w:numPr>
    </w:pPr>
  </w:style>
  <w:style w:type="paragraph" w:customStyle="1" w:styleId="CAVtablebullet2">
    <w:name w:val="CAV table bullet 2"/>
    <w:basedOn w:val="CAVtabletext"/>
    <w:uiPriority w:val="11"/>
    <w:rsid w:val="008669BE"/>
    <w:pPr>
      <w:numPr>
        <w:ilvl w:val="1"/>
        <w:numId w:val="34"/>
      </w:numPr>
    </w:pPr>
  </w:style>
  <w:style w:type="numbering" w:customStyle="1" w:styleId="ZZNumbersdigit">
    <w:name w:val="ZZ Numbers digit"/>
    <w:rsid w:val="008669BE"/>
    <w:pPr>
      <w:numPr>
        <w:numId w:val="17"/>
      </w:numPr>
    </w:pPr>
  </w:style>
  <w:style w:type="numbering" w:customStyle="1" w:styleId="ZZNumbersloweralpha">
    <w:name w:val="ZZ Numbers lower alpha"/>
    <w:basedOn w:val="NoList"/>
    <w:rsid w:val="008669BE"/>
    <w:pPr>
      <w:numPr>
        <w:numId w:val="20"/>
      </w:numPr>
    </w:pPr>
  </w:style>
  <w:style w:type="numbering" w:customStyle="1" w:styleId="ZZQuotebullets">
    <w:name w:val="ZZ Quote bullets"/>
    <w:basedOn w:val="ZZNumbersdigit"/>
    <w:rsid w:val="008669BE"/>
    <w:pPr>
      <w:numPr>
        <w:numId w:val="25"/>
      </w:numPr>
    </w:pPr>
  </w:style>
  <w:style w:type="numbering" w:customStyle="1" w:styleId="ZZNumberslowerroman">
    <w:name w:val="ZZ Numbers lower roman"/>
    <w:basedOn w:val="ZZQuotebullets"/>
    <w:rsid w:val="008669BE"/>
    <w:pPr>
      <w:numPr>
        <w:numId w:val="23"/>
      </w:numPr>
    </w:pPr>
  </w:style>
  <w:style w:type="numbering" w:customStyle="1" w:styleId="ZZTablebullets">
    <w:name w:val="ZZ Table bullets"/>
    <w:basedOn w:val="NoList"/>
    <w:rsid w:val="008669BE"/>
    <w:pPr>
      <w:numPr>
        <w:numId w:val="27"/>
      </w:numPr>
    </w:pPr>
  </w:style>
  <w:style w:type="character" w:customStyle="1" w:styleId="HeaderChar">
    <w:name w:val="Header Char"/>
    <w:basedOn w:val="DefaultParagraphFont"/>
    <w:link w:val="Header"/>
    <w:uiPriority w:val="99"/>
    <w:rsid w:val="007E1711"/>
    <w:rPr>
      <w:rFonts w:ascii="Arial" w:hAnsi="Arial" w:cs="Arial"/>
      <w:lang w:eastAsia="en-US"/>
    </w:rPr>
  </w:style>
  <w:style w:type="character" w:customStyle="1" w:styleId="FooterChar">
    <w:name w:val="Footer Char"/>
    <w:basedOn w:val="DefaultParagraphFont"/>
    <w:link w:val="Footer"/>
    <w:uiPriority w:val="99"/>
    <w:rsid w:val="00217CDA"/>
    <w:rPr>
      <w:rFonts w:ascii="Arial" w:hAnsi="Arial" w:cs="Arial"/>
      <w:lang w:eastAsia="en-US"/>
    </w:rPr>
  </w:style>
  <w:style w:type="paragraph" w:customStyle="1" w:styleId="CAVheading1">
    <w:name w:val="CAV heading1"/>
    <w:basedOn w:val="Normal"/>
    <w:link w:val="CAVheading1Char"/>
    <w:autoRedefine/>
    <w:qFormat/>
    <w:rsid w:val="00167DDF"/>
    <w:pPr>
      <w:spacing w:before="1120" w:after="120" w:line="288" w:lineRule="auto"/>
    </w:pPr>
    <w:rPr>
      <w:rFonts w:eastAsiaTheme="minorEastAsia" w:cs="Arial"/>
      <w:b/>
      <w:color w:val="0072CE"/>
      <w:sz w:val="52"/>
      <w:szCs w:val="72"/>
      <w:lang w:eastAsia="ja-JP"/>
    </w:rPr>
  </w:style>
  <w:style w:type="character" w:customStyle="1" w:styleId="CAVheading1Char">
    <w:name w:val="CAV heading1 Char"/>
    <w:basedOn w:val="DefaultParagraphFont"/>
    <w:link w:val="CAVheading1"/>
    <w:rsid w:val="00167DDF"/>
    <w:rPr>
      <w:rFonts w:ascii="Arial" w:eastAsiaTheme="minorEastAsia" w:hAnsi="Arial" w:cs="Arial"/>
      <w:b/>
      <w:color w:val="0072CE"/>
      <w:sz w:val="52"/>
      <w:szCs w:val="72"/>
      <w:lang w:eastAsia="ja-JP"/>
    </w:rPr>
  </w:style>
  <w:style w:type="paragraph" w:customStyle="1" w:styleId="CAVheading3">
    <w:name w:val="CAV heading 3"/>
    <w:basedOn w:val="Heading1"/>
    <w:link w:val="CAVheading3Char"/>
    <w:autoRedefine/>
    <w:qFormat/>
    <w:rsid w:val="00167DDF"/>
    <w:pPr>
      <w:spacing w:before="360" w:after="120" w:line="288" w:lineRule="auto"/>
    </w:pPr>
    <w:rPr>
      <w:rFonts w:eastAsiaTheme="majorEastAsia" w:cstheme="majorBidi"/>
      <w:b/>
      <w:bCs w:val="0"/>
      <w:color w:val="0072CE"/>
      <w:sz w:val="36"/>
      <w:szCs w:val="32"/>
      <w:lang w:val="en-US" w:eastAsia="ja-JP"/>
    </w:rPr>
  </w:style>
  <w:style w:type="character" w:customStyle="1" w:styleId="CAVheading3Char">
    <w:name w:val="CAV heading 3 Char"/>
    <w:basedOn w:val="Heading1Char"/>
    <w:link w:val="CAVheading3"/>
    <w:rsid w:val="00167DDF"/>
    <w:rPr>
      <w:rFonts w:ascii="Arial" w:eastAsiaTheme="majorEastAsia" w:hAnsi="Arial" w:cstheme="majorBidi"/>
      <w:b/>
      <w:bCs w:val="0"/>
      <w:color w:val="0072CE"/>
      <w:sz w:val="36"/>
      <w:szCs w:val="32"/>
      <w:lang w:val="en-US" w:eastAsia="ja-JP"/>
    </w:rPr>
  </w:style>
  <w:style w:type="paragraph" w:customStyle="1" w:styleId="CAVheading4">
    <w:name w:val="CAV heading 4"/>
    <w:basedOn w:val="Heading2"/>
    <w:link w:val="CAVheading4Char"/>
    <w:autoRedefine/>
    <w:qFormat/>
    <w:rsid w:val="00167DDF"/>
    <w:pPr>
      <w:spacing w:before="360" w:after="120" w:line="288" w:lineRule="auto"/>
    </w:pPr>
    <w:rPr>
      <w:rFonts w:eastAsiaTheme="majorEastAsia" w:cstheme="majorBidi"/>
      <w:color w:val="53565A"/>
      <w:sz w:val="24"/>
      <w:szCs w:val="26"/>
      <w:lang w:val="en-US" w:eastAsia="ja-JP"/>
    </w:rPr>
  </w:style>
  <w:style w:type="character" w:customStyle="1" w:styleId="CAVheading4Char">
    <w:name w:val="CAV heading 4 Char"/>
    <w:basedOn w:val="Heading2Char"/>
    <w:link w:val="CAVheading4"/>
    <w:rsid w:val="00167DDF"/>
    <w:rPr>
      <w:rFonts w:ascii="Arial" w:eastAsiaTheme="majorEastAsia" w:hAnsi="Arial" w:cstheme="majorBidi"/>
      <w:b/>
      <w:color w:val="53565A"/>
      <w:sz w:val="24"/>
      <w:szCs w:val="26"/>
      <w:lang w:val="en-US" w:eastAsia="ja-JP"/>
    </w:rPr>
  </w:style>
  <w:style w:type="paragraph" w:customStyle="1" w:styleId="CAVbodycopy">
    <w:name w:val="CAV body copy"/>
    <w:basedOn w:val="Normal"/>
    <w:link w:val="CAVbodycopyChar"/>
    <w:autoRedefine/>
    <w:qFormat/>
    <w:rsid w:val="00A411FC"/>
    <w:pPr>
      <w:spacing w:after="120" w:line="288" w:lineRule="auto"/>
    </w:pPr>
    <w:rPr>
      <w:rFonts w:eastAsiaTheme="minorEastAsia" w:cstheme="minorBidi"/>
      <w:sz w:val="22"/>
      <w:szCs w:val="28"/>
      <w:lang w:val="en-US" w:eastAsia="ja-JP"/>
    </w:rPr>
  </w:style>
  <w:style w:type="character" w:customStyle="1" w:styleId="CAVbodycopyChar">
    <w:name w:val="CAV body copy Char"/>
    <w:basedOn w:val="DefaultParagraphFont"/>
    <w:link w:val="CAVbodycopy"/>
    <w:rsid w:val="00A411FC"/>
    <w:rPr>
      <w:rFonts w:ascii="Arial" w:eastAsiaTheme="minorEastAsia" w:hAnsi="Arial" w:cstheme="minorBidi"/>
      <w:sz w:val="22"/>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58118">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381245169">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LTL" TargetMode="External"/><Relationship Id="rId13" Type="http://schemas.openxmlformats.org/officeDocument/2006/relationships/hyperlink" Target="http://www.consumer.vic.gov.au/LTL" TargetMode="External"/><Relationship Id="rId18" Type="http://schemas.openxmlformats.org/officeDocument/2006/relationships/hyperlink" Target="file:///C:\Users\fcreedy\AppData\Local\Microsoft\Windows\INetCache\Content.Outlook\T3F89AJ2\consumer.vic.gov.au\LT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mer.vic.gov.au/LTL" TargetMode="External"/><Relationship Id="rId7" Type="http://schemas.openxmlformats.org/officeDocument/2006/relationships/endnotes" Target="endnotes.xml"/><Relationship Id="rId12" Type="http://schemas.openxmlformats.org/officeDocument/2006/relationships/hyperlink" Target="http://www.consumer.vic.gov.au/LTL" TargetMode="External"/><Relationship Id="rId17" Type="http://schemas.openxmlformats.org/officeDocument/2006/relationships/hyperlink" Target="file:///\\internal.vic.gov.au\DJR\HomeDirs2\EBChan\Desktop\LTL%20Stakeholder%20Groups\consumer.vic.gov.au\LT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mer.vic.gov.au/LTL" TargetMode="External"/><Relationship Id="rId20" Type="http://schemas.openxmlformats.org/officeDocument/2006/relationships/hyperlink" Target="http://bit.ly/LandlordN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t.com.au/resum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nt.com.au/resume" TargetMode="External"/><Relationship Id="rId23" Type="http://schemas.openxmlformats.org/officeDocument/2006/relationships/header" Target="header2.xml"/><Relationship Id="rId10" Type="http://schemas.openxmlformats.org/officeDocument/2006/relationships/hyperlink" Target="http://bit.ly/LTLDecision" TargetMode="External"/><Relationship Id="rId19" Type="http://schemas.openxmlformats.org/officeDocument/2006/relationships/hyperlink" Target="http://www.rent.com.au" TargetMode="External"/><Relationship Id="rId4" Type="http://schemas.openxmlformats.org/officeDocument/2006/relationships/settings" Target="settings.xml"/><Relationship Id="rId9" Type="http://schemas.openxmlformats.org/officeDocument/2006/relationships/hyperlink" Target="http://www.consumer.vic.gov.au/LTL" TargetMode="External"/><Relationship Id="rId14" Type="http://schemas.openxmlformats.org/officeDocument/2006/relationships/hyperlink" Target="http://bit.ly/LTLDecision"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AV MS templates">
      <a:dk1>
        <a:sysClr val="windowText" lastClr="000000"/>
      </a:dk1>
      <a:lt1>
        <a:srgbClr val="FFFFFF"/>
      </a:lt1>
      <a:dk2>
        <a:srgbClr val="0072CE"/>
      </a:dk2>
      <a:lt2>
        <a:srgbClr val="FFFFFF"/>
      </a:lt2>
      <a:accent1>
        <a:srgbClr val="0072CE"/>
      </a:accent1>
      <a:accent2>
        <a:srgbClr val="53565A"/>
      </a:accent2>
      <a:accent3>
        <a:srgbClr val="D50032"/>
      </a:accent3>
      <a:accent4>
        <a:srgbClr val="B2D5F0"/>
      </a:accent4>
      <a:accent5>
        <a:srgbClr val="CCE3F5"/>
      </a:accent5>
      <a:accent6>
        <a:srgbClr val="E5F1FA"/>
      </a:accent6>
      <a:hlink>
        <a:srgbClr val="0072CE"/>
      </a:hlink>
      <a:folHlink>
        <a:srgbClr val="8718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FA52-AFBA-4F4E-8BA6-D3DBD1F1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15161</CharactersWithSpaces>
  <SharedDoc>false</SharedDoc>
  <HyperlinkBase/>
  <HLinks>
    <vt:vector size="60" baseType="variant">
      <vt:variant>
        <vt:i4>7864376</vt:i4>
      </vt:variant>
      <vt:variant>
        <vt:i4>51</vt:i4>
      </vt:variant>
      <vt:variant>
        <vt:i4>0</vt:i4>
      </vt:variant>
      <vt:variant>
        <vt:i4>5</vt:i4>
      </vt:variant>
      <vt:variant>
        <vt:lpwstr>https://intranet.dhhs.vic.gov.au/templates-our-visual-style</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Chan (DJCS)</dc:creator>
  <cp:lastModifiedBy>Fiona L Creedy (DJCS)</cp:lastModifiedBy>
  <cp:revision>5</cp:revision>
  <cp:lastPrinted>2017-07-07T00:32:00Z</cp:lastPrinted>
  <dcterms:created xsi:type="dcterms:W3CDTF">2019-06-11T23:58:00Z</dcterms:created>
  <dcterms:modified xsi:type="dcterms:W3CDTF">2019-06-13T03:18:00Z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