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A5B" w:rsidRDefault="00D33A5B" w:rsidP="007A1F79">
      <w:pPr>
        <w:pStyle w:val="Heading1"/>
      </w:pPr>
      <w:bookmarkStart w:id="0" w:name="_Toc320787307"/>
      <w:bookmarkStart w:id="1" w:name="_Toc320787415"/>
      <w:bookmarkStart w:id="2" w:name="_Toc325359283"/>
      <w:bookmarkStart w:id="3" w:name="_Toc325362995"/>
      <w:bookmarkStart w:id="4" w:name="_Toc476060225"/>
      <w:bookmarkStart w:id="5" w:name="_GoBack"/>
      <w:bookmarkEnd w:id="5"/>
      <w:r>
        <w:t>Retirement villages:</w:t>
      </w:r>
      <w:bookmarkEnd w:id="0"/>
      <w:bookmarkEnd w:id="1"/>
      <w:r>
        <w:t xml:space="preserve"> </w:t>
      </w:r>
      <w:bookmarkStart w:id="6" w:name="_Toc320787308"/>
      <w:bookmarkStart w:id="7" w:name="_Toc320787416"/>
      <w:r>
        <w:t>good practice to address key</w:t>
      </w:r>
      <w:r w:rsidR="00210AE0">
        <w:t> </w:t>
      </w:r>
      <w:r>
        <w:t>issues</w:t>
      </w:r>
      <w:bookmarkEnd w:id="2"/>
      <w:bookmarkEnd w:id="3"/>
      <w:bookmarkEnd w:id="6"/>
      <w:bookmarkEnd w:id="7"/>
      <w:r w:rsidR="00634411">
        <w:t xml:space="preserve"> – a guide for residents</w:t>
      </w:r>
    </w:p>
    <w:p w:rsidR="00F32252" w:rsidRDefault="00D33A5B" w:rsidP="007A1F79">
      <w:pPr>
        <w:pStyle w:val="Heading2"/>
        <w:pageBreakBefore w:val="0"/>
        <w:rPr>
          <w:noProof/>
        </w:rPr>
      </w:pPr>
      <w:bookmarkStart w:id="8" w:name="_Toc325359284"/>
      <w:bookmarkStart w:id="9" w:name="_Toc325362996"/>
      <w:bookmarkStart w:id="10" w:name="_Toc527120868"/>
      <w:bookmarkStart w:id="11" w:name="_Toc320787309"/>
      <w:bookmarkStart w:id="12" w:name="_Toc320787417"/>
      <w:bookmarkStart w:id="13" w:name="_Toc320886713"/>
      <w:bookmarkStart w:id="14" w:name="_Toc320886800"/>
      <w:r>
        <w:t>Content</w:t>
      </w:r>
      <w:bookmarkStart w:id="15" w:name="_Toc320787311"/>
      <w:r>
        <w:t>s</w:t>
      </w:r>
      <w:bookmarkEnd w:id="8"/>
      <w:bookmarkEnd w:id="9"/>
      <w:bookmarkEnd w:id="10"/>
      <w:bookmarkEnd w:id="15"/>
      <w:r w:rsidR="00210AE0">
        <w:fldChar w:fldCharType="begin"/>
      </w:r>
      <w:r w:rsidR="00210AE0">
        <w:instrText xml:space="preserve"> TOC \h \z \t "Heading 2,1,Heading 3,2" </w:instrText>
      </w:r>
      <w:r w:rsidR="00210AE0">
        <w:fldChar w:fldCharType="separate"/>
      </w:r>
    </w:p>
    <w:p w:rsidR="00F32252" w:rsidRDefault="00740E51">
      <w:pPr>
        <w:pStyle w:val="TOC1"/>
        <w:rPr>
          <w:rFonts w:asciiTheme="minorHAnsi" w:eastAsiaTheme="minorEastAsia" w:hAnsiTheme="minorHAnsi" w:cstheme="minorBidi"/>
          <w:b w:val="0"/>
          <w:sz w:val="22"/>
          <w:szCs w:val="22"/>
          <w:lang w:eastAsia="en-AU"/>
        </w:rPr>
      </w:pPr>
      <w:hyperlink w:anchor="_Toc527120868" w:history="1">
        <w:r w:rsidR="00F32252" w:rsidRPr="009603B0">
          <w:rPr>
            <w:rStyle w:val="Hyperlink"/>
          </w:rPr>
          <w:t>Contents</w:t>
        </w:r>
        <w:r w:rsidR="00F32252">
          <w:rPr>
            <w:webHidden/>
          </w:rPr>
          <w:tab/>
        </w:r>
        <w:r w:rsidR="00F32252">
          <w:rPr>
            <w:webHidden/>
          </w:rPr>
          <w:fldChar w:fldCharType="begin"/>
        </w:r>
        <w:r w:rsidR="00F32252">
          <w:rPr>
            <w:webHidden/>
          </w:rPr>
          <w:instrText xml:space="preserve"> PAGEREF _Toc527120868 \h </w:instrText>
        </w:r>
        <w:r w:rsidR="00F32252">
          <w:rPr>
            <w:webHidden/>
          </w:rPr>
        </w:r>
        <w:r w:rsidR="00F32252">
          <w:rPr>
            <w:webHidden/>
          </w:rPr>
          <w:fldChar w:fldCharType="separate"/>
        </w:r>
        <w:r>
          <w:rPr>
            <w:webHidden/>
          </w:rPr>
          <w:t>1</w:t>
        </w:r>
        <w:r w:rsidR="00F32252">
          <w:rPr>
            <w:webHidden/>
          </w:rPr>
          <w:fldChar w:fldCharType="end"/>
        </w:r>
      </w:hyperlink>
    </w:p>
    <w:p w:rsidR="00F32252" w:rsidRDefault="00740E51">
      <w:pPr>
        <w:pStyle w:val="TOC1"/>
        <w:rPr>
          <w:rFonts w:asciiTheme="minorHAnsi" w:eastAsiaTheme="minorEastAsia" w:hAnsiTheme="minorHAnsi" w:cstheme="minorBidi"/>
          <w:b w:val="0"/>
          <w:sz w:val="22"/>
          <w:szCs w:val="22"/>
          <w:lang w:eastAsia="en-AU"/>
        </w:rPr>
      </w:pPr>
      <w:hyperlink w:anchor="_Toc527120869" w:history="1">
        <w:r w:rsidR="00F32252" w:rsidRPr="009603B0">
          <w:rPr>
            <w:rStyle w:val="Hyperlink"/>
          </w:rPr>
          <w:t>Disclaimer</w:t>
        </w:r>
        <w:r w:rsidR="00F32252">
          <w:rPr>
            <w:webHidden/>
          </w:rPr>
          <w:tab/>
        </w:r>
        <w:r w:rsidR="00F32252">
          <w:rPr>
            <w:webHidden/>
          </w:rPr>
          <w:fldChar w:fldCharType="begin"/>
        </w:r>
        <w:r w:rsidR="00F32252">
          <w:rPr>
            <w:webHidden/>
          </w:rPr>
          <w:instrText xml:space="preserve"> PAGEREF _Toc527120869 \h </w:instrText>
        </w:r>
        <w:r w:rsidR="00F32252">
          <w:rPr>
            <w:webHidden/>
          </w:rPr>
        </w:r>
        <w:r w:rsidR="00F32252">
          <w:rPr>
            <w:webHidden/>
          </w:rPr>
          <w:fldChar w:fldCharType="separate"/>
        </w:r>
        <w:r>
          <w:rPr>
            <w:webHidden/>
          </w:rPr>
          <w:t>2</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0" w:history="1">
        <w:r w:rsidR="00F32252" w:rsidRPr="009603B0">
          <w:rPr>
            <w:rStyle w:val="Hyperlink"/>
          </w:rPr>
          <w:t>Additional copies</w:t>
        </w:r>
        <w:r w:rsidR="00F32252">
          <w:rPr>
            <w:webHidden/>
          </w:rPr>
          <w:tab/>
        </w:r>
        <w:r w:rsidR="00F32252">
          <w:rPr>
            <w:webHidden/>
          </w:rPr>
          <w:fldChar w:fldCharType="begin"/>
        </w:r>
        <w:r w:rsidR="00F32252">
          <w:rPr>
            <w:webHidden/>
          </w:rPr>
          <w:instrText xml:space="preserve"> PAGEREF _Toc527120870 \h </w:instrText>
        </w:r>
        <w:r w:rsidR="00F32252">
          <w:rPr>
            <w:webHidden/>
          </w:rPr>
        </w:r>
        <w:r w:rsidR="00F32252">
          <w:rPr>
            <w:webHidden/>
          </w:rPr>
          <w:fldChar w:fldCharType="separate"/>
        </w:r>
        <w:r>
          <w:rPr>
            <w:webHidden/>
          </w:rPr>
          <w:t>2</w:t>
        </w:r>
        <w:r w:rsidR="00F32252">
          <w:rPr>
            <w:webHidden/>
          </w:rPr>
          <w:fldChar w:fldCharType="end"/>
        </w:r>
      </w:hyperlink>
    </w:p>
    <w:p w:rsidR="00F32252" w:rsidRDefault="00740E51">
      <w:pPr>
        <w:pStyle w:val="TOC1"/>
        <w:rPr>
          <w:rFonts w:asciiTheme="minorHAnsi" w:eastAsiaTheme="minorEastAsia" w:hAnsiTheme="minorHAnsi" w:cstheme="minorBidi"/>
          <w:b w:val="0"/>
          <w:sz w:val="22"/>
          <w:szCs w:val="22"/>
          <w:lang w:eastAsia="en-AU"/>
        </w:rPr>
      </w:pPr>
      <w:hyperlink w:anchor="_Toc527120871" w:history="1">
        <w:r w:rsidR="00F32252" w:rsidRPr="009603B0">
          <w:rPr>
            <w:rStyle w:val="Hyperlink"/>
          </w:rPr>
          <w:t>Introduction</w:t>
        </w:r>
        <w:r w:rsidR="00F32252">
          <w:rPr>
            <w:webHidden/>
          </w:rPr>
          <w:tab/>
        </w:r>
        <w:r w:rsidR="00F32252">
          <w:rPr>
            <w:webHidden/>
          </w:rPr>
          <w:fldChar w:fldCharType="begin"/>
        </w:r>
        <w:r w:rsidR="00F32252">
          <w:rPr>
            <w:webHidden/>
          </w:rPr>
          <w:instrText xml:space="preserve"> PAGEREF _Toc527120871 \h </w:instrText>
        </w:r>
        <w:r w:rsidR="00F32252">
          <w:rPr>
            <w:webHidden/>
          </w:rPr>
        </w:r>
        <w:r w:rsidR="00F32252">
          <w:rPr>
            <w:webHidden/>
          </w:rPr>
          <w:fldChar w:fldCharType="separate"/>
        </w:r>
        <w:r>
          <w:rPr>
            <w:webHidden/>
          </w:rPr>
          <w:t>3</w:t>
        </w:r>
        <w:r w:rsidR="00F32252">
          <w:rPr>
            <w:webHidden/>
          </w:rPr>
          <w:fldChar w:fldCharType="end"/>
        </w:r>
      </w:hyperlink>
    </w:p>
    <w:p w:rsidR="00F32252" w:rsidRDefault="00740E51">
      <w:pPr>
        <w:pStyle w:val="TOC1"/>
        <w:rPr>
          <w:rFonts w:asciiTheme="minorHAnsi" w:eastAsiaTheme="minorEastAsia" w:hAnsiTheme="minorHAnsi" w:cstheme="minorBidi"/>
          <w:b w:val="0"/>
          <w:sz w:val="22"/>
          <w:szCs w:val="22"/>
          <w:lang w:eastAsia="en-AU"/>
        </w:rPr>
      </w:pPr>
      <w:hyperlink w:anchor="_Toc527120872" w:history="1">
        <w:r w:rsidR="00F32252" w:rsidRPr="009603B0">
          <w:rPr>
            <w:rStyle w:val="Hyperlink"/>
          </w:rPr>
          <w:t>General principles</w:t>
        </w:r>
        <w:r w:rsidR="00F32252">
          <w:rPr>
            <w:webHidden/>
          </w:rPr>
          <w:tab/>
        </w:r>
        <w:r w:rsidR="00F32252">
          <w:rPr>
            <w:webHidden/>
          </w:rPr>
          <w:fldChar w:fldCharType="begin"/>
        </w:r>
        <w:r w:rsidR="00F32252">
          <w:rPr>
            <w:webHidden/>
          </w:rPr>
          <w:instrText xml:space="preserve"> PAGEREF _Toc527120872 \h </w:instrText>
        </w:r>
        <w:r w:rsidR="00F32252">
          <w:rPr>
            <w:webHidden/>
          </w:rPr>
        </w:r>
        <w:r w:rsidR="00F32252">
          <w:rPr>
            <w:webHidden/>
          </w:rPr>
          <w:fldChar w:fldCharType="separate"/>
        </w:r>
        <w:r>
          <w:rPr>
            <w:webHidden/>
          </w:rPr>
          <w:t>4</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3" w:history="1">
        <w:r w:rsidR="00F32252" w:rsidRPr="009603B0">
          <w:rPr>
            <w:rStyle w:val="Hyperlink"/>
          </w:rPr>
          <w:t>Communication</w:t>
        </w:r>
        <w:r w:rsidR="00F32252">
          <w:rPr>
            <w:webHidden/>
          </w:rPr>
          <w:tab/>
        </w:r>
        <w:r w:rsidR="00F32252">
          <w:rPr>
            <w:webHidden/>
          </w:rPr>
          <w:fldChar w:fldCharType="begin"/>
        </w:r>
        <w:r w:rsidR="00F32252">
          <w:rPr>
            <w:webHidden/>
          </w:rPr>
          <w:instrText xml:space="preserve"> PAGEREF _Toc527120873 \h </w:instrText>
        </w:r>
        <w:r w:rsidR="00F32252">
          <w:rPr>
            <w:webHidden/>
          </w:rPr>
        </w:r>
        <w:r w:rsidR="00F32252">
          <w:rPr>
            <w:webHidden/>
          </w:rPr>
          <w:fldChar w:fldCharType="separate"/>
        </w:r>
        <w:r>
          <w:rPr>
            <w:webHidden/>
          </w:rPr>
          <w:t>4</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4" w:history="1">
        <w:r w:rsidR="00F32252" w:rsidRPr="009603B0">
          <w:rPr>
            <w:rStyle w:val="Hyperlink"/>
          </w:rPr>
          <w:t>Handling a complaint</w:t>
        </w:r>
        <w:r w:rsidR="00F32252">
          <w:rPr>
            <w:webHidden/>
          </w:rPr>
          <w:tab/>
        </w:r>
        <w:r w:rsidR="00F32252">
          <w:rPr>
            <w:webHidden/>
          </w:rPr>
          <w:fldChar w:fldCharType="begin"/>
        </w:r>
        <w:r w:rsidR="00F32252">
          <w:rPr>
            <w:webHidden/>
          </w:rPr>
          <w:instrText xml:space="preserve"> PAGEREF _Toc527120874 \h </w:instrText>
        </w:r>
        <w:r w:rsidR="00F32252">
          <w:rPr>
            <w:webHidden/>
          </w:rPr>
        </w:r>
        <w:r w:rsidR="00F32252">
          <w:rPr>
            <w:webHidden/>
          </w:rPr>
          <w:fldChar w:fldCharType="separate"/>
        </w:r>
        <w:r>
          <w:rPr>
            <w:webHidden/>
          </w:rPr>
          <w:t>4</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5" w:history="1">
        <w:r w:rsidR="00F32252" w:rsidRPr="009603B0">
          <w:rPr>
            <w:rStyle w:val="Hyperlink"/>
          </w:rPr>
          <w:t>Resolving a complaint</w:t>
        </w:r>
        <w:r w:rsidR="00F32252">
          <w:rPr>
            <w:webHidden/>
          </w:rPr>
          <w:tab/>
        </w:r>
        <w:r w:rsidR="00F32252">
          <w:rPr>
            <w:webHidden/>
          </w:rPr>
          <w:fldChar w:fldCharType="begin"/>
        </w:r>
        <w:r w:rsidR="00F32252">
          <w:rPr>
            <w:webHidden/>
          </w:rPr>
          <w:instrText xml:space="preserve"> PAGEREF _Toc527120875 \h </w:instrText>
        </w:r>
        <w:r w:rsidR="00F32252">
          <w:rPr>
            <w:webHidden/>
          </w:rPr>
        </w:r>
        <w:r w:rsidR="00F32252">
          <w:rPr>
            <w:webHidden/>
          </w:rPr>
          <w:fldChar w:fldCharType="separate"/>
        </w:r>
        <w:r>
          <w:rPr>
            <w:webHidden/>
          </w:rPr>
          <w:t>4</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6" w:history="1">
        <w:r w:rsidR="00F32252" w:rsidRPr="009603B0">
          <w:rPr>
            <w:rStyle w:val="Hyperlink"/>
          </w:rPr>
          <w:t>Your role</w:t>
        </w:r>
        <w:r w:rsidR="00F32252">
          <w:rPr>
            <w:webHidden/>
          </w:rPr>
          <w:tab/>
        </w:r>
        <w:r w:rsidR="00F32252">
          <w:rPr>
            <w:webHidden/>
          </w:rPr>
          <w:fldChar w:fldCharType="begin"/>
        </w:r>
        <w:r w:rsidR="00F32252">
          <w:rPr>
            <w:webHidden/>
          </w:rPr>
          <w:instrText xml:space="preserve"> PAGEREF _Toc527120876 \h </w:instrText>
        </w:r>
        <w:r w:rsidR="00F32252">
          <w:rPr>
            <w:webHidden/>
          </w:rPr>
        </w:r>
        <w:r w:rsidR="00F32252">
          <w:rPr>
            <w:webHidden/>
          </w:rPr>
          <w:fldChar w:fldCharType="separate"/>
        </w:r>
        <w:r>
          <w:rPr>
            <w:webHidden/>
          </w:rPr>
          <w:t>5</w:t>
        </w:r>
        <w:r w:rsidR="00F32252">
          <w:rPr>
            <w:webHidden/>
          </w:rPr>
          <w:fldChar w:fldCharType="end"/>
        </w:r>
      </w:hyperlink>
    </w:p>
    <w:p w:rsidR="00F32252" w:rsidRDefault="00740E51">
      <w:pPr>
        <w:pStyle w:val="TOC1"/>
        <w:rPr>
          <w:rFonts w:asciiTheme="minorHAnsi" w:eastAsiaTheme="minorEastAsia" w:hAnsiTheme="minorHAnsi" w:cstheme="minorBidi"/>
          <w:b w:val="0"/>
          <w:sz w:val="22"/>
          <w:szCs w:val="22"/>
          <w:lang w:eastAsia="en-AU"/>
        </w:rPr>
      </w:pPr>
      <w:hyperlink w:anchor="_Toc527120877" w:history="1">
        <w:r w:rsidR="00F32252" w:rsidRPr="009603B0">
          <w:rPr>
            <w:rStyle w:val="Hyperlink"/>
          </w:rPr>
          <w:t>Retirement village protocols</w:t>
        </w:r>
        <w:r w:rsidR="00F32252">
          <w:rPr>
            <w:webHidden/>
          </w:rPr>
          <w:tab/>
        </w:r>
        <w:r w:rsidR="00F32252">
          <w:rPr>
            <w:webHidden/>
          </w:rPr>
          <w:fldChar w:fldCharType="begin"/>
        </w:r>
        <w:r w:rsidR="00F32252">
          <w:rPr>
            <w:webHidden/>
          </w:rPr>
          <w:instrText xml:space="preserve"> PAGEREF _Toc527120877 \h </w:instrText>
        </w:r>
        <w:r w:rsidR="00F32252">
          <w:rPr>
            <w:webHidden/>
          </w:rPr>
        </w:r>
        <w:r w:rsidR="00F32252">
          <w:rPr>
            <w:webHidden/>
          </w:rPr>
          <w:fldChar w:fldCharType="separate"/>
        </w:r>
        <w:r>
          <w:rPr>
            <w:webHidden/>
          </w:rPr>
          <w:t>6</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8" w:history="1">
        <w:r w:rsidR="00F32252" w:rsidRPr="009603B0">
          <w:rPr>
            <w:rStyle w:val="Hyperlink"/>
          </w:rPr>
          <w:t>The protocols cover seven common areas of dispute:</w:t>
        </w:r>
        <w:r w:rsidR="00F32252">
          <w:rPr>
            <w:webHidden/>
          </w:rPr>
          <w:tab/>
        </w:r>
        <w:r w:rsidR="00F32252">
          <w:rPr>
            <w:webHidden/>
          </w:rPr>
          <w:fldChar w:fldCharType="begin"/>
        </w:r>
        <w:r w:rsidR="00F32252">
          <w:rPr>
            <w:webHidden/>
          </w:rPr>
          <w:instrText xml:space="preserve"> PAGEREF _Toc527120878 \h </w:instrText>
        </w:r>
        <w:r w:rsidR="00F32252">
          <w:rPr>
            <w:webHidden/>
          </w:rPr>
        </w:r>
        <w:r w:rsidR="00F32252">
          <w:rPr>
            <w:webHidden/>
          </w:rPr>
          <w:fldChar w:fldCharType="separate"/>
        </w:r>
        <w:r>
          <w:rPr>
            <w:webHidden/>
          </w:rPr>
          <w:t>6</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79" w:history="1">
        <w:r w:rsidR="00F32252" w:rsidRPr="009603B0">
          <w:rPr>
            <w:rStyle w:val="Hyperlink"/>
          </w:rPr>
          <w:t>Protocol 1: Changes to services</w:t>
        </w:r>
        <w:r w:rsidR="00F32252">
          <w:rPr>
            <w:webHidden/>
          </w:rPr>
          <w:tab/>
        </w:r>
        <w:r w:rsidR="00F32252">
          <w:rPr>
            <w:webHidden/>
          </w:rPr>
          <w:fldChar w:fldCharType="begin"/>
        </w:r>
        <w:r w:rsidR="00F32252">
          <w:rPr>
            <w:webHidden/>
          </w:rPr>
          <w:instrText xml:space="preserve"> PAGEREF _Toc527120879 \h </w:instrText>
        </w:r>
        <w:r w:rsidR="00F32252">
          <w:rPr>
            <w:webHidden/>
          </w:rPr>
        </w:r>
        <w:r w:rsidR="00F32252">
          <w:rPr>
            <w:webHidden/>
          </w:rPr>
          <w:fldChar w:fldCharType="separate"/>
        </w:r>
        <w:r>
          <w:rPr>
            <w:webHidden/>
          </w:rPr>
          <w:t>7</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0" w:history="1">
        <w:r w:rsidR="00F32252" w:rsidRPr="009603B0">
          <w:rPr>
            <w:rStyle w:val="Hyperlink"/>
          </w:rPr>
          <w:t>Protocol 2: Maintenance: charges and process</w:t>
        </w:r>
        <w:r w:rsidR="00F32252">
          <w:rPr>
            <w:webHidden/>
          </w:rPr>
          <w:tab/>
        </w:r>
        <w:r w:rsidR="00F32252">
          <w:rPr>
            <w:webHidden/>
          </w:rPr>
          <w:fldChar w:fldCharType="begin"/>
        </w:r>
        <w:r w:rsidR="00F32252">
          <w:rPr>
            <w:webHidden/>
          </w:rPr>
          <w:instrText xml:space="preserve"> PAGEREF _Toc527120880 \h </w:instrText>
        </w:r>
        <w:r w:rsidR="00F32252">
          <w:rPr>
            <w:webHidden/>
          </w:rPr>
        </w:r>
        <w:r w:rsidR="00F32252">
          <w:rPr>
            <w:webHidden/>
          </w:rPr>
          <w:fldChar w:fldCharType="separate"/>
        </w:r>
        <w:r>
          <w:rPr>
            <w:webHidden/>
          </w:rPr>
          <w:t>8</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1" w:history="1">
        <w:r w:rsidR="00F32252" w:rsidRPr="009603B0">
          <w:rPr>
            <w:rStyle w:val="Hyperlink"/>
          </w:rPr>
          <w:t>Protocol 3: What is covered by service and capital charges</w:t>
        </w:r>
        <w:r w:rsidR="00F32252">
          <w:rPr>
            <w:webHidden/>
          </w:rPr>
          <w:tab/>
        </w:r>
        <w:r w:rsidR="00F32252">
          <w:rPr>
            <w:webHidden/>
          </w:rPr>
          <w:fldChar w:fldCharType="begin"/>
        </w:r>
        <w:r w:rsidR="00F32252">
          <w:rPr>
            <w:webHidden/>
          </w:rPr>
          <w:instrText xml:space="preserve"> PAGEREF _Toc527120881 \h </w:instrText>
        </w:r>
        <w:r w:rsidR="00F32252">
          <w:rPr>
            <w:webHidden/>
          </w:rPr>
        </w:r>
        <w:r w:rsidR="00F32252">
          <w:rPr>
            <w:webHidden/>
          </w:rPr>
          <w:fldChar w:fldCharType="separate"/>
        </w:r>
        <w:r>
          <w:rPr>
            <w:webHidden/>
          </w:rPr>
          <w:t>10</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2" w:history="1">
        <w:r w:rsidR="00F32252" w:rsidRPr="009603B0">
          <w:rPr>
            <w:rStyle w:val="Hyperlink"/>
          </w:rPr>
          <w:t>Protocol 4: Presentation of the annual financial statement</w:t>
        </w:r>
        <w:r w:rsidR="00F32252">
          <w:rPr>
            <w:webHidden/>
          </w:rPr>
          <w:tab/>
        </w:r>
        <w:r w:rsidR="00F32252">
          <w:rPr>
            <w:webHidden/>
          </w:rPr>
          <w:fldChar w:fldCharType="begin"/>
        </w:r>
        <w:r w:rsidR="00F32252">
          <w:rPr>
            <w:webHidden/>
          </w:rPr>
          <w:instrText xml:space="preserve"> PAGEREF _Toc527120882 \h </w:instrText>
        </w:r>
        <w:r w:rsidR="00F32252">
          <w:rPr>
            <w:webHidden/>
          </w:rPr>
        </w:r>
        <w:r w:rsidR="00F32252">
          <w:rPr>
            <w:webHidden/>
          </w:rPr>
          <w:fldChar w:fldCharType="separate"/>
        </w:r>
        <w:r>
          <w:rPr>
            <w:webHidden/>
          </w:rPr>
          <w:t>11</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3" w:history="1">
        <w:r w:rsidR="00F32252" w:rsidRPr="009603B0">
          <w:rPr>
            <w:rStyle w:val="Hyperlink"/>
          </w:rPr>
          <w:t>Protocol 5: Marketing procedures for a unit when a resident leaves</w:t>
        </w:r>
        <w:r w:rsidR="00F32252">
          <w:rPr>
            <w:webHidden/>
          </w:rPr>
          <w:tab/>
        </w:r>
        <w:r w:rsidR="00F32252">
          <w:rPr>
            <w:webHidden/>
          </w:rPr>
          <w:fldChar w:fldCharType="begin"/>
        </w:r>
        <w:r w:rsidR="00F32252">
          <w:rPr>
            <w:webHidden/>
          </w:rPr>
          <w:instrText xml:space="preserve"> PAGEREF _Toc527120883 \h </w:instrText>
        </w:r>
        <w:r w:rsidR="00F32252">
          <w:rPr>
            <w:webHidden/>
          </w:rPr>
        </w:r>
        <w:r w:rsidR="00F32252">
          <w:rPr>
            <w:webHidden/>
          </w:rPr>
          <w:fldChar w:fldCharType="separate"/>
        </w:r>
        <w:r>
          <w:rPr>
            <w:webHidden/>
          </w:rPr>
          <w:t>12</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4" w:history="1">
        <w:r w:rsidR="00F32252" w:rsidRPr="009603B0">
          <w:rPr>
            <w:rStyle w:val="Hyperlink"/>
          </w:rPr>
          <w:t>Protocol 6: Ongoing charges after a resident leaves</w:t>
        </w:r>
        <w:r w:rsidR="00F32252">
          <w:rPr>
            <w:webHidden/>
          </w:rPr>
          <w:tab/>
        </w:r>
        <w:r w:rsidR="00F32252">
          <w:rPr>
            <w:webHidden/>
          </w:rPr>
          <w:fldChar w:fldCharType="begin"/>
        </w:r>
        <w:r w:rsidR="00F32252">
          <w:rPr>
            <w:webHidden/>
          </w:rPr>
          <w:instrText xml:space="preserve"> PAGEREF _Toc527120884 \h </w:instrText>
        </w:r>
        <w:r w:rsidR="00F32252">
          <w:rPr>
            <w:webHidden/>
          </w:rPr>
        </w:r>
        <w:r w:rsidR="00F32252">
          <w:rPr>
            <w:webHidden/>
          </w:rPr>
          <w:fldChar w:fldCharType="separate"/>
        </w:r>
        <w:r>
          <w:rPr>
            <w:webHidden/>
          </w:rPr>
          <w:t>15</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5" w:history="1">
        <w:r w:rsidR="00F32252" w:rsidRPr="009603B0">
          <w:rPr>
            <w:rStyle w:val="Hyperlink"/>
          </w:rPr>
          <w:t>Protocol 7: Refurbishment and reinstatement of units</w:t>
        </w:r>
        <w:r w:rsidR="00F32252">
          <w:rPr>
            <w:webHidden/>
          </w:rPr>
          <w:tab/>
        </w:r>
        <w:r w:rsidR="00F32252">
          <w:rPr>
            <w:webHidden/>
          </w:rPr>
          <w:fldChar w:fldCharType="begin"/>
        </w:r>
        <w:r w:rsidR="00F32252">
          <w:rPr>
            <w:webHidden/>
          </w:rPr>
          <w:instrText xml:space="preserve"> PAGEREF _Toc527120885 \h </w:instrText>
        </w:r>
        <w:r w:rsidR="00F32252">
          <w:rPr>
            <w:webHidden/>
          </w:rPr>
        </w:r>
        <w:r w:rsidR="00F32252">
          <w:rPr>
            <w:webHidden/>
          </w:rPr>
          <w:fldChar w:fldCharType="separate"/>
        </w:r>
        <w:r>
          <w:rPr>
            <w:webHidden/>
          </w:rPr>
          <w:t>16</w:t>
        </w:r>
        <w:r w:rsidR="00F32252">
          <w:rPr>
            <w:webHidden/>
          </w:rPr>
          <w:fldChar w:fldCharType="end"/>
        </w:r>
      </w:hyperlink>
    </w:p>
    <w:p w:rsidR="00F32252" w:rsidRDefault="00740E51">
      <w:pPr>
        <w:pStyle w:val="TOC1"/>
        <w:rPr>
          <w:rFonts w:asciiTheme="minorHAnsi" w:eastAsiaTheme="minorEastAsia" w:hAnsiTheme="minorHAnsi" w:cstheme="minorBidi"/>
          <w:b w:val="0"/>
          <w:sz w:val="22"/>
          <w:szCs w:val="22"/>
          <w:lang w:eastAsia="en-AU"/>
        </w:rPr>
      </w:pPr>
      <w:hyperlink w:anchor="_Toc527120886" w:history="1">
        <w:r w:rsidR="00F32252" w:rsidRPr="009603B0">
          <w:rPr>
            <w:rStyle w:val="Hyperlink"/>
          </w:rPr>
          <w:t>Further information and advice</w:t>
        </w:r>
        <w:r w:rsidR="00F32252">
          <w:rPr>
            <w:webHidden/>
          </w:rPr>
          <w:tab/>
        </w:r>
        <w:r w:rsidR="00F32252">
          <w:rPr>
            <w:webHidden/>
          </w:rPr>
          <w:fldChar w:fldCharType="begin"/>
        </w:r>
        <w:r w:rsidR="00F32252">
          <w:rPr>
            <w:webHidden/>
          </w:rPr>
          <w:instrText xml:space="preserve"> PAGEREF _Toc527120886 \h </w:instrText>
        </w:r>
        <w:r w:rsidR="00F32252">
          <w:rPr>
            <w:webHidden/>
          </w:rPr>
        </w:r>
        <w:r w:rsidR="00F32252">
          <w:rPr>
            <w:webHidden/>
          </w:rPr>
          <w:fldChar w:fldCharType="separate"/>
        </w:r>
        <w:r>
          <w:rPr>
            <w:webHidden/>
          </w:rPr>
          <w:t>18</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7" w:history="1">
        <w:r w:rsidR="00F32252" w:rsidRPr="009603B0">
          <w:rPr>
            <w:rStyle w:val="Hyperlink"/>
            <w:rFonts w:eastAsia="MS Mincho"/>
          </w:rPr>
          <w:t>Consumer Affairs Victoria</w:t>
        </w:r>
        <w:r w:rsidR="00F32252">
          <w:rPr>
            <w:webHidden/>
          </w:rPr>
          <w:tab/>
        </w:r>
        <w:r w:rsidR="00F32252">
          <w:rPr>
            <w:webHidden/>
          </w:rPr>
          <w:fldChar w:fldCharType="begin"/>
        </w:r>
        <w:r w:rsidR="00F32252">
          <w:rPr>
            <w:webHidden/>
          </w:rPr>
          <w:instrText xml:space="preserve"> PAGEREF _Toc527120887 \h </w:instrText>
        </w:r>
        <w:r w:rsidR="00F32252">
          <w:rPr>
            <w:webHidden/>
          </w:rPr>
        </w:r>
        <w:r w:rsidR="00F32252">
          <w:rPr>
            <w:webHidden/>
          </w:rPr>
          <w:fldChar w:fldCharType="separate"/>
        </w:r>
        <w:r>
          <w:rPr>
            <w:webHidden/>
          </w:rPr>
          <w:t>18</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8" w:history="1">
        <w:r w:rsidR="00F32252" w:rsidRPr="009603B0">
          <w:rPr>
            <w:rStyle w:val="Hyperlink"/>
          </w:rPr>
          <w:t>Housing for the Aged Action Group (HAAG)</w:t>
        </w:r>
        <w:r w:rsidR="00F32252">
          <w:rPr>
            <w:webHidden/>
          </w:rPr>
          <w:tab/>
        </w:r>
        <w:r w:rsidR="00F32252">
          <w:rPr>
            <w:webHidden/>
          </w:rPr>
          <w:fldChar w:fldCharType="begin"/>
        </w:r>
        <w:r w:rsidR="00F32252">
          <w:rPr>
            <w:webHidden/>
          </w:rPr>
          <w:instrText xml:space="preserve"> PAGEREF _Toc527120888 \h </w:instrText>
        </w:r>
        <w:r w:rsidR="00F32252">
          <w:rPr>
            <w:webHidden/>
          </w:rPr>
        </w:r>
        <w:r w:rsidR="00F32252">
          <w:rPr>
            <w:webHidden/>
          </w:rPr>
          <w:fldChar w:fldCharType="separate"/>
        </w:r>
        <w:r>
          <w:rPr>
            <w:webHidden/>
          </w:rPr>
          <w:t>18</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89" w:history="1">
        <w:r w:rsidR="00F32252" w:rsidRPr="009603B0">
          <w:rPr>
            <w:rStyle w:val="Hyperlink"/>
          </w:rPr>
          <w:t>Residents of Retirement Villages Victoria</w:t>
        </w:r>
        <w:r w:rsidR="00F32252">
          <w:rPr>
            <w:webHidden/>
          </w:rPr>
          <w:tab/>
        </w:r>
        <w:r w:rsidR="00F32252">
          <w:rPr>
            <w:webHidden/>
          </w:rPr>
          <w:fldChar w:fldCharType="begin"/>
        </w:r>
        <w:r w:rsidR="00F32252">
          <w:rPr>
            <w:webHidden/>
          </w:rPr>
          <w:instrText xml:space="preserve"> PAGEREF _Toc527120889 \h </w:instrText>
        </w:r>
        <w:r w:rsidR="00F32252">
          <w:rPr>
            <w:webHidden/>
          </w:rPr>
        </w:r>
        <w:r w:rsidR="00F32252">
          <w:rPr>
            <w:webHidden/>
          </w:rPr>
          <w:fldChar w:fldCharType="separate"/>
        </w:r>
        <w:r>
          <w:rPr>
            <w:webHidden/>
          </w:rPr>
          <w:t>19</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90" w:history="1">
        <w:r w:rsidR="00F32252" w:rsidRPr="009603B0">
          <w:rPr>
            <w:rStyle w:val="Hyperlink"/>
          </w:rPr>
          <w:t>Seniors Information Victoria (SIV)</w:t>
        </w:r>
        <w:r w:rsidR="00F32252">
          <w:rPr>
            <w:webHidden/>
          </w:rPr>
          <w:tab/>
        </w:r>
        <w:r w:rsidR="00F32252">
          <w:rPr>
            <w:webHidden/>
          </w:rPr>
          <w:fldChar w:fldCharType="begin"/>
        </w:r>
        <w:r w:rsidR="00F32252">
          <w:rPr>
            <w:webHidden/>
          </w:rPr>
          <w:instrText xml:space="preserve"> PAGEREF _Toc527120890 \h </w:instrText>
        </w:r>
        <w:r w:rsidR="00F32252">
          <w:rPr>
            <w:webHidden/>
          </w:rPr>
        </w:r>
        <w:r w:rsidR="00F32252">
          <w:rPr>
            <w:webHidden/>
          </w:rPr>
          <w:fldChar w:fldCharType="separate"/>
        </w:r>
        <w:r>
          <w:rPr>
            <w:webHidden/>
          </w:rPr>
          <w:t>19</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91" w:history="1">
        <w:r w:rsidR="00F32252" w:rsidRPr="009603B0">
          <w:rPr>
            <w:rStyle w:val="Hyperlink"/>
          </w:rPr>
          <w:t>Dispute Settlement Centre of Victoria</w:t>
        </w:r>
        <w:r w:rsidR="00F32252">
          <w:rPr>
            <w:webHidden/>
          </w:rPr>
          <w:tab/>
        </w:r>
        <w:r w:rsidR="00F32252">
          <w:rPr>
            <w:webHidden/>
          </w:rPr>
          <w:fldChar w:fldCharType="begin"/>
        </w:r>
        <w:r w:rsidR="00F32252">
          <w:rPr>
            <w:webHidden/>
          </w:rPr>
          <w:instrText xml:space="preserve"> PAGEREF _Toc527120891 \h </w:instrText>
        </w:r>
        <w:r w:rsidR="00F32252">
          <w:rPr>
            <w:webHidden/>
          </w:rPr>
        </w:r>
        <w:r w:rsidR="00F32252">
          <w:rPr>
            <w:webHidden/>
          </w:rPr>
          <w:fldChar w:fldCharType="separate"/>
        </w:r>
        <w:r>
          <w:rPr>
            <w:webHidden/>
          </w:rPr>
          <w:t>19</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92" w:history="1">
        <w:r w:rsidR="00F32252" w:rsidRPr="009603B0">
          <w:rPr>
            <w:rStyle w:val="Hyperlink"/>
          </w:rPr>
          <w:t>Victorian Civil and Administrative Tribunal (Civil List)</w:t>
        </w:r>
        <w:r w:rsidR="00F32252">
          <w:rPr>
            <w:webHidden/>
          </w:rPr>
          <w:tab/>
        </w:r>
        <w:r w:rsidR="00F32252">
          <w:rPr>
            <w:webHidden/>
          </w:rPr>
          <w:fldChar w:fldCharType="begin"/>
        </w:r>
        <w:r w:rsidR="00F32252">
          <w:rPr>
            <w:webHidden/>
          </w:rPr>
          <w:instrText xml:space="preserve"> PAGEREF _Toc527120892 \h </w:instrText>
        </w:r>
        <w:r w:rsidR="00F32252">
          <w:rPr>
            <w:webHidden/>
          </w:rPr>
        </w:r>
        <w:r w:rsidR="00F32252">
          <w:rPr>
            <w:webHidden/>
          </w:rPr>
          <w:fldChar w:fldCharType="separate"/>
        </w:r>
        <w:r>
          <w:rPr>
            <w:webHidden/>
          </w:rPr>
          <w:t>19</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93" w:history="1">
        <w:r w:rsidR="00F32252" w:rsidRPr="009603B0">
          <w:rPr>
            <w:rStyle w:val="Hyperlink"/>
          </w:rPr>
          <w:t>Law Institute of Victoria – Legal Referral Service</w:t>
        </w:r>
        <w:r w:rsidR="00F32252">
          <w:rPr>
            <w:webHidden/>
          </w:rPr>
          <w:tab/>
        </w:r>
        <w:r w:rsidR="00F32252">
          <w:rPr>
            <w:webHidden/>
          </w:rPr>
          <w:fldChar w:fldCharType="begin"/>
        </w:r>
        <w:r w:rsidR="00F32252">
          <w:rPr>
            <w:webHidden/>
          </w:rPr>
          <w:instrText xml:space="preserve"> PAGEREF _Toc527120893 \h </w:instrText>
        </w:r>
        <w:r w:rsidR="00F32252">
          <w:rPr>
            <w:webHidden/>
          </w:rPr>
        </w:r>
        <w:r w:rsidR="00F32252">
          <w:rPr>
            <w:webHidden/>
          </w:rPr>
          <w:fldChar w:fldCharType="separate"/>
        </w:r>
        <w:r>
          <w:rPr>
            <w:webHidden/>
          </w:rPr>
          <w:t>19</w:t>
        </w:r>
        <w:r w:rsidR="00F32252">
          <w:rPr>
            <w:webHidden/>
          </w:rPr>
          <w:fldChar w:fldCharType="end"/>
        </w:r>
      </w:hyperlink>
    </w:p>
    <w:p w:rsidR="00F32252" w:rsidRDefault="00740E51">
      <w:pPr>
        <w:pStyle w:val="TOC2"/>
        <w:rPr>
          <w:rFonts w:asciiTheme="minorHAnsi" w:eastAsiaTheme="minorEastAsia" w:hAnsiTheme="minorHAnsi" w:cstheme="minorBidi"/>
          <w:sz w:val="22"/>
          <w:szCs w:val="22"/>
          <w:lang w:eastAsia="en-AU"/>
        </w:rPr>
      </w:pPr>
      <w:hyperlink w:anchor="_Toc527120894" w:history="1">
        <w:r w:rsidR="00F32252" w:rsidRPr="009603B0">
          <w:rPr>
            <w:rStyle w:val="Hyperlink"/>
          </w:rPr>
          <w:t>Consumer Affairs Victoria</w:t>
        </w:r>
        <w:r w:rsidR="00F32252">
          <w:rPr>
            <w:webHidden/>
          </w:rPr>
          <w:tab/>
        </w:r>
        <w:r w:rsidR="00F32252">
          <w:rPr>
            <w:webHidden/>
          </w:rPr>
          <w:fldChar w:fldCharType="begin"/>
        </w:r>
        <w:r w:rsidR="00F32252">
          <w:rPr>
            <w:webHidden/>
          </w:rPr>
          <w:instrText xml:space="preserve"> PAGEREF _Toc527120894 \h </w:instrText>
        </w:r>
        <w:r w:rsidR="00F32252">
          <w:rPr>
            <w:webHidden/>
          </w:rPr>
        </w:r>
        <w:r w:rsidR="00F32252">
          <w:rPr>
            <w:webHidden/>
          </w:rPr>
          <w:fldChar w:fldCharType="separate"/>
        </w:r>
        <w:r>
          <w:rPr>
            <w:webHidden/>
          </w:rPr>
          <w:t>20</w:t>
        </w:r>
        <w:r w:rsidR="00F32252">
          <w:rPr>
            <w:webHidden/>
          </w:rPr>
          <w:fldChar w:fldCharType="end"/>
        </w:r>
      </w:hyperlink>
    </w:p>
    <w:p w:rsidR="00D33A5B" w:rsidRDefault="00210AE0" w:rsidP="001B1B1E">
      <w:pPr>
        <w:pStyle w:val="BodyText"/>
      </w:pPr>
      <w:r>
        <w:fldChar w:fldCharType="end"/>
      </w:r>
    </w:p>
    <w:p w:rsidR="00F61606" w:rsidRDefault="00F61606" w:rsidP="007A1F79">
      <w:pPr>
        <w:pStyle w:val="Heading2"/>
      </w:pPr>
      <w:bookmarkStart w:id="16" w:name="_Toc225931677"/>
      <w:bookmarkStart w:id="17" w:name="_Toc375053156"/>
      <w:bookmarkStart w:id="18" w:name="_Toc375053628"/>
      <w:bookmarkStart w:id="19" w:name="_Toc477781939"/>
      <w:bookmarkStart w:id="20" w:name="_Toc527120869"/>
      <w:bookmarkEnd w:id="11"/>
      <w:bookmarkEnd w:id="12"/>
      <w:bookmarkEnd w:id="13"/>
      <w:bookmarkEnd w:id="14"/>
      <w:r>
        <w:lastRenderedPageBreak/>
        <w:t>Disclaimer</w:t>
      </w:r>
      <w:bookmarkEnd w:id="16"/>
      <w:bookmarkEnd w:id="17"/>
      <w:bookmarkEnd w:id="18"/>
      <w:bookmarkEnd w:id="19"/>
      <w:bookmarkEnd w:id="20"/>
    </w:p>
    <w:p w:rsidR="00F61606" w:rsidRPr="00D728D7" w:rsidRDefault="0022407F" w:rsidP="00F61606">
      <w:pPr>
        <w:pStyle w:val="BodyText"/>
      </w:pPr>
      <w:r w:rsidRPr="00D728D7">
        <w:t xml:space="preserve">Because this publication avoids the use of legal language, information about the law may have been expressed in general statements. This guide should not be relied upon as a substitute for the </w:t>
      </w:r>
      <w:r w:rsidRPr="00D728D7">
        <w:rPr>
          <w:rStyle w:val="Emphasis"/>
        </w:rPr>
        <w:t>Retirement Villages Act 1986</w:t>
      </w:r>
      <w:r w:rsidRPr="00D728D7">
        <w:t xml:space="preserve"> or professional legal advice.</w:t>
      </w:r>
    </w:p>
    <w:p w:rsidR="00F61606" w:rsidRPr="00D728D7" w:rsidRDefault="00F61606" w:rsidP="00F61606">
      <w:pPr>
        <w:pStyle w:val="BodyText"/>
      </w:pPr>
      <w:r w:rsidRPr="00D728D7">
        <w:t>Authorised and published by the Victorian Government,1 Treasury Place, Melbourne</w:t>
      </w:r>
    </w:p>
    <w:p w:rsidR="00F61606" w:rsidRPr="00A90DBE" w:rsidRDefault="00A90DBE" w:rsidP="00F61606">
      <w:pPr>
        <w:pStyle w:val="BodyText"/>
      </w:pPr>
      <w:r>
        <w:t>October</w:t>
      </w:r>
      <w:r w:rsidR="00634411" w:rsidRPr="00A90DBE">
        <w:t xml:space="preserve"> 2018</w:t>
      </w:r>
    </w:p>
    <w:p w:rsidR="009E08D5" w:rsidRPr="009E08D5" w:rsidRDefault="009E08D5" w:rsidP="009E08D5">
      <w:pPr>
        <w:pStyle w:val="BodyText"/>
        <w:rPr>
          <w:lang w:val="en-GB"/>
        </w:rPr>
      </w:pPr>
      <w:r w:rsidRPr="009E08D5">
        <w:rPr>
          <w:rStyle w:val="Strong"/>
        </w:rPr>
        <w:t>ISBN</w:t>
      </w:r>
      <w:r w:rsidRPr="009E08D5">
        <w:rPr>
          <w:lang w:val="en-GB"/>
        </w:rPr>
        <w:t xml:space="preserve"> 978-1-925549-93-5 </w:t>
      </w:r>
      <w:r w:rsidRPr="009E08D5">
        <w:rPr>
          <w:rStyle w:val="Strong"/>
        </w:rPr>
        <w:t>(Print)</w:t>
      </w:r>
    </w:p>
    <w:p w:rsidR="009E08D5" w:rsidRPr="009E08D5" w:rsidRDefault="009E08D5" w:rsidP="009E08D5">
      <w:pPr>
        <w:pStyle w:val="BodyText"/>
        <w:rPr>
          <w:lang w:val="en-GB"/>
        </w:rPr>
      </w:pPr>
      <w:r w:rsidRPr="009E08D5">
        <w:rPr>
          <w:rStyle w:val="Strong"/>
        </w:rPr>
        <w:t>ISBN</w:t>
      </w:r>
      <w:r w:rsidRPr="009E08D5">
        <w:rPr>
          <w:lang w:val="en-GB"/>
        </w:rPr>
        <w:t xml:space="preserve"> 978-1-925549-94-2 </w:t>
      </w:r>
      <w:r w:rsidR="005708C2">
        <w:rPr>
          <w:rStyle w:val="Strong"/>
        </w:rPr>
        <w:t>Online (PDF)</w:t>
      </w:r>
    </w:p>
    <w:p w:rsidR="00F61606" w:rsidRPr="00D728D7" w:rsidRDefault="006533EB" w:rsidP="00F61606">
      <w:pPr>
        <w:pStyle w:val="BodyText"/>
      </w:pPr>
      <w:r w:rsidRPr="00D728D7">
        <w:rPr>
          <w:noProof/>
        </w:rPr>
        <w:drawing>
          <wp:inline distT="0" distB="0" distL="0" distR="0" wp14:anchorId="3FD3B643" wp14:editId="3804046D">
            <wp:extent cx="1322070" cy="173355"/>
            <wp:effectExtent l="0" t="0" r="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2070" cy="173355"/>
                    </a:xfrm>
                    <a:prstGeom prst="rect">
                      <a:avLst/>
                    </a:prstGeom>
                    <a:noFill/>
                    <a:ln>
                      <a:noFill/>
                    </a:ln>
                  </pic:spPr>
                </pic:pic>
              </a:graphicData>
            </a:graphic>
          </wp:inline>
        </w:drawing>
      </w:r>
    </w:p>
    <w:p w:rsidR="00992D84" w:rsidRPr="00D728D7" w:rsidRDefault="00992D84" w:rsidP="00992D84">
      <w:pPr>
        <w:pStyle w:val="BodyText"/>
      </w:pPr>
      <w:bookmarkStart w:id="21" w:name="_Further_information_and"/>
      <w:bookmarkEnd w:id="4"/>
      <w:bookmarkEnd w:id="21"/>
      <w:r w:rsidRPr="00D728D7">
        <w:t xml:space="preserve">Unless indicated otherwise, content in this publication is provided under a Creative Commons Attribution 3.0 Australia Licence. To view a copy of this licence, </w:t>
      </w:r>
      <w:r w:rsidR="00D728D7" w:rsidRPr="00D728D7">
        <w:t xml:space="preserve">visit the </w:t>
      </w:r>
      <w:hyperlink r:id="rId10" w:history="1">
        <w:r w:rsidR="00D728D7" w:rsidRPr="00D728D7">
          <w:rPr>
            <w:rStyle w:val="Hyperlink"/>
          </w:rPr>
          <w:t>Creative Commons Australia website</w:t>
        </w:r>
      </w:hyperlink>
      <w:r w:rsidR="00D728D7" w:rsidRPr="00D728D7">
        <w:t xml:space="preserve"> &lt;creativecommons.org/licenses/by/3.0/au&gt;</w:t>
      </w:r>
      <w:r w:rsidRPr="00D728D7">
        <w:t>. It is a condition of the Creative Commons Attribution 3.0 Licence that you must give credit to the original author who is the State of Victoria.</w:t>
      </w:r>
    </w:p>
    <w:p w:rsidR="00992D84" w:rsidRPr="00D728D7" w:rsidRDefault="00992D84" w:rsidP="00992D84">
      <w:pPr>
        <w:pStyle w:val="BodyText"/>
      </w:pPr>
      <w:r w:rsidRPr="00D728D7">
        <w:t xml:space="preserve">If you would like to receive this publication in an accessible </w:t>
      </w:r>
      <w:proofErr w:type="gramStart"/>
      <w:r w:rsidRPr="00D728D7">
        <w:t>format</w:t>
      </w:r>
      <w:proofErr w:type="gramEnd"/>
      <w:r w:rsidRPr="00D728D7">
        <w:t xml:space="preserve"> please visit the </w:t>
      </w:r>
      <w:proofErr w:type="spellStart"/>
      <w:r w:rsidR="00D728D7" w:rsidRPr="00D728D7">
        <w:t>the</w:t>
      </w:r>
      <w:proofErr w:type="spellEnd"/>
      <w:r w:rsidR="00D728D7" w:rsidRPr="00D728D7">
        <w:t xml:space="preserve"> </w:t>
      </w:r>
      <w:hyperlink r:id="rId11" w:history="1">
        <w:r w:rsidR="00D728D7" w:rsidRPr="00D728D7">
          <w:rPr>
            <w:rStyle w:val="Hyperlink"/>
          </w:rPr>
          <w:t>Consumer Affairs Victoria website</w:t>
        </w:r>
      </w:hyperlink>
      <w:r w:rsidR="00D728D7" w:rsidRPr="00D728D7">
        <w:t xml:space="preserve"> &lt;consumer.vic.gov.au&gt;</w:t>
      </w:r>
      <w:r w:rsidRPr="00D728D7">
        <w:t xml:space="preserve"> or ring 1300 55 81 81.</w:t>
      </w:r>
      <w:bookmarkStart w:id="22" w:name="_Toc452732174"/>
      <w:bookmarkStart w:id="23" w:name="_Toc515266561"/>
      <w:bookmarkStart w:id="24" w:name="_Toc516585683"/>
      <w:bookmarkStart w:id="25" w:name="_Toc516586400"/>
      <w:bookmarkStart w:id="26" w:name="_Toc516586476"/>
      <w:bookmarkStart w:id="27" w:name="_Toc516586927"/>
    </w:p>
    <w:p w:rsidR="00992D84" w:rsidRPr="00D728D7" w:rsidRDefault="00992D84" w:rsidP="001B1B1E">
      <w:pPr>
        <w:pStyle w:val="Heading3"/>
      </w:pPr>
      <w:bookmarkStart w:id="28" w:name="_Toc527120870"/>
      <w:r w:rsidRPr="00D728D7">
        <w:t>Additional copies</w:t>
      </w:r>
      <w:bookmarkEnd w:id="22"/>
      <w:bookmarkEnd w:id="23"/>
      <w:bookmarkEnd w:id="24"/>
      <w:bookmarkEnd w:id="25"/>
      <w:bookmarkEnd w:id="26"/>
      <w:bookmarkEnd w:id="27"/>
      <w:bookmarkEnd w:id="28"/>
    </w:p>
    <w:p w:rsidR="00992D84" w:rsidRPr="00095E29" w:rsidRDefault="00992D84" w:rsidP="00992D84">
      <w:pPr>
        <w:pStyle w:val="BodyText"/>
      </w:pPr>
      <w:r w:rsidRPr="00D728D7">
        <w:t>This guide is available from the Forms and publications page on the Consumer Affairs Victoria website or by phoning 1300 55 81 81.</w:t>
      </w:r>
    </w:p>
    <w:p w:rsidR="00992D84" w:rsidRPr="00095E29" w:rsidRDefault="00992D84" w:rsidP="001619CD">
      <w:pPr>
        <w:pStyle w:val="Heading2"/>
      </w:pPr>
      <w:bookmarkStart w:id="29" w:name="_Toc452732175"/>
      <w:bookmarkStart w:id="30" w:name="_Toc515266562"/>
      <w:bookmarkStart w:id="31" w:name="_Toc516585684"/>
      <w:bookmarkStart w:id="32" w:name="_Toc516586401"/>
      <w:bookmarkStart w:id="33" w:name="_Toc516586477"/>
      <w:bookmarkStart w:id="34" w:name="_Toc525829682"/>
      <w:bookmarkStart w:id="35" w:name="_Toc527120871"/>
      <w:r w:rsidRPr="00095E29">
        <w:lastRenderedPageBreak/>
        <w:t>Introduction</w:t>
      </w:r>
      <w:bookmarkStart w:id="36" w:name="_Toc452732176"/>
      <w:bookmarkStart w:id="37" w:name="_Toc515266563"/>
      <w:bookmarkEnd w:id="29"/>
      <w:bookmarkEnd w:id="30"/>
      <w:bookmarkEnd w:id="31"/>
      <w:bookmarkEnd w:id="32"/>
      <w:bookmarkEnd w:id="33"/>
      <w:bookmarkEnd w:id="34"/>
      <w:bookmarkEnd w:id="35"/>
    </w:p>
    <w:p w:rsidR="00992D84" w:rsidRPr="001B1B1E" w:rsidRDefault="00992D84" w:rsidP="001B1B1E">
      <w:pPr>
        <w:pStyle w:val="BodyText"/>
      </w:pPr>
      <w:r w:rsidRPr="00095E29">
        <w:t>In 2011, th</w:t>
      </w:r>
      <w:r w:rsidRPr="001B1B1E">
        <w:t xml:space="preserve">e Victorian Government worked with </w:t>
      </w:r>
      <w:proofErr w:type="gramStart"/>
      <w:r w:rsidRPr="001B1B1E">
        <w:t>a number of</w:t>
      </w:r>
      <w:proofErr w:type="gramEnd"/>
      <w:r w:rsidRPr="001B1B1E">
        <w:t xml:space="preserve"> peak bodies representing the retirement village industry and residents to develop protocols that managers could use to address commonly-arising issues.</w:t>
      </w:r>
    </w:p>
    <w:p w:rsidR="00992D84" w:rsidRPr="001B1B1E" w:rsidRDefault="00992D84" w:rsidP="001B1B1E">
      <w:pPr>
        <w:pStyle w:val="BodyText"/>
      </w:pPr>
      <w:r w:rsidRPr="001B1B1E">
        <w:t>Their purpose is to prevent disputes arising and to promote good relations in villages to enhance the experience of residents. The protocols are not legally binding, but managers are strongly encouraged to apply them.</w:t>
      </w:r>
    </w:p>
    <w:p w:rsidR="00992D84" w:rsidRPr="001B1B1E" w:rsidRDefault="00992D84" w:rsidP="001B1B1E">
      <w:pPr>
        <w:pStyle w:val="BodyText"/>
      </w:pPr>
      <w:r w:rsidRPr="001B1B1E">
        <w:t>This resident’s guide includes a brief description of the issue the protocols aim to address, and the related good practice protocols.</w:t>
      </w:r>
    </w:p>
    <w:p w:rsidR="00992D84" w:rsidRDefault="00992D84" w:rsidP="001B1B1E">
      <w:pPr>
        <w:pStyle w:val="BodyText"/>
      </w:pPr>
      <w:r w:rsidRPr="001B1B1E">
        <w:t xml:space="preserve">The full protocols </w:t>
      </w:r>
      <w:r w:rsidRPr="00095E29">
        <w:t xml:space="preserve">can be found in </w:t>
      </w:r>
      <w:r w:rsidRPr="00DD7E36">
        <w:rPr>
          <w:rStyle w:val="Emphasis"/>
        </w:rPr>
        <w:t>Retirement villages: good practice to address key issues</w:t>
      </w:r>
      <w:r>
        <w:t>,</w:t>
      </w:r>
      <w:r w:rsidR="00F32252">
        <w:t xml:space="preserve"> </w:t>
      </w:r>
      <w:r w:rsidR="00F32252" w:rsidRPr="00095E29">
        <w:t xml:space="preserve">available </w:t>
      </w:r>
      <w:r w:rsidR="00F32252">
        <w:t>at</w:t>
      </w:r>
      <w:r w:rsidR="00F32252" w:rsidRPr="00650F37">
        <w:t xml:space="preserve"> </w:t>
      </w:r>
      <w:hyperlink r:id="rId12" w:history="1">
        <w:r w:rsidR="00F32252" w:rsidRPr="00650F37">
          <w:rPr>
            <w:rStyle w:val="Hyperlink"/>
          </w:rPr>
          <w:t>Consumer Affairs Victoria</w:t>
        </w:r>
        <w:r w:rsidR="00F32252">
          <w:rPr>
            <w:rStyle w:val="Hyperlink"/>
          </w:rPr>
          <w:t xml:space="preserve"> – Good practice protocols</w:t>
        </w:r>
      </w:hyperlink>
      <w:r w:rsidR="00F32252" w:rsidRPr="00650F37">
        <w:t xml:space="preserve"> &lt;consumer.vic.gov.au</w:t>
      </w:r>
      <w:r w:rsidR="00F32252">
        <w:t>/</w:t>
      </w:r>
      <w:proofErr w:type="spellStart"/>
      <w:r w:rsidR="00F32252" w:rsidRPr="004829FE">
        <w:t>rvgoodpractice</w:t>
      </w:r>
      <w:proofErr w:type="spellEnd"/>
      <w:r w:rsidR="00F32252">
        <w:t>&gt;</w:t>
      </w:r>
      <w:r w:rsidR="000864A8">
        <w:t>.</w:t>
      </w:r>
    </w:p>
    <w:p w:rsidR="00992D84" w:rsidRPr="00095E29" w:rsidRDefault="00992D84" w:rsidP="001619CD">
      <w:pPr>
        <w:pStyle w:val="Heading2"/>
      </w:pPr>
      <w:bookmarkStart w:id="38" w:name="_Toc516585685"/>
      <w:bookmarkStart w:id="39" w:name="_Toc516586402"/>
      <w:bookmarkStart w:id="40" w:name="_Toc516586478"/>
      <w:bookmarkStart w:id="41" w:name="_Toc525829683"/>
      <w:bookmarkStart w:id="42" w:name="_Toc527120872"/>
      <w:bookmarkStart w:id="43" w:name="_Toc515266566"/>
      <w:bookmarkEnd w:id="36"/>
      <w:bookmarkEnd w:id="37"/>
      <w:r w:rsidRPr="00095E29">
        <w:lastRenderedPageBreak/>
        <w:t xml:space="preserve">General </w:t>
      </w:r>
      <w:r>
        <w:t>p</w:t>
      </w:r>
      <w:r w:rsidRPr="00095E29">
        <w:t>rinciples</w:t>
      </w:r>
      <w:bookmarkEnd w:id="38"/>
      <w:bookmarkEnd w:id="39"/>
      <w:bookmarkEnd w:id="40"/>
      <w:bookmarkEnd w:id="41"/>
      <w:bookmarkEnd w:id="42"/>
    </w:p>
    <w:p w:rsidR="00992D84" w:rsidRPr="00095E29" w:rsidRDefault="00992D84" w:rsidP="001619CD">
      <w:pPr>
        <w:pStyle w:val="Heading3"/>
      </w:pPr>
      <w:bookmarkStart w:id="44" w:name="_Toc516585686"/>
      <w:bookmarkStart w:id="45" w:name="_Toc516586403"/>
      <w:bookmarkStart w:id="46" w:name="_Toc516586479"/>
      <w:bookmarkStart w:id="47" w:name="_Toc525829684"/>
      <w:bookmarkStart w:id="48" w:name="_Toc527120873"/>
      <w:r w:rsidRPr="00095E29">
        <w:t>Communication</w:t>
      </w:r>
      <w:bookmarkEnd w:id="44"/>
      <w:bookmarkEnd w:id="45"/>
      <w:bookmarkEnd w:id="46"/>
      <w:bookmarkEnd w:id="47"/>
      <w:bookmarkEnd w:id="48"/>
    </w:p>
    <w:p w:rsidR="00992D84" w:rsidRPr="00095E29" w:rsidRDefault="00992D84" w:rsidP="00992D84">
      <w:pPr>
        <w:pStyle w:val="BodyText"/>
      </w:pPr>
      <w:r w:rsidRPr="00095E29">
        <w:t xml:space="preserve">The common theme in the protocols is the importance of communication between village managers and residents in reducing and resolving disputes. Good communication channels build strong relationships and may prevent </w:t>
      </w:r>
      <w:r>
        <w:t xml:space="preserve">disputes from </w:t>
      </w:r>
      <w:r w:rsidRPr="00095E29">
        <w:t>arising.</w:t>
      </w:r>
    </w:p>
    <w:p w:rsidR="00992D84" w:rsidRPr="00095E29" w:rsidRDefault="00992D84" w:rsidP="00992D84">
      <w:pPr>
        <w:pStyle w:val="BodyText"/>
      </w:pPr>
      <w:r w:rsidRPr="00095E29">
        <w:t xml:space="preserve">It is good practice for managers to have a policy about day-to-day communication with residents, which includes how and when </w:t>
      </w:r>
      <w:r>
        <w:t xml:space="preserve">you </w:t>
      </w:r>
      <w:r w:rsidRPr="00095E29">
        <w:t xml:space="preserve">can contact </w:t>
      </w:r>
      <w:r>
        <w:t xml:space="preserve">them </w:t>
      </w:r>
      <w:r w:rsidRPr="00095E29">
        <w:t>and what to do in an emergency. Managers should give the policy to all new residents and display it on a notice board.</w:t>
      </w:r>
    </w:p>
    <w:p w:rsidR="00992D84" w:rsidRPr="00095E29" w:rsidRDefault="00992D84" w:rsidP="00992D84">
      <w:pPr>
        <w:pStyle w:val="BodyText"/>
      </w:pPr>
      <w:r w:rsidRPr="00095E29">
        <w:t xml:space="preserve">If </w:t>
      </w:r>
      <w:r>
        <w:t xml:space="preserve">you raise </w:t>
      </w:r>
      <w:r w:rsidRPr="00095E29">
        <w:t xml:space="preserve">an issue, </w:t>
      </w:r>
      <w:r>
        <w:t xml:space="preserve">the </w:t>
      </w:r>
      <w:r w:rsidRPr="00095E29">
        <w:t>manager</w:t>
      </w:r>
      <w:r>
        <w:t xml:space="preserve"> should</w:t>
      </w:r>
      <w:r w:rsidRPr="00095E29">
        <w:t>:</w:t>
      </w:r>
    </w:p>
    <w:p w:rsidR="00992D84" w:rsidRPr="00095E29" w:rsidRDefault="00992D84" w:rsidP="00957B61">
      <w:pPr>
        <w:pStyle w:val="ListBullet"/>
      </w:pPr>
      <w:r>
        <w:t>talk to you</w:t>
      </w:r>
    </w:p>
    <w:p w:rsidR="00992D84" w:rsidRPr="00095E29" w:rsidRDefault="00992D84" w:rsidP="00957B61">
      <w:pPr>
        <w:pStyle w:val="ListBullet"/>
      </w:pPr>
      <w:r>
        <w:t xml:space="preserve">put </w:t>
      </w:r>
      <w:r w:rsidRPr="00095E29">
        <w:t xml:space="preserve">their message in writing to </w:t>
      </w:r>
      <w:r>
        <w:t xml:space="preserve">you </w:t>
      </w:r>
      <w:r w:rsidRPr="00095E29">
        <w:t xml:space="preserve">(which allows </w:t>
      </w:r>
      <w:r>
        <w:t xml:space="preserve">you </w:t>
      </w:r>
      <w:r w:rsidRPr="00095E29">
        <w:t xml:space="preserve">to consider and discuss </w:t>
      </w:r>
      <w:r>
        <w:t xml:space="preserve">it </w:t>
      </w:r>
      <w:r w:rsidRPr="00095E29">
        <w:t>with others)</w:t>
      </w:r>
    </w:p>
    <w:p w:rsidR="00992D84" w:rsidRPr="00095E29" w:rsidRDefault="00992D84" w:rsidP="00957B61">
      <w:pPr>
        <w:pStyle w:val="ListBullet"/>
      </w:pPr>
      <w:r>
        <w:t xml:space="preserve">meet with you </w:t>
      </w:r>
      <w:r w:rsidRPr="00095E29">
        <w:t>(to answer questions and allay concerns).</w:t>
      </w:r>
    </w:p>
    <w:p w:rsidR="00992D84" w:rsidRPr="00095E29" w:rsidRDefault="00992D84" w:rsidP="001619CD">
      <w:pPr>
        <w:pStyle w:val="Heading3"/>
      </w:pPr>
      <w:bookmarkStart w:id="49" w:name="_Toc516585687"/>
      <w:bookmarkStart w:id="50" w:name="_Toc516586404"/>
      <w:bookmarkStart w:id="51" w:name="_Toc516586480"/>
      <w:bookmarkStart w:id="52" w:name="_Toc525829685"/>
      <w:bookmarkStart w:id="53" w:name="_Toc527120874"/>
      <w:r w:rsidRPr="00095E29">
        <w:t xml:space="preserve">Handling </w:t>
      </w:r>
      <w:r>
        <w:t xml:space="preserve">a </w:t>
      </w:r>
      <w:r w:rsidRPr="00095E29">
        <w:t>complaint</w:t>
      </w:r>
      <w:bookmarkEnd w:id="49"/>
      <w:bookmarkEnd w:id="50"/>
      <w:bookmarkEnd w:id="51"/>
      <w:bookmarkEnd w:id="52"/>
      <w:bookmarkEnd w:id="53"/>
    </w:p>
    <w:p w:rsidR="00992D84" w:rsidRDefault="00992D84" w:rsidP="00992D84">
      <w:pPr>
        <w:pStyle w:val="BodyText"/>
      </w:pPr>
      <w:r>
        <w:t>There are specific steps for handling complaints between residents and managers, determined under the laws that govern retirement villages.</w:t>
      </w:r>
    </w:p>
    <w:p w:rsidR="00992D84" w:rsidRDefault="00992D84" w:rsidP="00992D84">
      <w:pPr>
        <w:pStyle w:val="BodyText"/>
      </w:pPr>
      <w:r>
        <w:t>All Victorian retirement villages must have an internal dispute resolution procedure which provides a clear dedicated avenue for you, as a resident, to pursue any issues you might have with management.</w:t>
      </w:r>
    </w:p>
    <w:p w:rsidR="00992D84" w:rsidRDefault="00992D84" w:rsidP="00992D84">
      <w:pPr>
        <w:pStyle w:val="BodyText"/>
      </w:pPr>
      <w:r w:rsidRPr="00095E29">
        <w:t>Consumer Affairs Victoria’s</w:t>
      </w:r>
      <w:r>
        <w:t xml:space="preserve"> (CAV) </w:t>
      </w:r>
      <w:r w:rsidRPr="00095E29">
        <w:t xml:space="preserve">guide, </w:t>
      </w:r>
      <w:r w:rsidRPr="005460AA">
        <w:rPr>
          <w:rStyle w:val="Emphasis"/>
        </w:rPr>
        <w:t>Retirement villages: Internal dispute resolution guidelines for retirement village owners and managers</w:t>
      </w:r>
      <w:r w:rsidR="00885DAE">
        <w:t xml:space="preserve">, </w:t>
      </w:r>
      <w:r w:rsidRPr="00095E29">
        <w:t>has detailed information on this issue.</w:t>
      </w:r>
    </w:p>
    <w:p w:rsidR="00992D84" w:rsidRDefault="00992D84" w:rsidP="00992D84">
      <w:pPr>
        <w:pStyle w:val="BodyText"/>
      </w:pPr>
      <w:r w:rsidRPr="00095E29">
        <w:t xml:space="preserve">If a village has an owners corporation, </w:t>
      </w:r>
      <w:r>
        <w:t xml:space="preserve">there is a specific </w:t>
      </w:r>
      <w:r w:rsidRPr="00095E29">
        <w:t>three-step process to deal with grievances with lot owners.</w:t>
      </w:r>
      <w:r>
        <w:t xml:space="preserve"> General information about the</w:t>
      </w:r>
      <w:r w:rsidR="003E17D6">
        <w:t xml:space="preserve">se requirements can be found </w:t>
      </w:r>
      <w:r w:rsidR="003E17D6" w:rsidRPr="00095E29">
        <w:t>on</w:t>
      </w:r>
      <w:r w:rsidR="003E17D6">
        <w:t xml:space="preserve"> the </w:t>
      </w:r>
      <w:hyperlink r:id="rId13" w:history="1">
        <w:r w:rsidR="003E17D6" w:rsidRPr="000864A8">
          <w:rPr>
            <w:rStyle w:val="Hyperlink"/>
          </w:rPr>
          <w:t>Consumer Affairs Victoria website</w:t>
        </w:r>
      </w:hyperlink>
      <w:r w:rsidR="003E17D6">
        <w:t xml:space="preserve"> &lt;</w:t>
      </w:r>
      <w:r w:rsidR="003E17D6" w:rsidRPr="00095E29">
        <w:t>consumer.vic.gov.au</w:t>
      </w:r>
      <w:r w:rsidR="003E17D6">
        <w:t>&gt;</w:t>
      </w:r>
      <w:r>
        <w:t xml:space="preserve"> or from the relevant manager of the </w:t>
      </w:r>
      <w:proofErr w:type="gramStart"/>
      <w:r>
        <w:t>owners</w:t>
      </w:r>
      <w:proofErr w:type="gramEnd"/>
      <w:r>
        <w:t xml:space="preserve"> corporation.</w:t>
      </w:r>
    </w:p>
    <w:p w:rsidR="00992D84" w:rsidRPr="00095E29" w:rsidRDefault="00992D84" w:rsidP="001619CD">
      <w:pPr>
        <w:pStyle w:val="Heading3"/>
      </w:pPr>
      <w:bookmarkStart w:id="54" w:name="_Toc516585688"/>
      <w:bookmarkStart w:id="55" w:name="_Toc516586405"/>
      <w:bookmarkStart w:id="56" w:name="_Toc516586481"/>
      <w:bookmarkStart w:id="57" w:name="_Toc525829686"/>
      <w:bookmarkStart w:id="58" w:name="_Toc527120875"/>
      <w:r w:rsidRPr="00095E29">
        <w:t>Resolving a complaint</w:t>
      </w:r>
      <w:bookmarkEnd w:id="54"/>
      <w:bookmarkEnd w:id="55"/>
      <w:bookmarkEnd w:id="56"/>
      <w:bookmarkEnd w:id="57"/>
      <w:bookmarkEnd w:id="58"/>
    </w:p>
    <w:p w:rsidR="00992D84" w:rsidRPr="00095E29" w:rsidRDefault="00992D84" w:rsidP="00992D84">
      <w:pPr>
        <w:pStyle w:val="BodyText"/>
      </w:pPr>
      <w:r>
        <w:t>The</w:t>
      </w:r>
      <w:r w:rsidRPr="00095E29">
        <w:t xml:space="preserve"> protocols encourage all parties to try to resolve </w:t>
      </w:r>
      <w:r>
        <w:t xml:space="preserve">complaints </w:t>
      </w:r>
      <w:r w:rsidRPr="00095E29">
        <w:t>quickly</w:t>
      </w:r>
      <w:r>
        <w:t xml:space="preserve">. The longer a complaint goes on, </w:t>
      </w:r>
      <w:r w:rsidRPr="00095E29">
        <w:t>the more</w:t>
      </w:r>
      <w:r>
        <w:t xml:space="preserve"> difficult it can be to resolve</w:t>
      </w:r>
      <w:r w:rsidRPr="00095E29">
        <w:t xml:space="preserve">. </w:t>
      </w:r>
      <w:r>
        <w:t>The protocols provide that it is good practice for managers to</w:t>
      </w:r>
      <w:r w:rsidRPr="00095E29">
        <w:t>:</w:t>
      </w:r>
    </w:p>
    <w:p w:rsidR="00992D84" w:rsidRPr="00095E29" w:rsidRDefault="00992D84" w:rsidP="003E17D6">
      <w:pPr>
        <w:pStyle w:val="ListBullet"/>
      </w:pPr>
      <w:r>
        <w:t xml:space="preserve">remain impartial and </w:t>
      </w:r>
      <w:r w:rsidRPr="00095E29">
        <w:t>not becom</w:t>
      </w:r>
      <w:r>
        <w:t>e</w:t>
      </w:r>
      <w:r w:rsidRPr="00095E29">
        <w:t xml:space="preserve"> personally involved</w:t>
      </w:r>
    </w:p>
    <w:p w:rsidR="00992D84" w:rsidRPr="00095E29" w:rsidRDefault="00992D84" w:rsidP="003E17D6">
      <w:pPr>
        <w:pStyle w:val="ListBullet"/>
      </w:pPr>
      <w:r w:rsidRPr="00095E29">
        <w:t>listen</w:t>
      </w:r>
      <w:r>
        <w:t xml:space="preserve"> </w:t>
      </w:r>
      <w:r w:rsidRPr="00095E29">
        <w:t>carefully to the complaint and re-</w:t>
      </w:r>
      <w:proofErr w:type="spellStart"/>
      <w:r w:rsidRPr="00095E29">
        <w:t>stat</w:t>
      </w:r>
      <w:r w:rsidR="00EF2794">
        <w:t>w</w:t>
      </w:r>
      <w:proofErr w:type="spellEnd"/>
      <w:r w:rsidRPr="00095E29">
        <w:t xml:space="preserve"> it for acceptance</w:t>
      </w:r>
    </w:p>
    <w:p w:rsidR="00992D84" w:rsidRPr="00095E29" w:rsidRDefault="00992D84" w:rsidP="003E17D6">
      <w:pPr>
        <w:pStyle w:val="ListBullet"/>
      </w:pPr>
      <w:r w:rsidRPr="00095E29">
        <w:t>identify and call upon independent witnesses (where necessary)</w:t>
      </w:r>
    </w:p>
    <w:p w:rsidR="00992D84" w:rsidRPr="00095E29" w:rsidRDefault="00992D84" w:rsidP="003E17D6">
      <w:pPr>
        <w:pStyle w:val="ListBullet"/>
      </w:pPr>
      <w:proofErr w:type="gramStart"/>
      <w:r w:rsidRPr="00095E29">
        <w:t>tak</w:t>
      </w:r>
      <w:r>
        <w:t>e</w:t>
      </w:r>
      <w:r w:rsidRPr="00095E29">
        <w:t xml:space="preserve"> action</w:t>
      </w:r>
      <w:proofErr w:type="gramEnd"/>
      <w:r w:rsidRPr="00095E29">
        <w:t xml:space="preserve"> </w:t>
      </w:r>
      <w:r>
        <w:t>as the law requires</w:t>
      </w:r>
    </w:p>
    <w:p w:rsidR="00992D84" w:rsidRPr="00095E29" w:rsidRDefault="00992D84" w:rsidP="003E17D6">
      <w:pPr>
        <w:pStyle w:val="ListBullet"/>
      </w:pPr>
      <w:r w:rsidRPr="00095E29">
        <w:t>resched</w:t>
      </w:r>
      <w:r>
        <w:t>ule</w:t>
      </w:r>
      <w:r w:rsidRPr="00095E29">
        <w:t xml:space="preserve"> the meeting with </w:t>
      </w:r>
      <w:r>
        <w:t xml:space="preserve">you </w:t>
      </w:r>
      <w:r w:rsidRPr="00095E29">
        <w:t xml:space="preserve">to the next day if </w:t>
      </w:r>
      <w:r>
        <w:t xml:space="preserve">you </w:t>
      </w:r>
      <w:r w:rsidRPr="00095E29">
        <w:t>are too angry or distressed to work through the issues in a calm manner</w:t>
      </w:r>
    </w:p>
    <w:p w:rsidR="00992D84" w:rsidRPr="00095E29" w:rsidRDefault="00992D84" w:rsidP="003E17D6">
      <w:pPr>
        <w:pStyle w:val="ListBullet"/>
      </w:pPr>
      <w:r w:rsidRPr="00095E29">
        <w:t>see</w:t>
      </w:r>
      <w:r>
        <w:t>k</w:t>
      </w:r>
      <w:r w:rsidRPr="00095E29">
        <w:t xml:space="preserve"> </w:t>
      </w:r>
      <w:r>
        <w:t xml:space="preserve">help </w:t>
      </w:r>
      <w:r w:rsidRPr="00095E29">
        <w:t xml:space="preserve">from </w:t>
      </w:r>
      <w:r>
        <w:t xml:space="preserve">CAV </w:t>
      </w:r>
      <w:r w:rsidRPr="00095E29">
        <w:t>or the Dispute Settlement Centre of Victoria</w:t>
      </w:r>
      <w:r>
        <w:t xml:space="preserve"> (DSCV)</w:t>
      </w:r>
      <w:r w:rsidRPr="00095E29">
        <w:t>, if appropriate.</w:t>
      </w:r>
    </w:p>
    <w:p w:rsidR="00992D84" w:rsidRPr="00095E29" w:rsidRDefault="00992D84" w:rsidP="00992D84">
      <w:pPr>
        <w:pStyle w:val="BodyText"/>
      </w:pPr>
      <w:r>
        <w:t xml:space="preserve">DSCV helps resolve disputes if they can’t be </w:t>
      </w:r>
      <w:r w:rsidRPr="00095E29">
        <w:t xml:space="preserve">resolved through the </w:t>
      </w:r>
      <w:r>
        <w:t xml:space="preserve">village’s </w:t>
      </w:r>
      <w:r w:rsidRPr="00095E29">
        <w:t>internal dispute resolution process.</w:t>
      </w:r>
    </w:p>
    <w:p w:rsidR="00992D84" w:rsidRPr="00095E29" w:rsidRDefault="00992D84" w:rsidP="001619CD">
      <w:pPr>
        <w:pStyle w:val="Heading3"/>
      </w:pPr>
      <w:bookmarkStart w:id="59" w:name="_Toc516585689"/>
      <w:bookmarkStart w:id="60" w:name="_Toc516586406"/>
      <w:bookmarkStart w:id="61" w:name="_Toc516586482"/>
      <w:bookmarkStart w:id="62" w:name="_Toc525829687"/>
      <w:bookmarkStart w:id="63" w:name="_Toc527120876"/>
      <w:r>
        <w:lastRenderedPageBreak/>
        <w:t xml:space="preserve">Your </w:t>
      </w:r>
      <w:r w:rsidRPr="00095E29">
        <w:t>role</w:t>
      </w:r>
      <w:bookmarkEnd w:id="59"/>
      <w:bookmarkEnd w:id="60"/>
      <w:bookmarkEnd w:id="61"/>
      <w:bookmarkEnd w:id="62"/>
      <w:bookmarkEnd w:id="63"/>
    </w:p>
    <w:p w:rsidR="00992D84" w:rsidRPr="00095E29" w:rsidRDefault="00992D84" w:rsidP="00992D84">
      <w:pPr>
        <w:pStyle w:val="BodyText"/>
        <w:keepLines/>
      </w:pPr>
      <w:r w:rsidRPr="00095E29">
        <w:t>If you</w:t>
      </w:r>
      <w:r>
        <w:t xml:space="preserve"> </w:t>
      </w:r>
      <w:r w:rsidRPr="00095E29">
        <w:t>have an issue with the running of the retirement village</w:t>
      </w:r>
      <w:r>
        <w:t xml:space="preserve"> </w:t>
      </w:r>
      <w:r w:rsidRPr="00095E29">
        <w:t xml:space="preserve">or the manager, you should first try to resolve it within the village. If that is unsuccessful, you can seek </w:t>
      </w:r>
      <w:r>
        <w:t xml:space="preserve">CAV’s </w:t>
      </w:r>
      <w:r w:rsidRPr="00095E29">
        <w:t>advice</w:t>
      </w:r>
      <w:r>
        <w:t xml:space="preserve">, </w:t>
      </w:r>
      <w:r w:rsidRPr="00095E29">
        <w:t xml:space="preserve">and </w:t>
      </w:r>
      <w:r>
        <w:t xml:space="preserve">help resolving the dispute </w:t>
      </w:r>
      <w:r w:rsidRPr="00095E29">
        <w:t>from DSCV. If you are still not satisfied, you can consider going to the courts or to the Victorian Civil and Administrative Tribunal</w:t>
      </w:r>
      <w:r>
        <w:t xml:space="preserve"> (VCAT)</w:t>
      </w:r>
      <w:r w:rsidRPr="00095E29">
        <w:t>.</w:t>
      </w:r>
    </w:p>
    <w:p w:rsidR="00992D84" w:rsidRPr="00095E29" w:rsidRDefault="00992D84" w:rsidP="00992D84">
      <w:pPr>
        <w:pStyle w:val="BodyText"/>
      </w:pPr>
      <w:r>
        <w:t xml:space="preserve">Before taking legal action, consider the effect of doing so may have on you, the manager </w:t>
      </w:r>
      <w:r w:rsidRPr="00095E29">
        <w:t xml:space="preserve">and the village generally. </w:t>
      </w:r>
      <w:r>
        <w:t xml:space="preserve">Legal action </w:t>
      </w:r>
      <w:r w:rsidRPr="00095E29">
        <w:t xml:space="preserve">can be costly and time consuming. </w:t>
      </w:r>
      <w:r>
        <w:t xml:space="preserve">It is recommended that you consult other residents or a community service (such as Housing for the Aged Action Group) or a family member and consider approaches </w:t>
      </w:r>
      <w:r w:rsidRPr="00095E29">
        <w:t>that will help to maintain ongoing village relationships.</w:t>
      </w:r>
    </w:p>
    <w:p w:rsidR="00992D84" w:rsidRDefault="00992D84" w:rsidP="001619CD">
      <w:pPr>
        <w:pStyle w:val="Heading2"/>
      </w:pPr>
      <w:bookmarkStart w:id="64" w:name="_Toc516585690"/>
      <w:bookmarkStart w:id="65" w:name="_Toc516586407"/>
      <w:bookmarkStart w:id="66" w:name="_Toc516586483"/>
      <w:bookmarkStart w:id="67" w:name="_Toc525829688"/>
      <w:bookmarkStart w:id="68" w:name="_Toc527120877"/>
      <w:bookmarkStart w:id="69" w:name="_Toc515266567"/>
      <w:bookmarkEnd w:id="43"/>
      <w:r w:rsidRPr="00095E29">
        <w:lastRenderedPageBreak/>
        <w:t>Retirement village protocols</w:t>
      </w:r>
      <w:bookmarkEnd w:id="64"/>
      <w:bookmarkEnd w:id="65"/>
      <w:bookmarkEnd w:id="66"/>
      <w:bookmarkEnd w:id="67"/>
      <w:bookmarkEnd w:id="68"/>
    </w:p>
    <w:p w:rsidR="00992D84" w:rsidRPr="00232DFF" w:rsidRDefault="00992D84" w:rsidP="001619CD">
      <w:pPr>
        <w:pStyle w:val="Heading3"/>
      </w:pPr>
      <w:bookmarkStart w:id="70" w:name="_Toc525829689"/>
      <w:bookmarkStart w:id="71" w:name="_Toc527120878"/>
      <w:r w:rsidRPr="00232DFF">
        <w:t>The protocols cover seven common areas of dispute:</w:t>
      </w:r>
      <w:bookmarkEnd w:id="70"/>
      <w:bookmarkEnd w:id="71"/>
    </w:p>
    <w:p w:rsidR="00992D84" w:rsidRDefault="00992D84" w:rsidP="00E53DCB">
      <w:pPr>
        <w:pStyle w:val="ListBullet"/>
      </w:pPr>
      <w:r>
        <w:t>Protocol 1: Changes to services</w:t>
      </w:r>
    </w:p>
    <w:p w:rsidR="00992D84" w:rsidRDefault="00992D84" w:rsidP="00E53DCB">
      <w:pPr>
        <w:pStyle w:val="ListBullet"/>
      </w:pPr>
      <w:r>
        <w:t>Protocol 2: Maintenance: charges and process</w:t>
      </w:r>
    </w:p>
    <w:p w:rsidR="00992D84" w:rsidRDefault="00992D84" w:rsidP="00E53DCB">
      <w:pPr>
        <w:pStyle w:val="ListBullet"/>
      </w:pPr>
      <w:r>
        <w:t>Protocol 3: What is covered by service and capital charges</w:t>
      </w:r>
    </w:p>
    <w:p w:rsidR="00992D84" w:rsidRDefault="00992D84" w:rsidP="00E53DCB">
      <w:pPr>
        <w:pStyle w:val="ListBullet"/>
      </w:pPr>
      <w:r>
        <w:t>Protocol 4: Presentation of the annual financial statement</w:t>
      </w:r>
    </w:p>
    <w:p w:rsidR="00992D84" w:rsidRDefault="00992D84" w:rsidP="00E53DCB">
      <w:pPr>
        <w:pStyle w:val="ListBullet"/>
      </w:pPr>
      <w:r>
        <w:t xml:space="preserve">Protocol 5: Marketing procedures for a unit when </w:t>
      </w:r>
      <w:proofErr w:type="gramStart"/>
      <w:r>
        <w:t>a resident leaves</w:t>
      </w:r>
      <w:proofErr w:type="gramEnd"/>
    </w:p>
    <w:p w:rsidR="00992D84" w:rsidRDefault="00992D84" w:rsidP="00E53DCB">
      <w:pPr>
        <w:pStyle w:val="ListBullet"/>
      </w:pPr>
      <w:r>
        <w:t xml:space="preserve">Protocol 6: Ongoing charges after </w:t>
      </w:r>
      <w:proofErr w:type="gramStart"/>
      <w:r>
        <w:t>a resident leaves</w:t>
      </w:r>
      <w:proofErr w:type="gramEnd"/>
    </w:p>
    <w:p w:rsidR="00992D84" w:rsidRPr="00104151" w:rsidRDefault="00992D84" w:rsidP="00E53DCB">
      <w:pPr>
        <w:pStyle w:val="ListBullet"/>
      </w:pPr>
      <w:r>
        <w:t>Protocol 7: Refurbishment and reinstatement of units</w:t>
      </w:r>
    </w:p>
    <w:p w:rsidR="00B03E45" w:rsidRPr="00B03E45" w:rsidRDefault="00B03E45" w:rsidP="00B03E45">
      <w:pPr>
        <w:pStyle w:val="BodyText"/>
      </w:pPr>
      <w:bookmarkStart w:id="72" w:name="_Toc516585691"/>
      <w:bookmarkStart w:id="73" w:name="_Toc516586408"/>
      <w:bookmarkStart w:id="74" w:name="_Toc516586484"/>
      <w:bookmarkStart w:id="75" w:name="_Toc525829690"/>
      <w:r w:rsidRPr="00B03E45">
        <w:br w:type="page"/>
      </w:r>
    </w:p>
    <w:p w:rsidR="00992D84" w:rsidRPr="00095E29" w:rsidRDefault="00992D84" w:rsidP="001619CD">
      <w:pPr>
        <w:pStyle w:val="Heading3"/>
      </w:pPr>
      <w:bookmarkStart w:id="76" w:name="_Toc527120879"/>
      <w:r w:rsidRPr="00095E29">
        <w:lastRenderedPageBreak/>
        <w:t>Protocol 1: Changes to services</w:t>
      </w:r>
      <w:bookmarkEnd w:id="69"/>
      <w:bookmarkEnd w:id="72"/>
      <w:bookmarkEnd w:id="73"/>
      <w:bookmarkEnd w:id="74"/>
      <w:bookmarkEnd w:id="75"/>
      <w:bookmarkEnd w:id="76"/>
    </w:p>
    <w:p w:rsidR="00992D84" w:rsidRPr="00095E29" w:rsidRDefault="00992D84" w:rsidP="00992D84">
      <w:pPr>
        <w:pStyle w:val="BodyText"/>
        <w:spacing w:before="40" w:after="40"/>
      </w:pPr>
      <w:r w:rsidRPr="00095E29">
        <w:t xml:space="preserve">Managers </w:t>
      </w:r>
      <w:r>
        <w:t>can alter</w:t>
      </w:r>
      <w:r w:rsidRPr="00095E29">
        <w:t xml:space="preserve"> the services </w:t>
      </w:r>
      <w:r>
        <w:t xml:space="preserve">they offer you, </w:t>
      </w:r>
      <w:proofErr w:type="gramStart"/>
      <w:r>
        <w:t>as long as</w:t>
      </w:r>
      <w:proofErr w:type="gramEnd"/>
      <w:r>
        <w:t xml:space="preserve"> any changes comply with the </w:t>
      </w:r>
      <w:r w:rsidRPr="00095E29">
        <w:t xml:space="preserve">contract you have with the village. Changes to services can </w:t>
      </w:r>
      <w:r>
        <w:t xml:space="preserve">be confusing and stressful; </w:t>
      </w:r>
      <w:r w:rsidRPr="00095E29">
        <w:t xml:space="preserve">to minimise </w:t>
      </w:r>
      <w:r>
        <w:t xml:space="preserve">residents’ </w:t>
      </w:r>
      <w:r w:rsidRPr="00095E29">
        <w:t>concerns</w:t>
      </w:r>
      <w:r>
        <w:t xml:space="preserve">, </w:t>
      </w:r>
      <w:r w:rsidRPr="00095E29">
        <w:t>managers are encouraged to adopt the following protocol when proposing changes.</w:t>
      </w:r>
    </w:p>
    <w:p w:rsidR="00992D84" w:rsidRPr="00095E29" w:rsidRDefault="00992D84" w:rsidP="00E53DCB">
      <w:pPr>
        <w:pStyle w:val="Heading4"/>
      </w:pPr>
      <w:bookmarkStart w:id="77" w:name="_Toc516585692"/>
      <w:r w:rsidRPr="00095E29">
        <w:t>Protocol</w:t>
      </w:r>
      <w:bookmarkEnd w:id="77"/>
    </w:p>
    <w:p w:rsidR="00992D84" w:rsidRDefault="00992D84" w:rsidP="00992D84">
      <w:pPr>
        <w:pStyle w:val="BodyText"/>
      </w:pPr>
      <w:r w:rsidRPr="00095E29">
        <w:t>Good practice</w:t>
      </w:r>
      <w:r>
        <w:t xml:space="preserve"> for managers:</w:t>
      </w:r>
    </w:p>
    <w:p w:rsidR="00992D84" w:rsidRPr="00095E29" w:rsidRDefault="00992D84" w:rsidP="00E53DCB">
      <w:pPr>
        <w:pStyle w:val="ListNumber"/>
      </w:pPr>
      <w:r>
        <w:t>C</w:t>
      </w:r>
      <w:r w:rsidRPr="00095E29">
        <w:t xml:space="preserve">onsult with the residents’ committee </w:t>
      </w:r>
      <w:r>
        <w:t xml:space="preserve">before changing or cancelling a service. If there isn’t a residents’ committee, or if it isn’t </w:t>
      </w:r>
      <w:r w:rsidRPr="00095E29">
        <w:t>practicable to consult with it</w:t>
      </w:r>
      <w:r>
        <w:t xml:space="preserve"> (for example, if </w:t>
      </w:r>
      <w:r w:rsidRPr="00095E29">
        <w:t>the committee is purely social</w:t>
      </w:r>
      <w:r>
        <w:t xml:space="preserve">) the manager </w:t>
      </w:r>
      <w:r w:rsidRPr="00095E29">
        <w:t>should first let residents know about the change by letter, then arrange a meeting).</w:t>
      </w:r>
    </w:p>
    <w:p w:rsidR="00992D84" w:rsidRPr="00095E29" w:rsidRDefault="00992D84" w:rsidP="00E53DCB">
      <w:pPr>
        <w:pStyle w:val="ListNumber"/>
      </w:pPr>
      <w:r w:rsidRPr="00095E29">
        <w:t>As part of that consultation, explain:</w:t>
      </w:r>
    </w:p>
    <w:p w:rsidR="00992D84" w:rsidRPr="00095E29" w:rsidRDefault="00992D84" w:rsidP="00B03E45">
      <w:pPr>
        <w:pStyle w:val="ListBullet3"/>
      </w:pPr>
      <w:r w:rsidRPr="00095E29">
        <w:t>when the proposed change will take effect</w:t>
      </w:r>
    </w:p>
    <w:p w:rsidR="00992D84" w:rsidRPr="00095E29" w:rsidRDefault="00992D84" w:rsidP="00B03E45">
      <w:pPr>
        <w:pStyle w:val="ListBullet3"/>
      </w:pPr>
      <w:r w:rsidRPr="00095E29">
        <w:t>why the change is needed</w:t>
      </w:r>
    </w:p>
    <w:p w:rsidR="00992D84" w:rsidRPr="00095E29" w:rsidRDefault="00992D84" w:rsidP="00B03E45">
      <w:pPr>
        <w:pStyle w:val="ListBullet3"/>
      </w:pPr>
      <w:r w:rsidRPr="00095E29">
        <w:t>how it will affect residents</w:t>
      </w:r>
    </w:p>
    <w:p w:rsidR="00992D84" w:rsidRPr="00095E29" w:rsidRDefault="00992D84" w:rsidP="00B03E45">
      <w:pPr>
        <w:pStyle w:val="ListBullet3"/>
      </w:pPr>
      <w:r w:rsidRPr="00095E29">
        <w:t>what the residents</w:t>
      </w:r>
      <w:r>
        <w:t>’</w:t>
      </w:r>
      <w:r w:rsidRPr="00095E29">
        <w:t xml:space="preserve"> and manager</w:t>
      </w:r>
      <w:r>
        <w:t xml:space="preserve">’s </w:t>
      </w:r>
      <w:r w:rsidRPr="00095E29">
        <w:t>rights and responsibilities are under the residence contracts</w:t>
      </w:r>
    </w:p>
    <w:p w:rsidR="00992D84" w:rsidRPr="00095E29" w:rsidRDefault="00992D84" w:rsidP="00B03E45">
      <w:pPr>
        <w:pStyle w:val="ListBullet3"/>
      </w:pPr>
      <w:r w:rsidRPr="00095E29">
        <w:t>what process the manager intends to follow when implementing the change</w:t>
      </w:r>
    </w:p>
    <w:p w:rsidR="00992D84" w:rsidRPr="00095E29" w:rsidRDefault="00992D84" w:rsidP="00B03E45">
      <w:pPr>
        <w:pStyle w:val="ListBullet3"/>
      </w:pPr>
      <w:r>
        <w:t xml:space="preserve">what residents can reasonably expect with the </w:t>
      </w:r>
      <w:r w:rsidRPr="00095E29">
        <w:t>standard of the service</w:t>
      </w:r>
    </w:p>
    <w:p w:rsidR="00992D84" w:rsidRPr="00095E29" w:rsidRDefault="00992D84" w:rsidP="00B03E45">
      <w:pPr>
        <w:pStyle w:val="ListBullet3"/>
      </w:pPr>
      <w:r w:rsidRPr="00095E29">
        <w:t>options for providing the new service, including provider and cost (where feasible)</w:t>
      </w:r>
    </w:p>
    <w:p w:rsidR="00992D84" w:rsidRPr="00095E29" w:rsidRDefault="00992D84" w:rsidP="00B03E45">
      <w:pPr>
        <w:pStyle w:val="ListBullet3"/>
      </w:pPr>
      <w:r w:rsidRPr="00095E29">
        <w:t>payment options (where feasible).</w:t>
      </w:r>
    </w:p>
    <w:p w:rsidR="00992D84" w:rsidRPr="00095E29" w:rsidRDefault="00992D84" w:rsidP="00E53DCB">
      <w:pPr>
        <w:pStyle w:val="ListNumber"/>
      </w:pPr>
      <w:r>
        <w:t>A</w:t>
      </w:r>
      <w:r w:rsidRPr="00095E29">
        <w:t xml:space="preserve">ttempt to reach an agreement with the residents’ committee/residents </w:t>
      </w:r>
      <w:r>
        <w:t xml:space="preserve">about introducing </w:t>
      </w:r>
      <w:r w:rsidRPr="00095E29">
        <w:t>the change.</w:t>
      </w:r>
    </w:p>
    <w:p w:rsidR="00992D84" w:rsidRDefault="00992D84" w:rsidP="00E53DCB">
      <w:pPr>
        <w:pStyle w:val="ListNumber"/>
      </w:pPr>
      <w:r w:rsidRPr="00095E29">
        <w:t xml:space="preserve">To write to all residents </w:t>
      </w:r>
      <w:r>
        <w:t xml:space="preserve">letting </w:t>
      </w:r>
      <w:r w:rsidRPr="00095E29">
        <w:t>them know of the outcome of the discussions and to include details of agencies that can provide help and assistance if they are not happy with the proposed changes.</w:t>
      </w:r>
    </w:p>
    <w:p w:rsidR="00B03E45" w:rsidRPr="00B03E45" w:rsidRDefault="00B03E45" w:rsidP="00B03E45">
      <w:pPr>
        <w:pStyle w:val="BodyText"/>
      </w:pPr>
      <w:bookmarkStart w:id="78" w:name="_Toc515266568"/>
      <w:bookmarkStart w:id="79" w:name="_Toc516585693"/>
      <w:bookmarkStart w:id="80" w:name="_Toc516586409"/>
      <w:bookmarkStart w:id="81" w:name="_Toc516586485"/>
      <w:bookmarkStart w:id="82" w:name="_Toc525829691"/>
      <w:r w:rsidRPr="00B03E45">
        <w:br w:type="page"/>
      </w:r>
    </w:p>
    <w:p w:rsidR="00992D84" w:rsidRPr="00095E29" w:rsidRDefault="00992D84" w:rsidP="001619CD">
      <w:pPr>
        <w:pStyle w:val="Heading3"/>
      </w:pPr>
      <w:bookmarkStart w:id="83" w:name="_Toc527120880"/>
      <w:r w:rsidRPr="00095E29">
        <w:lastRenderedPageBreak/>
        <w:t>Protocol 2: Maintenance</w:t>
      </w:r>
      <w:bookmarkEnd w:id="78"/>
      <w:r w:rsidRPr="00095E29">
        <w:t>: charges and process</w:t>
      </w:r>
      <w:bookmarkEnd w:id="79"/>
      <w:bookmarkEnd w:id="80"/>
      <w:bookmarkEnd w:id="81"/>
      <w:bookmarkEnd w:id="82"/>
      <w:bookmarkEnd w:id="83"/>
    </w:p>
    <w:p w:rsidR="00992D84" w:rsidRDefault="00992D84" w:rsidP="00B379D7">
      <w:pPr>
        <w:pStyle w:val="BodyText"/>
      </w:pPr>
      <w:r>
        <w:t>Maintenance issues frequently arise in retirement villages. These include:</w:t>
      </w:r>
    </w:p>
    <w:p w:rsidR="00992D84" w:rsidRDefault="00992D84" w:rsidP="00252A5B">
      <w:pPr>
        <w:pStyle w:val="ListBullet"/>
      </w:pPr>
      <w:r>
        <w:t xml:space="preserve">how </w:t>
      </w:r>
      <w:r w:rsidRPr="00095E29">
        <w:t>maintenance charges</w:t>
      </w:r>
      <w:r>
        <w:t xml:space="preserve"> are allocated</w:t>
      </w:r>
    </w:p>
    <w:p w:rsidR="00992D84" w:rsidRDefault="00992D84" w:rsidP="00252A5B">
      <w:pPr>
        <w:pStyle w:val="ListBullet"/>
      </w:pPr>
      <w:r>
        <w:t>why they increase</w:t>
      </w:r>
    </w:p>
    <w:p w:rsidR="00992D84" w:rsidRDefault="00992D84" w:rsidP="00252A5B">
      <w:pPr>
        <w:pStyle w:val="ListBullet"/>
      </w:pPr>
      <w:r w:rsidRPr="00095E29">
        <w:t>carrying out maintenance work</w:t>
      </w:r>
    </w:p>
    <w:p w:rsidR="00992D84" w:rsidRDefault="00992D84" w:rsidP="00252A5B">
      <w:pPr>
        <w:pStyle w:val="ListBullet"/>
      </w:pPr>
      <w:r w:rsidRPr="00095E29">
        <w:t>dealing with maintenance requests</w:t>
      </w:r>
    </w:p>
    <w:p w:rsidR="00992D84" w:rsidRDefault="00992D84" w:rsidP="00252A5B">
      <w:pPr>
        <w:pStyle w:val="ListBullet"/>
      </w:pPr>
      <w:r w:rsidRPr="00095E29">
        <w:t>delays processing insurance claims for damage to units</w:t>
      </w:r>
      <w:r>
        <w:t>.</w:t>
      </w:r>
    </w:p>
    <w:p w:rsidR="00992D84" w:rsidRPr="00095E29" w:rsidRDefault="00992D84" w:rsidP="00252A5B">
      <w:pPr>
        <w:pStyle w:val="BodyText"/>
      </w:pPr>
      <w:r w:rsidRPr="00095E29">
        <w:t xml:space="preserve">Managers are encouraged to adopt the following three protocols </w:t>
      </w:r>
      <w:r>
        <w:t xml:space="preserve">with maintenance </w:t>
      </w:r>
      <w:r w:rsidRPr="00095E29">
        <w:t>issues.</w:t>
      </w:r>
    </w:p>
    <w:p w:rsidR="00992D84" w:rsidRPr="00095E29" w:rsidRDefault="00992D84" w:rsidP="00252A5B">
      <w:pPr>
        <w:pStyle w:val="Heading4"/>
      </w:pPr>
      <w:bookmarkStart w:id="84" w:name="_Toc516585694"/>
      <w:r w:rsidRPr="00095E29">
        <w:t>Protocol on increases in maintenance charges</w:t>
      </w:r>
      <w:bookmarkEnd w:id="84"/>
    </w:p>
    <w:p w:rsidR="00992D84" w:rsidRPr="00095E29" w:rsidRDefault="00992D84" w:rsidP="00992D84">
      <w:pPr>
        <w:pStyle w:val="BodyText"/>
      </w:pPr>
      <w:r w:rsidRPr="00095E29">
        <w:t>Good practice</w:t>
      </w:r>
      <w:r>
        <w:t xml:space="preserve"> for managers:</w:t>
      </w:r>
    </w:p>
    <w:p w:rsidR="00992D84" w:rsidRPr="00095E29" w:rsidRDefault="00992D84" w:rsidP="00A13D76">
      <w:pPr>
        <w:pStyle w:val="ListNumber"/>
        <w:numPr>
          <w:ilvl w:val="0"/>
          <w:numId w:val="17"/>
        </w:numPr>
      </w:pPr>
      <w:r>
        <w:t>C</w:t>
      </w:r>
      <w:r w:rsidRPr="00095E29">
        <w:t xml:space="preserve">onsult with residents (in writing with a follow-up meeting) on proposed increases, particularly </w:t>
      </w:r>
      <w:r>
        <w:t xml:space="preserve">when they’re </w:t>
      </w:r>
      <w:r w:rsidRPr="00095E29">
        <w:t>above CPI.</w:t>
      </w:r>
      <w:r>
        <w:t xml:space="preserve"> Break down the charges so </w:t>
      </w:r>
      <w:r w:rsidRPr="00095E29">
        <w:t xml:space="preserve">residents can see how the components </w:t>
      </w:r>
      <w:r>
        <w:t xml:space="preserve">relate to the increase, </w:t>
      </w:r>
      <w:r w:rsidRPr="00095E29">
        <w:t>show</w:t>
      </w:r>
      <w:r>
        <w:t>ing</w:t>
      </w:r>
      <w:r w:rsidRPr="00095E29">
        <w:t>:</w:t>
      </w:r>
    </w:p>
    <w:p w:rsidR="00992D84" w:rsidRDefault="00992D84" w:rsidP="00252A5B">
      <w:pPr>
        <w:pStyle w:val="ListBullet3"/>
      </w:pPr>
      <w:r w:rsidRPr="00095E29">
        <w:t xml:space="preserve">what part relates to </w:t>
      </w:r>
      <w:r>
        <w:t xml:space="preserve">providing </w:t>
      </w:r>
      <w:r w:rsidRPr="00095E29">
        <w:t>services</w:t>
      </w:r>
      <w:r>
        <w:t>. If this increase is above CPI, residents’ approval is required</w:t>
      </w:r>
    </w:p>
    <w:p w:rsidR="00992D84" w:rsidRPr="00095E29" w:rsidRDefault="00992D84" w:rsidP="00252A5B">
      <w:pPr>
        <w:pStyle w:val="ListBullet3"/>
      </w:pPr>
      <w:r w:rsidRPr="00095E29">
        <w:t>what parts are composed of:</w:t>
      </w:r>
    </w:p>
    <w:p w:rsidR="00992D84" w:rsidRDefault="00992D84" w:rsidP="00252A5B">
      <w:pPr>
        <w:pStyle w:val="ListBullet4"/>
      </w:pPr>
      <w:r w:rsidRPr="00095E29">
        <w:t>rates/taxes/charges applicable to the village</w:t>
      </w:r>
    </w:p>
    <w:p w:rsidR="00992D84" w:rsidRDefault="00992D84" w:rsidP="00252A5B">
      <w:pPr>
        <w:pStyle w:val="ListBullet4"/>
      </w:pPr>
      <w:r w:rsidRPr="00095E29">
        <w:t>salaries/wages paid to village employees</w:t>
      </w:r>
    </w:p>
    <w:p w:rsidR="00992D84" w:rsidRPr="00252A5B" w:rsidRDefault="00992D84" w:rsidP="005373E6">
      <w:pPr>
        <w:pStyle w:val="ListContinue"/>
      </w:pPr>
      <w:r w:rsidRPr="00252A5B">
        <w:t>which can be increased above CPI and do not require residents’ approval.</w:t>
      </w:r>
    </w:p>
    <w:p w:rsidR="00992D84" w:rsidRPr="00095E29" w:rsidRDefault="00992D84" w:rsidP="00474EDD">
      <w:pPr>
        <w:pStyle w:val="ListNumber"/>
      </w:pPr>
      <w:r>
        <w:t>I</w:t>
      </w:r>
      <w:r w:rsidRPr="00095E29">
        <w:t>nclude any options for cheaper alternatives</w:t>
      </w:r>
      <w:r>
        <w:t xml:space="preserve">, </w:t>
      </w:r>
      <w:r w:rsidRPr="00095E29">
        <w:t>or for avoiding the increase.</w:t>
      </w:r>
    </w:p>
    <w:p w:rsidR="00992D84" w:rsidRPr="00095E29" w:rsidRDefault="00992D84" w:rsidP="00474EDD">
      <w:pPr>
        <w:pStyle w:val="ListNumber"/>
      </w:pPr>
      <w:r w:rsidRPr="00095E29">
        <w:t xml:space="preserve">As soon as the manager becomes aware that </w:t>
      </w:r>
      <w:r>
        <w:t xml:space="preserve">the </w:t>
      </w:r>
      <w:r w:rsidRPr="00095E29">
        <w:t xml:space="preserve">residents’ share of maintenance charges for vacant/unbuilt units is likely to become an issue, </w:t>
      </w:r>
      <w:r>
        <w:t xml:space="preserve">advising </w:t>
      </w:r>
      <w:r w:rsidRPr="00095E29">
        <w:t xml:space="preserve">them in writing </w:t>
      </w:r>
      <w:r>
        <w:t>(</w:t>
      </w:r>
      <w:r w:rsidRPr="00095E29">
        <w:t>with a follow-up meeting) on:</w:t>
      </w:r>
    </w:p>
    <w:p w:rsidR="00992D84" w:rsidRPr="00095E29" w:rsidRDefault="00992D84" w:rsidP="00474EDD">
      <w:pPr>
        <w:pStyle w:val="ListBullet3"/>
      </w:pPr>
      <w:r w:rsidRPr="00095E29">
        <w:t>how the charges are shared between the manager and residents</w:t>
      </w:r>
    </w:p>
    <w:p w:rsidR="00992D84" w:rsidRPr="00095E29" w:rsidRDefault="00992D84" w:rsidP="00474EDD">
      <w:pPr>
        <w:pStyle w:val="ListBullet3"/>
      </w:pPr>
      <w:r w:rsidRPr="00095E29">
        <w:t>how it is likely to affect residents in the current financial year</w:t>
      </w:r>
    </w:p>
    <w:p w:rsidR="00992D84" w:rsidRPr="00095E29" w:rsidRDefault="00992D84" w:rsidP="00474EDD">
      <w:pPr>
        <w:pStyle w:val="ListBullet3"/>
      </w:pPr>
      <w:r w:rsidRPr="00095E29">
        <w:t>what is being done to address the vacancy problem</w:t>
      </w:r>
    </w:p>
    <w:p w:rsidR="00992D84" w:rsidRPr="00095E29" w:rsidRDefault="00992D84" w:rsidP="00474EDD">
      <w:pPr>
        <w:pStyle w:val="ListBullet3"/>
      </w:pPr>
      <w:r w:rsidRPr="00095E29">
        <w:t>where applicable</w:t>
      </w:r>
      <w:r>
        <w:t xml:space="preserve">, </w:t>
      </w:r>
      <w:r w:rsidRPr="00095E29">
        <w:t xml:space="preserve">the reason why residents’ shares are calculated differently from their share of the general charge (or from their </w:t>
      </w:r>
      <w:proofErr w:type="gramStart"/>
      <w:r w:rsidRPr="00095E29">
        <w:t>owners</w:t>
      </w:r>
      <w:proofErr w:type="gramEnd"/>
      <w:r w:rsidRPr="00095E29">
        <w:t xml:space="preserve"> corporation fee).</w:t>
      </w:r>
    </w:p>
    <w:p w:rsidR="00992D84" w:rsidRPr="00095E29" w:rsidRDefault="00992D84" w:rsidP="00474EDD">
      <w:pPr>
        <w:pStyle w:val="ListNumber"/>
      </w:pPr>
      <w:r w:rsidRPr="00095E29">
        <w:t>If the problem is ongoing, continue this process at subsequent annual meetings.</w:t>
      </w:r>
    </w:p>
    <w:p w:rsidR="002737DF" w:rsidRPr="002737DF" w:rsidRDefault="002737DF" w:rsidP="002737DF">
      <w:pPr>
        <w:pStyle w:val="BodyText"/>
      </w:pPr>
      <w:bookmarkStart w:id="85" w:name="_Toc516585695"/>
      <w:r w:rsidRPr="002737DF">
        <w:br w:type="page"/>
      </w:r>
    </w:p>
    <w:p w:rsidR="00992D84" w:rsidRPr="00095E29" w:rsidRDefault="00992D84" w:rsidP="00474EDD">
      <w:pPr>
        <w:pStyle w:val="Heading4"/>
      </w:pPr>
      <w:r w:rsidRPr="00095E29">
        <w:lastRenderedPageBreak/>
        <w:t>Protocol on the maintenance process</w:t>
      </w:r>
      <w:bookmarkEnd w:id="85"/>
    </w:p>
    <w:p w:rsidR="00992D84" w:rsidRPr="00095E29" w:rsidRDefault="00992D84" w:rsidP="00474EDD">
      <w:pPr>
        <w:pStyle w:val="BodyText"/>
      </w:pPr>
      <w:r w:rsidRPr="00095E29">
        <w:t>Good practice</w:t>
      </w:r>
      <w:r>
        <w:t xml:space="preserve"> for managers:</w:t>
      </w:r>
    </w:p>
    <w:p w:rsidR="00992D84" w:rsidRPr="00095E29" w:rsidRDefault="00992D84" w:rsidP="00A13D76">
      <w:pPr>
        <w:pStyle w:val="ListNumber"/>
        <w:numPr>
          <w:ilvl w:val="0"/>
          <w:numId w:val="18"/>
        </w:numPr>
      </w:pPr>
      <w:r>
        <w:t>P</w:t>
      </w:r>
      <w:r w:rsidRPr="00095E29">
        <w:t>roduce a simple document for each resident</w:t>
      </w:r>
      <w:r>
        <w:t xml:space="preserve">, </w:t>
      </w:r>
      <w:r w:rsidRPr="00095E29">
        <w:t xml:space="preserve">explaining </w:t>
      </w:r>
      <w:r>
        <w:t xml:space="preserve">which </w:t>
      </w:r>
      <w:r w:rsidRPr="00095E29">
        <w:t xml:space="preserve">items of maintenance the manager </w:t>
      </w:r>
      <w:r>
        <w:t xml:space="preserve">and residents are </w:t>
      </w:r>
      <w:r w:rsidRPr="00095E29">
        <w:t>responsible for carrying out</w:t>
      </w:r>
      <w:r>
        <w:t xml:space="preserve">, </w:t>
      </w:r>
      <w:r w:rsidRPr="00095E29">
        <w:t>and how these items are paid for</w:t>
      </w:r>
      <w:r>
        <w:t xml:space="preserve">. </w:t>
      </w:r>
      <w:r w:rsidRPr="00095E29">
        <w:t xml:space="preserve">This document should include the management contact person and </w:t>
      </w:r>
      <w:r>
        <w:t xml:space="preserve">the </w:t>
      </w:r>
      <w:r w:rsidRPr="00095E29">
        <w:t>procedure for making a maintenance request.</w:t>
      </w:r>
    </w:p>
    <w:p w:rsidR="00992D84" w:rsidRPr="00095E29" w:rsidRDefault="00992D84" w:rsidP="00474EDD">
      <w:pPr>
        <w:pStyle w:val="ListNumber"/>
      </w:pPr>
      <w:r>
        <w:t xml:space="preserve">Where </w:t>
      </w:r>
      <w:r w:rsidRPr="00095E29">
        <w:t xml:space="preserve">possible, respond </w:t>
      </w:r>
      <w:r>
        <w:t xml:space="preserve">immediately </w:t>
      </w:r>
      <w:r w:rsidRPr="00095E29">
        <w:t>to a maintenance request (for which management is responsible</w:t>
      </w:r>
      <w:r>
        <w:t xml:space="preserve">). If </w:t>
      </w:r>
      <w:r w:rsidRPr="00095E29">
        <w:t>that is not possible, consider a recording process (which should be monitored daily) that includes:</w:t>
      </w:r>
    </w:p>
    <w:p w:rsidR="00992D84" w:rsidRPr="00095E29" w:rsidRDefault="00992D84" w:rsidP="00474EDD">
      <w:pPr>
        <w:pStyle w:val="ListBullet3"/>
      </w:pPr>
      <w:r w:rsidRPr="00095E29">
        <w:t>the resident’s name</w:t>
      </w:r>
    </w:p>
    <w:p w:rsidR="00992D84" w:rsidRPr="00095E29" w:rsidRDefault="00992D84" w:rsidP="00474EDD">
      <w:pPr>
        <w:pStyle w:val="ListBullet3"/>
      </w:pPr>
      <w:r w:rsidRPr="00095E29">
        <w:t>the nature of the request</w:t>
      </w:r>
    </w:p>
    <w:p w:rsidR="00992D84" w:rsidRPr="00095E29" w:rsidRDefault="00992D84" w:rsidP="00474EDD">
      <w:pPr>
        <w:pStyle w:val="ListBullet3"/>
      </w:pPr>
      <w:r w:rsidRPr="00095E29">
        <w:t>the date the request was made</w:t>
      </w:r>
    </w:p>
    <w:p w:rsidR="00992D84" w:rsidRPr="00095E29" w:rsidRDefault="00992D84" w:rsidP="00474EDD">
      <w:pPr>
        <w:pStyle w:val="ListBullet3"/>
      </w:pPr>
      <w:r w:rsidRPr="00095E29">
        <w:t xml:space="preserve">whether </w:t>
      </w:r>
      <w:r>
        <w:t xml:space="preserve">the request is </w:t>
      </w:r>
      <w:r w:rsidRPr="00095E29">
        <w:t>urgent or non-urgent</w:t>
      </w:r>
    </w:p>
    <w:p w:rsidR="00992D84" w:rsidRPr="00095E29" w:rsidRDefault="00992D84" w:rsidP="00474EDD">
      <w:pPr>
        <w:pStyle w:val="ListBullet3"/>
      </w:pPr>
      <w:r w:rsidRPr="00095E29">
        <w:t>the employee/contractor responsible for attending to the request</w:t>
      </w:r>
    </w:p>
    <w:p w:rsidR="00992D84" w:rsidRPr="00095E29" w:rsidRDefault="00992D84" w:rsidP="00474EDD">
      <w:pPr>
        <w:pStyle w:val="ListBullet3"/>
      </w:pPr>
      <w:r>
        <w:t xml:space="preserve">how long it is likely to take to resolve </w:t>
      </w:r>
      <w:r w:rsidRPr="00095E29">
        <w:t>(consider within 24 hours for urgent matters and within 14 days for non-urgent matters)</w:t>
      </w:r>
    </w:p>
    <w:p w:rsidR="00992D84" w:rsidRPr="00095E29" w:rsidRDefault="00992D84" w:rsidP="00474EDD">
      <w:pPr>
        <w:pStyle w:val="ListBullet3"/>
      </w:pPr>
      <w:r w:rsidRPr="00095E29">
        <w:t xml:space="preserve">written acknowledgment of the request with </w:t>
      </w:r>
      <w:r>
        <w:t xml:space="preserve">an estimate of how long it will take to resolve </w:t>
      </w:r>
      <w:r w:rsidRPr="00095E29">
        <w:t>and the name of the person attending to the problem</w:t>
      </w:r>
    </w:p>
    <w:p w:rsidR="00992D84" w:rsidRDefault="00992D84" w:rsidP="00474EDD">
      <w:pPr>
        <w:pStyle w:val="ListBullet3"/>
      </w:pPr>
      <w:r w:rsidRPr="00095E29">
        <w:t xml:space="preserve">advice to the resident if the estimated resolution date is missed, and a proposed </w:t>
      </w:r>
      <w:r>
        <w:t>new date</w:t>
      </w:r>
    </w:p>
    <w:p w:rsidR="00992D84" w:rsidRPr="00095E29" w:rsidRDefault="00992D84" w:rsidP="00474EDD">
      <w:pPr>
        <w:pStyle w:val="ListBullet3"/>
      </w:pPr>
      <w:r w:rsidRPr="00095E29">
        <w:t>when and how the matter was resolved</w:t>
      </w:r>
    </w:p>
    <w:p w:rsidR="00992D84" w:rsidRPr="00095E29" w:rsidRDefault="00992D84" w:rsidP="00474EDD">
      <w:pPr>
        <w:pStyle w:val="ListBullet3"/>
      </w:pPr>
      <w:r w:rsidRPr="00095E29">
        <w:t xml:space="preserve">confirmation </w:t>
      </w:r>
      <w:r>
        <w:t>from the resident that the matter has been resolved</w:t>
      </w:r>
      <w:r w:rsidRPr="00095E29">
        <w:t>.</w:t>
      </w:r>
    </w:p>
    <w:p w:rsidR="00992D84" w:rsidRPr="00095E29" w:rsidRDefault="00992D84" w:rsidP="00474EDD">
      <w:pPr>
        <w:pStyle w:val="ListNumber"/>
      </w:pPr>
      <w:r>
        <w:t>C</w:t>
      </w:r>
      <w:r w:rsidRPr="00095E29">
        <w:t>heck the log daily for missed timelines and update it where necessary.</w:t>
      </w:r>
    </w:p>
    <w:p w:rsidR="00992D84" w:rsidRPr="00095E29" w:rsidRDefault="00992D84" w:rsidP="00B379D7">
      <w:pPr>
        <w:pStyle w:val="Heading4"/>
      </w:pPr>
      <w:bookmarkStart w:id="86" w:name="_Toc516585696"/>
      <w:r w:rsidRPr="00095E29">
        <w:t>Protocol on insurance claims</w:t>
      </w:r>
      <w:bookmarkEnd w:id="86"/>
    </w:p>
    <w:p w:rsidR="00992D84" w:rsidRPr="00095E29" w:rsidRDefault="00245B38" w:rsidP="00992D84">
      <w:pPr>
        <w:pStyle w:val="BodyText"/>
        <w:spacing w:before="40" w:after="40"/>
      </w:pPr>
      <w:r>
        <w:t xml:space="preserve">If a resident’s property </w:t>
      </w:r>
      <w:r w:rsidR="00992D84" w:rsidRPr="00095E29">
        <w:t xml:space="preserve">has been damaged because of something covered by the village’s insurance policy, good practice is for the manager to consider </w:t>
      </w:r>
      <w:r w:rsidR="00992D84">
        <w:t xml:space="preserve">getting it fixed </w:t>
      </w:r>
      <w:r w:rsidR="00992D84" w:rsidRPr="00095E29">
        <w:t xml:space="preserve">before </w:t>
      </w:r>
      <w:r w:rsidR="00992D84">
        <w:t xml:space="preserve">accepting </w:t>
      </w:r>
      <w:r w:rsidR="00992D84" w:rsidRPr="00095E29">
        <w:t>the claim or, if that is not feasible</w:t>
      </w:r>
      <w:r w:rsidR="00992D84">
        <w:t xml:space="preserve">, after it is accepted (even if the </w:t>
      </w:r>
      <w:r w:rsidR="00992D84" w:rsidRPr="00095E29">
        <w:t>payout</w:t>
      </w:r>
      <w:r w:rsidR="00992D84">
        <w:t xml:space="preserve"> has not been received)</w:t>
      </w:r>
      <w:r w:rsidR="00992D84" w:rsidRPr="00095E29">
        <w:t xml:space="preserve">. If </w:t>
      </w:r>
      <w:r w:rsidR="00992D84">
        <w:t xml:space="preserve">the damage can’t be fixed before </w:t>
      </w:r>
      <w:r w:rsidR="00992D84" w:rsidRPr="00095E29">
        <w:t xml:space="preserve">the claim </w:t>
      </w:r>
      <w:r w:rsidR="00992D84">
        <w:t xml:space="preserve">is accepted </w:t>
      </w:r>
      <w:r w:rsidR="00992D84" w:rsidRPr="00095E29">
        <w:t xml:space="preserve">but the manager can </w:t>
      </w:r>
      <w:r w:rsidR="00992D84">
        <w:t xml:space="preserve">arrange it before the </w:t>
      </w:r>
      <w:r w:rsidR="00992D84" w:rsidRPr="00095E29">
        <w:t>payout</w:t>
      </w:r>
      <w:r w:rsidR="00992D84">
        <w:t xml:space="preserve"> is received</w:t>
      </w:r>
      <w:r w:rsidR="00992D84" w:rsidRPr="00095E29">
        <w:t>, or if neither option is feasible, the manager should explain this to the resident.</w:t>
      </w:r>
    </w:p>
    <w:p w:rsidR="00FC5793" w:rsidRPr="00FC5793" w:rsidRDefault="00FC5793" w:rsidP="00FC5793">
      <w:pPr>
        <w:pStyle w:val="BodyText"/>
      </w:pPr>
      <w:bookmarkStart w:id="87" w:name="_Toc515266571"/>
      <w:bookmarkStart w:id="88" w:name="_Toc516585697"/>
      <w:bookmarkStart w:id="89" w:name="_Toc516586410"/>
      <w:bookmarkStart w:id="90" w:name="_Toc516586486"/>
      <w:bookmarkStart w:id="91" w:name="_Toc525829692"/>
      <w:r w:rsidRPr="00FC5793">
        <w:br w:type="page"/>
      </w:r>
    </w:p>
    <w:p w:rsidR="00992D84" w:rsidRPr="00095E29" w:rsidRDefault="00992D84" w:rsidP="001619CD">
      <w:pPr>
        <w:pStyle w:val="Heading3"/>
      </w:pPr>
      <w:bookmarkStart w:id="92" w:name="_Toc527120881"/>
      <w:r w:rsidRPr="00095E29">
        <w:lastRenderedPageBreak/>
        <w:t>Protocol 3: What is covered by service and capital charges</w:t>
      </w:r>
      <w:bookmarkEnd w:id="87"/>
      <w:bookmarkEnd w:id="88"/>
      <w:bookmarkEnd w:id="89"/>
      <w:bookmarkEnd w:id="90"/>
      <w:bookmarkEnd w:id="91"/>
      <w:bookmarkEnd w:id="92"/>
    </w:p>
    <w:p w:rsidR="00992D84" w:rsidRPr="00B379D7" w:rsidRDefault="00992D84" w:rsidP="00B379D7">
      <w:pPr>
        <w:pStyle w:val="BodyText"/>
      </w:pPr>
      <w:r w:rsidRPr="00095E29">
        <w:t xml:space="preserve">What is covered by the service charge and what is covered by any capital replacement fund (sometimes called a sinking fund) in a retirement </w:t>
      </w:r>
      <w:r w:rsidRPr="00B379D7">
        <w:t>village contract can be complex and difficult to understand.</w:t>
      </w:r>
    </w:p>
    <w:p w:rsidR="00992D84" w:rsidRPr="00095E29" w:rsidRDefault="00992D84" w:rsidP="00630BF3">
      <w:pPr>
        <w:pStyle w:val="BodyText"/>
      </w:pPr>
      <w:r w:rsidRPr="00B379D7">
        <w:t>To ensure residents are more comfortabl</w:t>
      </w:r>
      <w:r w:rsidRPr="00095E29">
        <w:t>e about how charges are spent</w:t>
      </w:r>
      <w:r>
        <w:t xml:space="preserve">, </w:t>
      </w:r>
      <w:r w:rsidRPr="00095E29">
        <w:t>to reduce disputes</w:t>
      </w:r>
      <w:r>
        <w:t xml:space="preserve">, and to support transparency, </w:t>
      </w:r>
      <w:r w:rsidRPr="00095E29">
        <w:t>managers are encouraged to adopt the following protocol.</w:t>
      </w:r>
    </w:p>
    <w:p w:rsidR="00992D84" w:rsidRPr="00095E29" w:rsidRDefault="00992D84" w:rsidP="00B379D7">
      <w:pPr>
        <w:pStyle w:val="Heading4"/>
      </w:pPr>
      <w:bookmarkStart w:id="93" w:name="_Toc516585698"/>
      <w:r w:rsidRPr="00095E29">
        <w:t>Protocol</w:t>
      </w:r>
      <w:bookmarkEnd w:id="93"/>
    </w:p>
    <w:p w:rsidR="00992D84" w:rsidRPr="00095E29" w:rsidRDefault="00992D84" w:rsidP="00992D84">
      <w:pPr>
        <w:pStyle w:val="BodyText"/>
      </w:pPr>
      <w:r w:rsidRPr="00095E29">
        <w:t xml:space="preserve">Good practice </w:t>
      </w:r>
      <w:r>
        <w:t>for managers</w:t>
      </w:r>
      <w:r w:rsidRPr="00095E29">
        <w:t>:</w:t>
      </w:r>
    </w:p>
    <w:p w:rsidR="00992D84" w:rsidRDefault="00992D84" w:rsidP="00A13D76">
      <w:pPr>
        <w:pStyle w:val="ListNumber"/>
        <w:numPr>
          <w:ilvl w:val="0"/>
          <w:numId w:val="19"/>
        </w:numPr>
      </w:pPr>
      <w:r>
        <w:t xml:space="preserve">Ensure </w:t>
      </w:r>
      <w:r w:rsidRPr="00095E29">
        <w:t>residence or management contracts have clear definitions of capital (sinking) funds and service categories</w:t>
      </w:r>
      <w:r>
        <w:t xml:space="preserve">. Clearly </w:t>
      </w:r>
      <w:r w:rsidRPr="00095E29">
        <w:t>explain who pays for the items in each category</w:t>
      </w:r>
      <w:r>
        <w:t xml:space="preserve">. Ensure </w:t>
      </w:r>
      <w:r w:rsidRPr="00095E29">
        <w:t xml:space="preserve">contracts </w:t>
      </w:r>
      <w:r>
        <w:t xml:space="preserve">are </w:t>
      </w:r>
      <w:r w:rsidRPr="00095E29">
        <w:t xml:space="preserve">accompanied by an explanatory document </w:t>
      </w:r>
      <w:r>
        <w:t xml:space="preserve">with </w:t>
      </w:r>
      <w:r w:rsidRPr="00095E29">
        <w:t>illustrative examples of items under each category.</w:t>
      </w:r>
    </w:p>
    <w:p w:rsidR="00992D84" w:rsidRPr="00095E29" w:rsidRDefault="00992D84" w:rsidP="00630BF3">
      <w:pPr>
        <w:pStyle w:val="ListNumber"/>
      </w:pPr>
      <w:r w:rsidRPr="00095E29">
        <w:t>If the contract does not have clear definitions, consider creating them (and illustrative examples) in consultation with residents. Once this is in place, consult with residents or the residents’ committee on difficult-to-categorise items.</w:t>
      </w:r>
    </w:p>
    <w:p w:rsidR="00992D84" w:rsidRPr="00095E29" w:rsidRDefault="00992D84" w:rsidP="00630BF3">
      <w:pPr>
        <w:pStyle w:val="ListNumber"/>
      </w:pPr>
      <w:r>
        <w:t xml:space="preserve">Consult </w:t>
      </w:r>
      <w:r w:rsidRPr="00095E29">
        <w:t>with the residents’ committee and residents (in writing with a follow-up meeting) on proposals to use the service charge or any sinking fund for:</w:t>
      </w:r>
    </w:p>
    <w:p w:rsidR="00992D84" w:rsidRPr="00095E29" w:rsidRDefault="00992D84" w:rsidP="00630BF3">
      <w:pPr>
        <w:pStyle w:val="ListBullet3"/>
      </w:pPr>
      <w:r w:rsidRPr="00095E29">
        <w:t>new capital items that the village owner will own, particularly new buildings</w:t>
      </w:r>
    </w:p>
    <w:p w:rsidR="00992D84" w:rsidRPr="00095E29" w:rsidRDefault="00992D84" w:rsidP="00630BF3">
      <w:pPr>
        <w:pStyle w:val="ListBullet3"/>
      </w:pPr>
      <w:r w:rsidRPr="00095E29">
        <w:t>improving capital items that the village owner owns, beyond their original condition</w:t>
      </w:r>
    </w:p>
    <w:p w:rsidR="00992D84" w:rsidRPr="00095E29" w:rsidRDefault="00992D84" w:rsidP="00630BF3">
      <w:pPr>
        <w:pStyle w:val="ListBullet3"/>
      </w:pPr>
      <w:r w:rsidRPr="00095E29">
        <w:t>refurbishing vacant units</w:t>
      </w:r>
    </w:p>
    <w:p w:rsidR="00992D84" w:rsidRPr="00095E29" w:rsidRDefault="00992D84" w:rsidP="00630BF3">
      <w:pPr>
        <w:pStyle w:val="ListBullet3"/>
      </w:pPr>
      <w:r w:rsidRPr="00095E29">
        <w:t>repairing capital items that the village owner owns that would be more cost-effective to replace.</w:t>
      </w:r>
    </w:p>
    <w:p w:rsidR="00992D84" w:rsidRPr="00095E29" w:rsidRDefault="00992D84" w:rsidP="00630BF3">
      <w:pPr>
        <w:pStyle w:val="ListNumber"/>
      </w:pPr>
      <w:r w:rsidRPr="00095E29">
        <w:t>For substantial works proposals, explain to residents (in writing with a follow-up meeting) the need for the works and the process for awarding the contract (including the choice of contractor) in a way that shows alternatives have been adequately explored.</w:t>
      </w:r>
    </w:p>
    <w:p w:rsidR="00992D84" w:rsidRPr="00095E29" w:rsidRDefault="00992D84" w:rsidP="00630BF3">
      <w:pPr>
        <w:pStyle w:val="ListNumber"/>
      </w:pPr>
      <w:r>
        <w:t>E</w:t>
      </w:r>
      <w:r w:rsidRPr="00095E29">
        <w:t>xplain why and how head office expenses are allocated to the village</w:t>
      </w:r>
      <w:r>
        <w:t xml:space="preserve">. The </w:t>
      </w:r>
      <w:r w:rsidRPr="00095E29">
        <w:t>manager may consider using the annual financial statement for this, or the explanatory document referred to in point 1 above.</w:t>
      </w:r>
    </w:p>
    <w:p w:rsidR="00992D84" w:rsidRPr="00095E29" w:rsidRDefault="00992D84" w:rsidP="00630BF3">
      <w:pPr>
        <w:pStyle w:val="ListNumber"/>
      </w:pPr>
      <w:r w:rsidRPr="00095E29">
        <w:t>Even if the residence or management contract allows the following uses of maintenance charges, consult with residents (in writing with a follow-up meeting) before using charges for:</w:t>
      </w:r>
    </w:p>
    <w:p w:rsidR="00992D84" w:rsidRPr="00095E29" w:rsidRDefault="00992D84" w:rsidP="00630BF3">
      <w:pPr>
        <w:pStyle w:val="ListBullet3"/>
      </w:pPr>
      <w:r w:rsidRPr="00095E29">
        <w:t>the cost of marketing the village and vacant units</w:t>
      </w:r>
    </w:p>
    <w:p w:rsidR="00992D84" w:rsidRPr="00095E29" w:rsidRDefault="00992D84" w:rsidP="00630BF3">
      <w:pPr>
        <w:pStyle w:val="ListBullet3"/>
      </w:pPr>
      <w:r w:rsidRPr="00095E29">
        <w:t>head office overheads that do not benefit the village</w:t>
      </w:r>
    </w:p>
    <w:p w:rsidR="00992D84" w:rsidRPr="00095E29" w:rsidRDefault="00992D84" w:rsidP="00630BF3">
      <w:pPr>
        <w:pStyle w:val="ListBullet3"/>
      </w:pPr>
      <w:r w:rsidRPr="00095E29">
        <w:t>manager</w:t>
      </w:r>
      <w:r>
        <w:t>-</w:t>
      </w:r>
      <w:r w:rsidRPr="00095E29">
        <w:t>specific items such as fees for memberships of industrial or professional associations (as distinct from accreditation fees for a scheme that has been developed to benefit the village by promoting good practice).</w:t>
      </w:r>
    </w:p>
    <w:p w:rsidR="00992D84" w:rsidRPr="00095E29" w:rsidRDefault="00992D84" w:rsidP="00630BF3">
      <w:pPr>
        <w:pStyle w:val="ListNumber"/>
      </w:pPr>
      <w:r w:rsidRPr="00095E29">
        <w:t xml:space="preserve">In a loan-licence village without a long-term maintenance plan for major capital items, for the manager to discuss the need for one with residents, using the </w:t>
      </w:r>
      <w:r w:rsidR="001B1ACE">
        <w:rPr>
          <w:i/>
        </w:rPr>
        <w:t>Owners Corporations Act 2006</w:t>
      </w:r>
      <w:r w:rsidRPr="00095E29">
        <w:t xml:space="preserve"> template as a guide.</w:t>
      </w:r>
    </w:p>
    <w:p w:rsidR="00FC5793" w:rsidRPr="00FC5793" w:rsidRDefault="00FC5793" w:rsidP="00FC5793">
      <w:pPr>
        <w:pStyle w:val="BodyText"/>
      </w:pPr>
      <w:bookmarkStart w:id="94" w:name="_Toc515266572"/>
      <w:bookmarkStart w:id="95" w:name="_Toc516585699"/>
      <w:bookmarkStart w:id="96" w:name="_Toc516586411"/>
      <w:bookmarkStart w:id="97" w:name="_Toc516586487"/>
      <w:bookmarkStart w:id="98" w:name="_Toc525829693"/>
      <w:r w:rsidRPr="00FC5793">
        <w:br w:type="page"/>
      </w:r>
    </w:p>
    <w:p w:rsidR="00992D84" w:rsidRPr="00095E29" w:rsidRDefault="00992D84" w:rsidP="001619CD">
      <w:pPr>
        <w:pStyle w:val="Heading3"/>
      </w:pPr>
      <w:bookmarkStart w:id="99" w:name="_Toc527120882"/>
      <w:r w:rsidRPr="00095E29">
        <w:lastRenderedPageBreak/>
        <w:t>Protocol 4: Presentation of the annual financial statement</w:t>
      </w:r>
      <w:bookmarkEnd w:id="94"/>
      <w:bookmarkEnd w:id="95"/>
      <w:bookmarkEnd w:id="96"/>
      <w:bookmarkEnd w:id="97"/>
      <w:bookmarkEnd w:id="98"/>
      <w:bookmarkEnd w:id="99"/>
    </w:p>
    <w:p w:rsidR="00992D84" w:rsidRDefault="00992D84" w:rsidP="00630BF3">
      <w:pPr>
        <w:pStyle w:val="BodyText"/>
      </w:pPr>
      <w:r w:rsidRPr="00095E29">
        <w:t>The annual financial statement</w:t>
      </w:r>
      <w:r>
        <w:t xml:space="preserve"> </w:t>
      </w:r>
      <w:r w:rsidRPr="00095E29">
        <w:t>and the annual general meeting, are designed to ensure that residents are presented with the most important financial information about the village.</w:t>
      </w:r>
      <w:r>
        <w:t xml:space="preserve"> However, residents often find that </w:t>
      </w:r>
      <w:r w:rsidRPr="00095E29">
        <w:t>financial statements are difficult to read, have too much or too little detail, or raise queries that managers may not respond to promptly ahead of the meeting.</w:t>
      </w:r>
      <w:r>
        <w:t xml:space="preserve"> To </w:t>
      </w:r>
      <w:r w:rsidRPr="00095E29">
        <w:t>ensure that the annual financial statement informs residents properly, managers are encouraged t</w:t>
      </w:r>
      <w:r>
        <w:t>o adopt the following protocol.</w:t>
      </w:r>
    </w:p>
    <w:p w:rsidR="00992D84" w:rsidRPr="00095E29" w:rsidRDefault="00992D84" w:rsidP="00630BF3">
      <w:pPr>
        <w:pStyle w:val="Heading4"/>
      </w:pPr>
      <w:bookmarkStart w:id="100" w:name="_Toc516585700"/>
      <w:r w:rsidRPr="00095E29">
        <w:t>Protocol</w:t>
      </w:r>
      <w:bookmarkEnd w:id="100"/>
    </w:p>
    <w:p w:rsidR="00992D84" w:rsidRPr="00095E29" w:rsidRDefault="00992D84" w:rsidP="00630BF3">
      <w:pPr>
        <w:pStyle w:val="BodyText"/>
      </w:pPr>
      <w:r w:rsidRPr="00095E29">
        <w:t xml:space="preserve">Good practice </w:t>
      </w:r>
      <w:r>
        <w:t>for managers</w:t>
      </w:r>
      <w:r w:rsidRPr="00095E29">
        <w:t>:</w:t>
      </w:r>
    </w:p>
    <w:p w:rsidR="00992D84" w:rsidRPr="00095E29" w:rsidRDefault="00992D84" w:rsidP="00A13D76">
      <w:pPr>
        <w:pStyle w:val="ListNumber"/>
        <w:numPr>
          <w:ilvl w:val="0"/>
          <w:numId w:val="20"/>
        </w:numPr>
      </w:pPr>
      <w:r>
        <w:t xml:space="preserve">Ensure </w:t>
      </w:r>
      <w:r w:rsidRPr="00095E29">
        <w:t xml:space="preserve">the financial statement </w:t>
      </w:r>
      <w:r>
        <w:t xml:space="preserve">is </w:t>
      </w:r>
      <w:r w:rsidRPr="00095E29">
        <w:t>as simple as possible.</w:t>
      </w:r>
    </w:p>
    <w:p w:rsidR="00992D84" w:rsidRPr="00095E29" w:rsidRDefault="00992D84" w:rsidP="005525D5">
      <w:pPr>
        <w:pStyle w:val="ListNumber"/>
      </w:pPr>
      <w:r>
        <w:t>P</w:t>
      </w:r>
      <w:r w:rsidRPr="00095E29">
        <w:t>rovide a financial statement even if the village is exempt from the requirement for one.</w:t>
      </w:r>
    </w:p>
    <w:p w:rsidR="00992D84" w:rsidRPr="00095E29" w:rsidRDefault="00992D84" w:rsidP="005525D5">
      <w:pPr>
        <w:pStyle w:val="ListNumber"/>
      </w:pPr>
      <w:r>
        <w:t>G</w:t>
      </w:r>
      <w:r w:rsidRPr="00095E29">
        <w:t>ive residents sufficient time to consider and discuss the statement</w:t>
      </w:r>
      <w:r>
        <w:t xml:space="preserve">. Providing the statement at least </w:t>
      </w:r>
      <w:r w:rsidRPr="00095E29">
        <w:t>14 days before the meeting is good practice</w:t>
      </w:r>
      <w:r>
        <w:t xml:space="preserve">. Managers should also </w:t>
      </w:r>
      <w:r w:rsidRPr="00095E29">
        <w:t>consider releasing a preliminary ‘discussion’ draft at an earlier stage.</w:t>
      </w:r>
    </w:p>
    <w:p w:rsidR="00992D84" w:rsidRPr="00095E29" w:rsidRDefault="00992D84" w:rsidP="005525D5">
      <w:pPr>
        <w:pStyle w:val="ListNumber"/>
      </w:pPr>
      <w:r>
        <w:t>I</w:t>
      </w:r>
      <w:r w:rsidRPr="00095E29">
        <w:t xml:space="preserve">nvite residents to discuss issues with </w:t>
      </w:r>
      <w:r>
        <w:t xml:space="preserve">them </w:t>
      </w:r>
      <w:r w:rsidRPr="00095E29">
        <w:t>before the meeting.</w:t>
      </w:r>
    </w:p>
    <w:p w:rsidR="00992D84" w:rsidRPr="00095E29" w:rsidRDefault="00992D84" w:rsidP="005525D5">
      <w:pPr>
        <w:pStyle w:val="ListNumber"/>
      </w:pPr>
      <w:r>
        <w:t xml:space="preserve">Ensure </w:t>
      </w:r>
      <w:r w:rsidRPr="00095E29">
        <w:t>the statement clearly state</w:t>
      </w:r>
      <w:r>
        <w:t>s</w:t>
      </w:r>
      <w:r w:rsidRPr="00095E29">
        <w:t xml:space="preserve"> the rationale for how expenditure items are allocated.</w:t>
      </w:r>
    </w:p>
    <w:p w:rsidR="00992D84" w:rsidRPr="00095E29" w:rsidRDefault="00992D84" w:rsidP="005525D5">
      <w:pPr>
        <w:pStyle w:val="ListNumber"/>
      </w:pPr>
      <w:r>
        <w:t xml:space="preserve">Ensure the statement </w:t>
      </w:r>
      <w:r w:rsidRPr="00095E29">
        <w:t>provide</w:t>
      </w:r>
      <w:r>
        <w:t>s</w:t>
      </w:r>
      <w:r w:rsidRPr="00095E29">
        <w:t xml:space="preserve"> sufficient detail of expenditure items to enable residents to assess each one (for example, whether the item is necessary and appropriate, and whether there are alternatives)</w:t>
      </w:r>
      <w:r>
        <w:t xml:space="preserve">. The statement </w:t>
      </w:r>
      <w:r w:rsidRPr="00095E29">
        <w:t>should not disclose the salary/wages of identifiable individuals.</w:t>
      </w:r>
    </w:p>
    <w:p w:rsidR="00992D84" w:rsidRPr="00095E29" w:rsidRDefault="00992D84" w:rsidP="005525D5">
      <w:pPr>
        <w:pStyle w:val="ListNumber"/>
      </w:pPr>
      <w:r>
        <w:t xml:space="preserve">Ensure the </w:t>
      </w:r>
      <w:r w:rsidRPr="00095E29">
        <w:t xml:space="preserve">statement </w:t>
      </w:r>
      <w:r>
        <w:t xml:space="preserve">shows </w:t>
      </w:r>
      <w:r w:rsidRPr="00095E29">
        <w:t>all proposed categories of expenditure (without grouping unlike categories).</w:t>
      </w:r>
    </w:p>
    <w:p w:rsidR="00992D84" w:rsidRPr="00095E29" w:rsidRDefault="00992D84" w:rsidP="005525D5">
      <w:pPr>
        <w:pStyle w:val="ListNumber"/>
      </w:pPr>
      <w:r>
        <w:t xml:space="preserve">If an item has been </w:t>
      </w:r>
      <w:r w:rsidRPr="00095E29">
        <w:t>apportioned</w:t>
      </w:r>
      <w:r>
        <w:t xml:space="preserve"> (its cost divided between different villages or businesses)</w:t>
      </w:r>
      <w:r w:rsidRPr="00095E29">
        <w:t xml:space="preserve">, </w:t>
      </w:r>
      <w:r>
        <w:t>show how this has been calculated.</w:t>
      </w:r>
    </w:p>
    <w:p w:rsidR="00992D84" w:rsidRPr="00095E29" w:rsidRDefault="00992D84" w:rsidP="005525D5">
      <w:pPr>
        <w:pStyle w:val="ListNumber"/>
      </w:pPr>
      <w:r w:rsidRPr="00095E29">
        <w:t>If any residents are paying significantly higher charges than other</w:t>
      </w:r>
      <w:r>
        <w:t>s</w:t>
      </w:r>
      <w:r w:rsidRPr="00095E29">
        <w:t xml:space="preserve">, </w:t>
      </w:r>
      <w:r>
        <w:t xml:space="preserve">ensure </w:t>
      </w:r>
      <w:r w:rsidRPr="00095E29">
        <w:t xml:space="preserve">the statement </w:t>
      </w:r>
      <w:r>
        <w:t xml:space="preserve">shows </w:t>
      </w:r>
      <w:r w:rsidRPr="00095E29">
        <w:t>how expenditure is apportioned between the categories of residents.</w:t>
      </w:r>
    </w:p>
    <w:p w:rsidR="00992D84" w:rsidRPr="00095E29" w:rsidRDefault="00992D84" w:rsidP="005525D5">
      <w:pPr>
        <w:pStyle w:val="ListNumber"/>
      </w:pPr>
      <w:r>
        <w:t xml:space="preserve">Ensure </w:t>
      </w:r>
      <w:r w:rsidRPr="00095E29">
        <w:t xml:space="preserve">expenditure items associated with head office or management/administration fees </w:t>
      </w:r>
      <w:r>
        <w:t xml:space="preserve">are </w:t>
      </w:r>
      <w:r w:rsidRPr="00095E29">
        <w:t>broken down to show the goods and services they relate to and their approximate cost.</w:t>
      </w:r>
    </w:p>
    <w:p w:rsidR="00FC5793" w:rsidRPr="00FC5793" w:rsidRDefault="00FC5793" w:rsidP="00FC5793">
      <w:pPr>
        <w:pStyle w:val="BodyText"/>
      </w:pPr>
      <w:bookmarkStart w:id="101" w:name="_Toc515266573"/>
      <w:bookmarkStart w:id="102" w:name="_Toc516585701"/>
      <w:bookmarkStart w:id="103" w:name="_Toc516586412"/>
      <w:bookmarkStart w:id="104" w:name="_Toc516586488"/>
      <w:bookmarkStart w:id="105" w:name="_Toc525829694"/>
      <w:r w:rsidRPr="00FC5793">
        <w:br w:type="page"/>
      </w:r>
    </w:p>
    <w:p w:rsidR="00992D84" w:rsidRDefault="00992D84" w:rsidP="001619CD">
      <w:pPr>
        <w:pStyle w:val="Heading3"/>
      </w:pPr>
      <w:bookmarkStart w:id="106" w:name="_Protocol_5:_Marketing"/>
      <w:bookmarkStart w:id="107" w:name="_Ref526859527"/>
      <w:bookmarkStart w:id="108" w:name="_Toc527120883"/>
      <w:bookmarkEnd w:id="106"/>
      <w:r w:rsidRPr="00095E29">
        <w:lastRenderedPageBreak/>
        <w:t xml:space="preserve">Protocol 5: Marketing procedures for a unit when </w:t>
      </w:r>
      <w:proofErr w:type="gramStart"/>
      <w:r w:rsidRPr="00095E29">
        <w:t>a resident leaves</w:t>
      </w:r>
      <w:bookmarkEnd w:id="101"/>
      <w:bookmarkEnd w:id="102"/>
      <w:bookmarkEnd w:id="103"/>
      <w:bookmarkEnd w:id="104"/>
      <w:bookmarkEnd w:id="105"/>
      <w:bookmarkEnd w:id="107"/>
      <w:bookmarkEnd w:id="108"/>
      <w:proofErr w:type="gramEnd"/>
    </w:p>
    <w:p w:rsidR="00992D84" w:rsidRPr="005525D5" w:rsidRDefault="00992D84" w:rsidP="005525D5">
      <w:pPr>
        <w:pStyle w:val="BodyText"/>
      </w:pPr>
      <w:r w:rsidRPr="00095E29">
        <w:t xml:space="preserve">The marketing of a unit in a retirement village </w:t>
      </w:r>
      <w:r>
        <w:t xml:space="preserve">is different to </w:t>
      </w:r>
      <w:r w:rsidRPr="00095E29">
        <w:t xml:space="preserve">a conventional property. </w:t>
      </w:r>
      <w:r>
        <w:t xml:space="preserve">It </w:t>
      </w:r>
      <w:r w:rsidRPr="00095E29">
        <w:t xml:space="preserve">necessarily </w:t>
      </w:r>
      <w:r>
        <w:t xml:space="preserve">focuses </w:t>
      </w:r>
      <w:r w:rsidRPr="00095E29">
        <w:t>on the village –</w:t>
      </w:r>
      <w:r w:rsidRPr="005525D5">
        <w:t xml:space="preserve"> its services, amenities and lifestyle.</w:t>
      </w:r>
    </w:p>
    <w:p w:rsidR="00992D84" w:rsidRPr="005525D5" w:rsidRDefault="00992D84" w:rsidP="005525D5">
      <w:pPr>
        <w:pStyle w:val="BodyText"/>
      </w:pPr>
      <w:r w:rsidRPr="005525D5">
        <w:t>If you sell or re-lease your unit, you and the manager will both have a strong interest in the process, including appointing the selling agent and the marketing strategy.</w:t>
      </w:r>
    </w:p>
    <w:p w:rsidR="00992D84" w:rsidRDefault="00992D84" w:rsidP="005525D5">
      <w:pPr>
        <w:pStyle w:val="BodyText"/>
      </w:pPr>
      <w:r w:rsidRPr="005525D5">
        <w:t>It is in both your int</w:t>
      </w:r>
      <w:r>
        <w:t xml:space="preserve">erests </w:t>
      </w:r>
      <w:r w:rsidRPr="00095E29">
        <w:t xml:space="preserve">to re-sell or re-lease </w:t>
      </w:r>
      <w:r>
        <w:t xml:space="preserve">the </w:t>
      </w:r>
      <w:r w:rsidRPr="00095E29">
        <w:t>unit as soon as possible and at the best possible price</w:t>
      </w:r>
      <w:r>
        <w:t xml:space="preserve">; but how this is done can raise issues of </w:t>
      </w:r>
      <w:r w:rsidRPr="00095E29">
        <w:t>conflicting interests</w:t>
      </w:r>
      <w:r>
        <w:t xml:space="preserve">, </w:t>
      </w:r>
      <w:r w:rsidRPr="00095E29">
        <w:t xml:space="preserve">or at least the perception of </w:t>
      </w:r>
      <w:r>
        <w:t>them</w:t>
      </w:r>
      <w:r w:rsidRPr="00095E29">
        <w:t>.</w:t>
      </w:r>
    </w:p>
    <w:p w:rsidR="00992D84" w:rsidRDefault="00992D84" w:rsidP="00992D84">
      <w:pPr>
        <w:pStyle w:val="BodyText"/>
        <w:spacing w:before="40" w:after="40"/>
      </w:pPr>
      <w:r w:rsidRPr="00095E29">
        <w:t>This issue can be further complicated</w:t>
      </w:r>
      <w:r>
        <w:t xml:space="preserve">, </w:t>
      </w:r>
      <w:r w:rsidRPr="00095E29">
        <w:t xml:space="preserve">depending on </w:t>
      </w:r>
      <w:r>
        <w:t xml:space="preserve">whether you entered into your </w:t>
      </w:r>
      <w:r w:rsidR="007D5E94">
        <w:t>contract before or after 1 </w:t>
      </w:r>
      <w:r w:rsidRPr="00095E29">
        <w:t xml:space="preserve">August 2006, when the </w:t>
      </w:r>
      <w:r w:rsidRPr="005525D5">
        <w:rPr>
          <w:rStyle w:val="Emphasis"/>
        </w:rPr>
        <w:t>Retirement Villages Act 1986</w:t>
      </w:r>
      <w:r w:rsidRPr="00095E29">
        <w:t xml:space="preserve"> was amended to give greater control to residents in the re-sell or re-lease of their unit.</w:t>
      </w:r>
      <w:r>
        <w:t xml:space="preserve"> You can find a </w:t>
      </w:r>
      <w:r w:rsidRPr="00095E29">
        <w:t xml:space="preserve">summary of </w:t>
      </w:r>
      <w:r>
        <w:t xml:space="preserve">the </w:t>
      </w:r>
      <w:r w:rsidRPr="00095E29">
        <w:t>l</w:t>
      </w:r>
      <w:r w:rsidRPr="007D5E94">
        <w:t xml:space="preserve">aw concerning this issue in </w:t>
      </w:r>
      <w:r w:rsidR="007D5E94" w:rsidRPr="00DD7E36">
        <w:rPr>
          <w:rStyle w:val="Emphasis"/>
        </w:rPr>
        <w:t>Retirement villages: good practice to address key issues</w:t>
      </w:r>
      <w:r w:rsidR="007D5E94">
        <w:t xml:space="preserve">, </w:t>
      </w:r>
      <w:r w:rsidR="007D5E94" w:rsidRPr="00095E29">
        <w:t xml:space="preserve">available </w:t>
      </w:r>
      <w:r w:rsidR="00B65F7E">
        <w:t>at</w:t>
      </w:r>
      <w:r w:rsidR="00B65F7E" w:rsidRPr="00650F37">
        <w:t xml:space="preserve"> </w:t>
      </w:r>
      <w:hyperlink r:id="rId14" w:history="1">
        <w:r w:rsidR="00B65F7E" w:rsidRPr="00650F37">
          <w:rPr>
            <w:rStyle w:val="Hyperlink"/>
          </w:rPr>
          <w:t>Consumer Affairs Victoria</w:t>
        </w:r>
        <w:r w:rsidR="00B65F7E">
          <w:rPr>
            <w:rStyle w:val="Hyperlink"/>
          </w:rPr>
          <w:t xml:space="preserve"> – Good practice protocols</w:t>
        </w:r>
      </w:hyperlink>
      <w:r w:rsidR="00B65F7E" w:rsidRPr="00650F37">
        <w:t xml:space="preserve"> &lt;consumer.vic.gov.au</w:t>
      </w:r>
      <w:r w:rsidR="00B65F7E">
        <w:t>/</w:t>
      </w:r>
      <w:proofErr w:type="spellStart"/>
      <w:r w:rsidR="00B65F7E" w:rsidRPr="004829FE">
        <w:t>rvgoodpractice</w:t>
      </w:r>
      <w:proofErr w:type="spellEnd"/>
      <w:r w:rsidR="00B65F7E">
        <w:t>&gt;</w:t>
      </w:r>
      <w:r w:rsidRPr="007D5E94">
        <w:t>.</w:t>
      </w:r>
    </w:p>
    <w:p w:rsidR="00992D84" w:rsidRDefault="00992D84" w:rsidP="005525D5">
      <w:pPr>
        <w:pStyle w:val="BodyText"/>
      </w:pPr>
      <w:r w:rsidRPr="00095E29">
        <w:t>The following protocol, which managers are encouraged to adopt, seeks to balance the interests of management and residents or their families</w:t>
      </w:r>
      <w:r>
        <w:t xml:space="preserve">, </w:t>
      </w:r>
      <w:r w:rsidRPr="00095E29">
        <w:t xml:space="preserve">and reduce misunderstandings and concerns </w:t>
      </w:r>
      <w:r>
        <w:t xml:space="preserve">which often arise </w:t>
      </w:r>
      <w:r w:rsidRPr="00095E29">
        <w:t>during this process.</w:t>
      </w:r>
    </w:p>
    <w:p w:rsidR="00992D84" w:rsidRPr="00095E29" w:rsidRDefault="00992D84" w:rsidP="005525D5">
      <w:pPr>
        <w:pStyle w:val="Heading4"/>
      </w:pPr>
      <w:bookmarkStart w:id="109" w:name="_Toc516585702"/>
      <w:r w:rsidRPr="00095E29">
        <w:t>Protocol</w:t>
      </w:r>
      <w:bookmarkEnd w:id="109"/>
    </w:p>
    <w:p w:rsidR="00992D84" w:rsidRPr="00095E29" w:rsidRDefault="00992D84" w:rsidP="00992D84">
      <w:pPr>
        <w:pStyle w:val="BodyText"/>
        <w:spacing w:before="40" w:after="40"/>
      </w:pPr>
      <w:r w:rsidRPr="00095E29">
        <w:t>The following applies as soon as practicable after the manager receives advice of the resident’s intention to vacate</w:t>
      </w:r>
      <w:r>
        <w:t xml:space="preserve">, </w:t>
      </w:r>
      <w:r w:rsidRPr="00095E29">
        <w:t>or of their death.</w:t>
      </w:r>
    </w:p>
    <w:p w:rsidR="00992D84" w:rsidRPr="00095E29" w:rsidRDefault="00992D84" w:rsidP="005525D5">
      <w:pPr>
        <w:pStyle w:val="Heading5"/>
      </w:pPr>
      <w:bookmarkStart w:id="110" w:name="_Toc516585703"/>
      <w:bookmarkStart w:id="111" w:name="_Toc516586413"/>
      <w:bookmarkStart w:id="112" w:name="_Toc516586489"/>
      <w:bookmarkStart w:id="113" w:name="_Toc525829695"/>
      <w:r w:rsidRPr="00095E29">
        <w:t>General</w:t>
      </w:r>
      <w:bookmarkEnd w:id="110"/>
      <w:bookmarkEnd w:id="111"/>
      <w:bookmarkEnd w:id="112"/>
      <w:bookmarkEnd w:id="113"/>
    </w:p>
    <w:p w:rsidR="00992D84" w:rsidRPr="00095E29" w:rsidRDefault="00992D84" w:rsidP="00992D84">
      <w:pPr>
        <w:pStyle w:val="BodyText"/>
      </w:pPr>
      <w:r w:rsidRPr="00095E29">
        <w:t xml:space="preserve">Good practice </w:t>
      </w:r>
      <w:r>
        <w:t xml:space="preserve">for </w:t>
      </w:r>
      <w:r w:rsidRPr="00095E29">
        <w:t>manager</w:t>
      </w:r>
      <w:r>
        <w:t>s</w:t>
      </w:r>
      <w:r w:rsidRPr="00095E29">
        <w:t>:</w:t>
      </w:r>
    </w:p>
    <w:p w:rsidR="00992D84" w:rsidRPr="00095E29" w:rsidRDefault="00992D84" w:rsidP="00A13D76">
      <w:pPr>
        <w:pStyle w:val="ListNumber"/>
        <w:numPr>
          <w:ilvl w:val="0"/>
          <w:numId w:val="21"/>
        </w:numPr>
      </w:pPr>
      <w:r w:rsidRPr="00095E29">
        <w:t xml:space="preserve">Meet with the resident or their legal representative to explain how the marketing </w:t>
      </w:r>
      <w:r>
        <w:t xml:space="preserve">of a retirement village unit is </w:t>
      </w:r>
      <w:r w:rsidRPr="00095E29">
        <w:t>different from a conventional property.</w:t>
      </w:r>
    </w:p>
    <w:p w:rsidR="00992D84" w:rsidRDefault="00992D84" w:rsidP="00FD0DA8">
      <w:pPr>
        <w:pStyle w:val="ListNumber"/>
      </w:pPr>
      <w:r>
        <w:t xml:space="preserve">If a </w:t>
      </w:r>
      <w:r w:rsidRPr="00095E29">
        <w:t>resident</w:t>
      </w:r>
      <w:r>
        <w:t xml:space="preserve"> has died</w:t>
      </w:r>
      <w:r w:rsidRPr="00095E29">
        <w:t xml:space="preserve">, tactfully </w:t>
      </w:r>
      <w:r>
        <w:t xml:space="preserve">advise their </w:t>
      </w:r>
      <w:r w:rsidRPr="00095E29">
        <w:t>family that delays will be reduced if an administrator is appointed</w:t>
      </w:r>
      <w:r>
        <w:t xml:space="preserve"> if the resident left </w:t>
      </w:r>
      <w:r w:rsidRPr="00095E29">
        <w:t xml:space="preserve">no will or, </w:t>
      </w:r>
      <w:r>
        <w:t xml:space="preserve">if </w:t>
      </w:r>
      <w:r w:rsidRPr="00095E29">
        <w:t>there is a will, if probate is obtained as soon as possible.</w:t>
      </w:r>
    </w:p>
    <w:p w:rsidR="00992D84" w:rsidRPr="00BE4D94" w:rsidRDefault="00992D84" w:rsidP="00FD0DA8">
      <w:pPr>
        <w:pStyle w:val="ListNumber"/>
      </w:pPr>
      <w:r w:rsidRPr="00095E29">
        <w:t xml:space="preserve">Consult with the resident or </w:t>
      </w:r>
      <w:r>
        <w:t xml:space="preserve">their </w:t>
      </w:r>
      <w:r w:rsidRPr="00095E29">
        <w:t xml:space="preserve">legal representative about measures to make the unit more marketable, such as </w:t>
      </w:r>
      <w:r>
        <w:t xml:space="preserve">inspections, </w:t>
      </w:r>
      <w:r w:rsidRPr="00095E29">
        <w:t>refurbishment or reinstatement (</w:t>
      </w:r>
      <w:r w:rsidRPr="005460AA">
        <w:t xml:space="preserve">see </w:t>
      </w:r>
      <w:hyperlink w:anchor="_Protocol_7:_Refurbishment" w:history="1">
        <w:r w:rsidRPr="00BE4D94">
          <w:rPr>
            <w:rStyle w:val="Hyperlink"/>
          </w:rPr>
          <w:t>Protocol 7: Refurbishment and reinstatement of units</w:t>
        </w:r>
      </w:hyperlink>
      <w:r w:rsidRPr="005460AA">
        <w:t xml:space="preserve"> on pag</w:t>
      </w:r>
      <w:r w:rsidRPr="00BE4D94">
        <w:t>e</w:t>
      </w:r>
      <w:r w:rsidR="00BE4D94" w:rsidRPr="00BE4D94">
        <w:t xml:space="preserve"> </w:t>
      </w:r>
      <w:r w:rsidR="00BE4D94" w:rsidRPr="00BE4D94">
        <w:fldChar w:fldCharType="begin"/>
      </w:r>
      <w:r w:rsidR="00BE4D94" w:rsidRPr="00BE4D94">
        <w:instrText xml:space="preserve"> PAGEREF _Ref526859394 \h </w:instrText>
      </w:r>
      <w:r w:rsidR="00BE4D94" w:rsidRPr="00BE4D94">
        <w:fldChar w:fldCharType="separate"/>
      </w:r>
      <w:r w:rsidR="00740E51">
        <w:rPr>
          <w:noProof/>
        </w:rPr>
        <w:t>16</w:t>
      </w:r>
      <w:r w:rsidR="00BE4D94" w:rsidRPr="00BE4D94">
        <w:fldChar w:fldCharType="end"/>
      </w:r>
      <w:r w:rsidRPr="00BE4D94">
        <w:t>).</w:t>
      </w:r>
    </w:p>
    <w:p w:rsidR="00992D84" w:rsidRPr="00095E29" w:rsidRDefault="00992D84" w:rsidP="00FD0DA8">
      <w:pPr>
        <w:pStyle w:val="Heading5"/>
      </w:pPr>
      <w:bookmarkStart w:id="114" w:name="_Toc516585704"/>
      <w:bookmarkStart w:id="115" w:name="_Toc516586414"/>
      <w:bookmarkStart w:id="116" w:name="_Toc516586490"/>
      <w:bookmarkStart w:id="117" w:name="_Toc525829696"/>
      <w:r w:rsidRPr="00095E29">
        <w:t xml:space="preserve">Setting a selling price – where </w:t>
      </w:r>
      <w:r>
        <w:t xml:space="preserve">the manager </w:t>
      </w:r>
      <w:r w:rsidRPr="00095E29">
        <w:t>set</w:t>
      </w:r>
      <w:r>
        <w:t>s</w:t>
      </w:r>
      <w:r w:rsidRPr="00095E29">
        <w:t xml:space="preserve"> the price</w:t>
      </w:r>
      <w:bookmarkEnd w:id="114"/>
      <w:bookmarkEnd w:id="115"/>
      <w:bookmarkEnd w:id="116"/>
      <w:bookmarkEnd w:id="117"/>
    </w:p>
    <w:p w:rsidR="00992D84" w:rsidRPr="00095E29" w:rsidRDefault="00992D84" w:rsidP="00992D84">
      <w:pPr>
        <w:pStyle w:val="BodyText"/>
      </w:pPr>
      <w:r w:rsidRPr="00095E29">
        <w:t>Good practice for manager</w:t>
      </w:r>
      <w:r>
        <w:t>s</w:t>
      </w:r>
      <w:r w:rsidRPr="00095E29">
        <w:t>:</w:t>
      </w:r>
    </w:p>
    <w:p w:rsidR="00992D84" w:rsidRPr="00095E29" w:rsidRDefault="00992D84" w:rsidP="00A13D76">
      <w:pPr>
        <w:pStyle w:val="ListNumber"/>
        <w:numPr>
          <w:ilvl w:val="0"/>
          <w:numId w:val="22"/>
        </w:numPr>
      </w:pPr>
      <w:r>
        <w:t xml:space="preserve">Write to the </w:t>
      </w:r>
      <w:r w:rsidRPr="00095E29">
        <w:t xml:space="preserve">resident or their legal representative </w:t>
      </w:r>
      <w:r>
        <w:t xml:space="preserve">explaining </w:t>
      </w:r>
      <w:r w:rsidRPr="00095E29">
        <w:t xml:space="preserve">the process </w:t>
      </w:r>
      <w:r>
        <w:t xml:space="preserve">used to determine </w:t>
      </w:r>
      <w:r w:rsidRPr="00095E29">
        <w:t>the value of the unit and the selling price</w:t>
      </w:r>
      <w:r>
        <w:t xml:space="preserve">, then meet </w:t>
      </w:r>
      <w:r w:rsidRPr="00095E29">
        <w:t>them to discuss any objections</w:t>
      </w:r>
      <w:r>
        <w:t xml:space="preserve">. Price </w:t>
      </w:r>
      <w:r w:rsidRPr="00095E29">
        <w:t>ranges for recent sales/leases of other units in the village should be included</w:t>
      </w:r>
      <w:r>
        <w:t xml:space="preserve">; this </w:t>
      </w:r>
      <w:r w:rsidRPr="00095E29">
        <w:t xml:space="preserve">can </w:t>
      </w:r>
      <w:r>
        <w:t xml:space="preserve">help manage the </w:t>
      </w:r>
      <w:r w:rsidRPr="00095E29">
        <w:t>expectations</w:t>
      </w:r>
      <w:r>
        <w:t xml:space="preserve"> of residents or their families</w:t>
      </w:r>
      <w:r w:rsidRPr="00095E29">
        <w:t>.</w:t>
      </w:r>
    </w:p>
    <w:p w:rsidR="00992D84" w:rsidRPr="00095E29" w:rsidRDefault="00992D84" w:rsidP="00FD0DA8">
      <w:pPr>
        <w:pStyle w:val="ListNumber"/>
      </w:pPr>
      <w:r w:rsidRPr="00095E29">
        <w:t xml:space="preserve">If objections cannot be resolved, </w:t>
      </w:r>
      <w:r>
        <w:t xml:space="preserve">let </w:t>
      </w:r>
      <w:r w:rsidRPr="00095E29">
        <w:t xml:space="preserve">the resident or their legal representative obtain their own valuation, or </w:t>
      </w:r>
      <w:r>
        <w:t xml:space="preserve">agree </w:t>
      </w:r>
      <w:r w:rsidRPr="00095E29">
        <w:t>on a process for valuing the unit and setting the price.</w:t>
      </w:r>
    </w:p>
    <w:p w:rsidR="002737DF" w:rsidRPr="002737DF" w:rsidRDefault="002737DF" w:rsidP="002737DF">
      <w:pPr>
        <w:pStyle w:val="BodyText"/>
      </w:pPr>
      <w:r w:rsidRPr="002737DF">
        <w:br w:type="page"/>
      </w:r>
    </w:p>
    <w:p w:rsidR="00992D84" w:rsidRPr="00095E29" w:rsidRDefault="00992D84" w:rsidP="00FD0DA8">
      <w:pPr>
        <w:pStyle w:val="ListNumber"/>
      </w:pPr>
      <w:r w:rsidRPr="00095E29">
        <w:lastRenderedPageBreak/>
        <w:t>When the price is agreed:</w:t>
      </w:r>
    </w:p>
    <w:p w:rsidR="00992D84" w:rsidRPr="00095E29" w:rsidRDefault="00992D84" w:rsidP="00FD0DA8">
      <w:pPr>
        <w:pStyle w:val="ListBullet3"/>
      </w:pPr>
      <w:r w:rsidRPr="00095E29">
        <w:t>advise the resident or their legal representative as soon as possible in writing</w:t>
      </w:r>
    </w:p>
    <w:p w:rsidR="00992D84" w:rsidRDefault="00992D84" w:rsidP="00FD0DA8">
      <w:pPr>
        <w:pStyle w:val="ListBullet3"/>
      </w:pPr>
      <w:r w:rsidRPr="00095E29">
        <w:t>include an explanation of any difference between the selling price and any valuation or estimation</w:t>
      </w:r>
    </w:p>
    <w:p w:rsidR="00992D84" w:rsidRDefault="00992D84" w:rsidP="00FD0DA8">
      <w:pPr>
        <w:pStyle w:val="ListBullet3"/>
      </w:pPr>
      <w:r>
        <w:t xml:space="preserve">detail </w:t>
      </w:r>
      <w:r w:rsidRPr="00095E29">
        <w:t>the resident’s exit entitlement for each proposed selling price.</w:t>
      </w:r>
    </w:p>
    <w:p w:rsidR="00992D84" w:rsidRPr="00095E29" w:rsidRDefault="00992D84" w:rsidP="00FD0DA8">
      <w:pPr>
        <w:pStyle w:val="Heading5"/>
      </w:pPr>
      <w:bookmarkStart w:id="118" w:name="_Toc516585705"/>
      <w:bookmarkStart w:id="119" w:name="_Toc516586415"/>
      <w:bookmarkStart w:id="120" w:name="_Toc516586491"/>
      <w:bookmarkStart w:id="121" w:name="_Toc525829697"/>
      <w:r w:rsidRPr="00095E29">
        <w:t xml:space="preserve">Setting a selling price – </w:t>
      </w:r>
      <w:r>
        <w:t xml:space="preserve">where </w:t>
      </w:r>
      <w:r w:rsidRPr="00095E29">
        <w:t>the resident sets the price</w:t>
      </w:r>
      <w:bookmarkEnd w:id="118"/>
      <w:bookmarkEnd w:id="119"/>
      <w:bookmarkEnd w:id="120"/>
      <w:bookmarkEnd w:id="121"/>
    </w:p>
    <w:p w:rsidR="00992D84" w:rsidRPr="00095E29" w:rsidRDefault="00992D84" w:rsidP="00992D84">
      <w:pPr>
        <w:pStyle w:val="BodyText"/>
      </w:pPr>
      <w:r w:rsidRPr="00095E29">
        <w:t>Good practice for manager</w:t>
      </w:r>
      <w:r>
        <w:t>s:</w:t>
      </w:r>
    </w:p>
    <w:p w:rsidR="00992D84" w:rsidRPr="00095E29" w:rsidRDefault="00992D84" w:rsidP="00A13D76">
      <w:pPr>
        <w:pStyle w:val="ListNumber"/>
        <w:numPr>
          <w:ilvl w:val="0"/>
          <w:numId w:val="23"/>
        </w:numPr>
      </w:pPr>
      <w:r w:rsidRPr="00095E29">
        <w:t>Consult the resident or their legal representative about what reasonable time they need, including to obtain a valuation.</w:t>
      </w:r>
    </w:p>
    <w:p w:rsidR="00992D84" w:rsidRPr="00095E29" w:rsidRDefault="00992D84" w:rsidP="00FD0DA8">
      <w:pPr>
        <w:pStyle w:val="ListNumber"/>
      </w:pPr>
      <w:r w:rsidRPr="00095E29">
        <w:t xml:space="preserve">Provide details of price ranges for recent sales/leases of other units in the village, noting that the eventual price is dependent upon market forces, </w:t>
      </w:r>
      <w:proofErr w:type="gramStart"/>
      <w:r w:rsidRPr="00095E29">
        <w:t>and also</w:t>
      </w:r>
      <w:proofErr w:type="gramEnd"/>
      <w:r w:rsidRPr="00095E29">
        <w:t xml:space="preserve"> set out in writing the resident’s exit entitlement for each proposed selling price.</w:t>
      </w:r>
    </w:p>
    <w:p w:rsidR="00992D84" w:rsidRPr="00095E29" w:rsidRDefault="00992D84" w:rsidP="00FD0DA8">
      <w:pPr>
        <w:pStyle w:val="Heading5"/>
      </w:pPr>
      <w:bookmarkStart w:id="122" w:name="_Toc516585706"/>
      <w:bookmarkStart w:id="123" w:name="_Toc516586416"/>
      <w:bookmarkStart w:id="124" w:name="_Toc516586492"/>
      <w:bookmarkStart w:id="125" w:name="_Toc525829698"/>
      <w:r w:rsidRPr="00095E29">
        <w:t>Selecting a selling agent</w:t>
      </w:r>
      <w:bookmarkEnd w:id="122"/>
      <w:bookmarkEnd w:id="123"/>
      <w:bookmarkEnd w:id="124"/>
      <w:bookmarkEnd w:id="125"/>
    </w:p>
    <w:p w:rsidR="00992D84" w:rsidRPr="00095E29" w:rsidRDefault="00992D84" w:rsidP="00FD0DA8">
      <w:pPr>
        <w:pStyle w:val="BodyText"/>
      </w:pPr>
      <w:r w:rsidRPr="00095E29">
        <w:t>Good practice for manager</w:t>
      </w:r>
      <w:r>
        <w:t>s</w:t>
      </w:r>
      <w:r w:rsidRPr="00095E29">
        <w:t>:</w:t>
      </w:r>
    </w:p>
    <w:p w:rsidR="00992D84" w:rsidRDefault="00992D84" w:rsidP="00A13D76">
      <w:pPr>
        <w:pStyle w:val="ListNumber"/>
        <w:numPr>
          <w:ilvl w:val="0"/>
          <w:numId w:val="24"/>
        </w:numPr>
      </w:pPr>
      <w:r>
        <w:t xml:space="preserve">Consult </w:t>
      </w:r>
      <w:r w:rsidRPr="00095E29">
        <w:t>the resident or their legal representative about selecting an agent, the timelines for selling/leasing the unit, how offers will be dealt with, and the reporting process.</w:t>
      </w:r>
    </w:p>
    <w:p w:rsidR="00992D84" w:rsidRPr="00095E29" w:rsidRDefault="00992D84" w:rsidP="00FD0DA8">
      <w:pPr>
        <w:pStyle w:val="ListNumber"/>
      </w:pPr>
      <w:r w:rsidRPr="00095E29">
        <w:t>If the manager proposes to be the agent or to nominate one, advise the resident or their legal representative in writing</w:t>
      </w:r>
      <w:r>
        <w:t xml:space="preserve"> about</w:t>
      </w:r>
      <w:r w:rsidRPr="00095E29">
        <w:t>:</w:t>
      </w:r>
    </w:p>
    <w:p w:rsidR="00992D84" w:rsidRPr="00095E29" w:rsidRDefault="00992D84" w:rsidP="00FD0DA8">
      <w:pPr>
        <w:pStyle w:val="ListBullet3"/>
      </w:pPr>
      <w:r w:rsidRPr="00095E29">
        <w:t>the reasons why this is p</w:t>
      </w:r>
      <w:r w:rsidR="009E08A0">
        <w:t>referable to appointing a third-</w:t>
      </w:r>
      <w:r w:rsidRPr="00095E29">
        <w:t>party agent</w:t>
      </w:r>
    </w:p>
    <w:p w:rsidR="00992D84" w:rsidRPr="00095E29" w:rsidRDefault="00992D84" w:rsidP="00FD0DA8">
      <w:pPr>
        <w:pStyle w:val="ListBullet3"/>
      </w:pPr>
      <w:r w:rsidRPr="00095E29">
        <w:t>the proposed timelines for selling/leasing</w:t>
      </w:r>
    </w:p>
    <w:p w:rsidR="00992D84" w:rsidRPr="00095E29" w:rsidRDefault="00992D84" w:rsidP="00FD0DA8">
      <w:pPr>
        <w:pStyle w:val="ListBullet3"/>
      </w:pPr>
      <w:r w:rsidRPr="00095E29">
        <w:t>the proposed process for keeping them informed of progress</w:t>
      </w:r>
    </w:p>
    <w:p w:rsidR="00992D84" w:rsidRPr="00095E29" w:rsidRDefault="00992D84" w:rsidP="00FD0DA8">
      <w:pPr>
        <w:pStyle w:val="ListBullet3"/>
      </w:pPr>
      <w:r w:rsidRPr="00095E29">
        <w:t>the proposed process for dealing with offers (if the manager has the power to accept or reject offers, this should include that the manager will not refuse an offer unreasonably)</w:t>
      </w:r>
    </w:p>
    <w:p w:rsidR="00992D84" w:rsidRPr="00095E29" w:rsidRDefault="00992D84" w:rsidP="00FD0DA8">
      <w:pPr>
        <w:pStyle w:val="ListBullet3"/>
      </w:pPr>
      <w:r w:rsidRPr="00095E29">
        <w:t>the manager’s undertaking to use all reasonable endeavours to re-sell/re-lease the unit and not to impose unreasonable charges</w:t>
      </w:r>
    </w:p>
    <w:p w:rsidR="00992D84" w:rsidRPr="00095E29" w:rsidRDefault="00992D84" w:rsidP="00FD0DA8">
      <w:pPr>
        <w:pStyle w:val="ListBullet3"/>
      </w:pPr>
      <w:r w:rsidRPr="00095E29">
        <w:t xml:space="preserve">the manager’s conduct </w:t>
      </w:r>
      <w:r>
        <w:t xml:space="preserve">being </w:t>
      </w:r>
      <w:r w:rsidRPr="00095E29">
        <w:t>regulated by the Estate Agents Act 1980 and regulations (where applicable).</w:t>
      </w:r>
    </w:p>
    <w:p w:rsidR="00992D84" w:rsidRPr="00095E29" w:rsidRDefault="00992D84" w:rsidP="00FD0DA8">
      <w:pPr>
        <w:pStyle w:val="ListNumber"/>
      </w:pPr>
      <w:r w:rsidRPr="00095E29">
        <w:t>If the resident or their legal representative engages their own agent, not to interfere with the sale/lease or request a commission</w:t>
      </w:r>
      <w:r>
        <w:t xml:space="preserve">. Note that </w:t>
      </w:r>
      <w:r w:rsidRPr="00095E29">
        <w:t>the resident/legal representative should provide reasonable information if the manager requests it.</w:t>
      </w:r>
    </w:p>
    <w:p w:rsidR="00992D84" w:rsidRPr="00095E29" w:rsidRDefault="00992D84" w:rsidP="00A13D76">
      <w:pPr>
        <w:pStyle w:val="Heading5"/>
      </w:pPr>
      <w:bookmarkStart w:id="126" w:name="_Toc516585707"/>
      <w:bookmarkStart w:id="127" w:name="_Toc516586417"/>
      <w:bookmarkStart w:id="128" w:name="_Toc516586493"/>
      <w:bookmarkStart w:id="129" w:name="_Toc525829699"/>
      <w:r w:rsidRPr="00095E29">
        <w:t>Advertising/marketing: general</w:t>
      </w:r>
      <w:bookmarkEnd w:id="126"/>
      <w:bookmarkEnd w:id="127"/>
      <w:bookmarkEnd w:id="128"/>
      <w:bookmarkEnd w:id="129"/>
    </w:p>
    <w:p w:rsidR="00992D84" w:rsidRPr="00095E29" w:rsidRDefault="00992D84" w:rsidP="00992D84">
      <w:pPr>
        <w:pStyle w:val="BodyText"/>
      </w:pPr>
      <w:r w:rsidRPr="00095E29">
        <w:t xml:space="preserve">If the manager or </w:t>
      </w:r>
      <w:r>
        <w:t xml:space="preserve">their </w:t>
      </w:r>
      <w:r w:rsidRPr="00095E29">
        <w:t>agent is handling the advertising and marketing, good practice is:</w:t>
      </w:r>
    </w:p>
    <w:p w:rsidR="00992D84" w:rsidRPr="00095E29" w:rsidRDefault="00992D84" w:rsidP="00A13D76">
      <w:pPr>
        <w:pStyle w:val="ListNumber"/>
        <w:numPr>
          <w:ilvl w:val="0"/>
          <w:numId w:val="25"/>
        </w:numPr>
      </w:pPr>
      <w:r w:rsidRPr="00095E29">
        <w:t>To consult the resident or their legal representative about how much the advertising will focus on the village and on the unit; and to explain the advertising schedule, the media and marketing strategy</w:t>
      </w:r>
      <w:r>
        <w:t xml:space="preserve"> </w:t>
      </w:r>
      <w:r w:rsidRPr="00095E29">
        <w:t>and the cost, including the resident’s share.</w:t>
      </w:r>
    </w:p>
    <w:p w:rsidR="00992D84" w:rsidRPr="00095E29" w:rsidRDefault="00992D84" w:rsidP="00A13D76">
      <w:pPr>
        <w:pStyle w:val="ListNumber"/>
      </w:pPr>
      <w:r w:rsidRPr="00095E29">
        <w:t>When the proposals are finalised, to advise the resident or their legal representative in writing.</w:t>
      </w:r>
    </w:p>
    <w:p w:rsidR="00992D84" w:rsidRDefault="00992D84" w:rsidP="00A13D76">
      <w:pPr>
        <w:pStyle w:val="ListNumber"/>
      </w:pPr>
      <w:r w:rsidRPr="00095E29">
        <w:t xml:space="preserve">If the manager proposes a marketing strategy that prioritises certain units for sale, </w:t>
      </w:r>
      <w:r>
        <w:t xml:space="preserve">ensure that </w:t>
      </w:r>
      <w:r w:rsidRPr="00095E29">
        <w:t xml:space="preserve">the document </w:t>
      </w:r>
      <w:r>
        <w:t xml:space="preserve">explains </w:t>
      </w:r>
      <w:r w:rsidRPr="00095E29">
        <w:t>the reasons for this.</w:t>
      </w:r>
    </w:p>
    <w:p w:rsidR="000A6040" w:rsidRPr="000A6040" w:rsidRDefault="000A6040" w:rsidP="000A6040">
      <w:pPr>
        <w:pStyle w:val="BodyText"/>
      </w:pPr>
      <w:bookmarkStart w:id="130" w:name="_Toc516585708"/>
      <w:bookmarkStart w:id="131" w:name="_Toc516586418"/>
      <w:bookmarkStart w:id="132" w:name="_Toc516586494"/>
      <w:bookmarkStart w:id="133" w:name="_Toc525829700"/>
      <w:r w:rsidRPr="000A6040">
        <w:br w:type="page"/>
      </w:r>
    </w:p>
    <w:p w:rsidR="00992D84" w:rsidRPr="00095E29" w:rsidRDefault="00992D84" w:rsidP="00A13D76">
      <w:pPr>
        <w:pStyle w:val="Heading5"/>
      </w:pPr>
      <w:r w:rsidRPr="00095E29">
        <w:lastRenderedPageBreak/>
        <w:t>Advertising/marketing: hard-to-sell units</w:t>
      </w:r>
      <w:bookmarkEnd w:id="130"/>
      <w:bookmarkEnd w:id="131"/>
      <w:bookmarkEnd w:id="132"/>
      <w:bookmarkEnd w:id="133"/>
    </w:p>
    <w:p w:rsidR="00992D84" w:rsidRPr="00095E29" w:rsidRDefault="00992D84" w:rsidP="00A13D76">
      <w:pPr>
        <w:pStyle w:val="BodyText"/>
      </w:pPr>
      <w:r>
        <w:t>If the unit is proving hard to sell</w:t>
      </w:r>
      <w:r w:rsidRPr="00095E29">
        <w:t xml:space="preserve">, good practice is </w:t>
      </w:r>
      <w:r>
        <w:t>for the manager:</w:t>
      </w:r>
    </w:p>
    <w:p w:rsidR="00992D84" w:rsidRPr="00095E29" w:rsidRDefault="00992D84" w:rsidP="00E95AD6">
      <w:pPr>
        <w:pStyle w:val="ListNumber"/>
        <w:numPr>
          <w:ilvl w:val="0"/>
          <w:numId w:val="28"/>
        </w:numPr>
      </w:pPr>
      <w:r>
        <w:t xml:space="preserve">To continue to </w:t>
      </w:r>
      <w:r w:rsidRPr="00095E29">
        <w:t xml:space="preserve">engage with the resident, their legal representative or their family, </w:t>
      </w:r>
      <w:r>
        <w:t xml:space="preserve">even if there are </w:t>
      </w:r>
      <w:r w:rsidRPr="00095E29">
        <w:t>increasing difficulties and complaints.</w:t>
      </w:r>
    </w:p>
    <w:p w:rsidR="00992D84" w:rsidRPr="00095E29" w:rsidRDefault="00992D84" w:rsidP="00A13D76">
      <w:pPr>
        <w:pStyle w:val="ListNumber"/>
      </w:pPr>
      <w:r w:rsidRPr="00095E29">
        <w:t>Confront problems at an early stage.</w:t>
      </w:r>
    </w:p>
    <w:p w:rsidR="00992D84" w:rsidRPr="00095E29" w:rsidRDefault="00992D84" w:rsidP="00A13D76">
      <w:pPr>
        <w:pStyle w:val="ListNumber"/>
      </w:pPr>
      <w:r w:rsidRPr="00095E29">
        <w:t xml:space="preserve">Ensure that marketing updates </w:t>
      </w:r>
      <w:r>
        <w:t xml:space="preserve">cover what charges will continue to be levied and for how long </w:t>
      </w:r>
      <w:r w:rsidRPr="00095E29">
        <w:t xml:space="preserve">(see </w:t>
      </w:r>
      <w:hyperlink w:anchor="_Protocol_6:_Ongoing" w:history="1">
        <w:r w:rsidRPr="00690AA8">
          <w:rPr>
            <w:rStyle w:val="Hyperlink"/>
          </w:rPr>
          <w:t>Protocol 6: Ongoing charges after a resident leaves</w:t>
        </w:r>
      </w:hyperlink>
      <w:r w:rsidR="00690AA8">
        <w:t xml:space="preserve"> on page </w:t>
      </w:r>
      <w:r w:rsidR="00690AA8">
        <w:fldChar w:fldCharType="begin"/>
      </w:r>
      <w:r w:rsidR="00690AA8">
        <w:instrText xml:space="preserve"> PAGEREF _Ref526859449 \h </w:instrText>
      </w:r>
      <w:r w:rsidR="00690AA8">
        <w:fldChar w:fldCharType="separate"/>
      </w:r>
      <w:r w:rsidR="00740E51">
        <w:rPr>
          <w:noProof/>
        </w:rPr>
        <w:t>15</w:t>
      </w:r>
      <w:r w:rsidR="00690AA8">
        <w:fldChar w:fldCharType="end"/>
      </w:r>
      <w:r w:rsidRPr="00095E29">
        <w:t>).</w:t>
      </w:r>
    </w:p>
    <w:p w:rsidR="00992D84" w:rsidRPr="00095E29" w:rsidRDefault="00992D84" w:rsidP="00A13D76">
      <w:pPr>
        <w:pStyle w:val="ListNumber"/>
      </w:pPr>
      <w:r w:rsidRPr="00095E29">
        <w:t xml:space="preserve">Set dates </w:t>
      </w:r>
      <w:r>
        <w:t xml:space="preserve">to discuss the marketing strategy </w:t>
      </w:r>
      <w:r w:rsidRPr="00095E29">
        <w:t>with the resident or their legal representative</w:t>
      </w:r>
      <w:r>
        <w:t>.</w:t>
      </w:r>
    </w:p>
    <w:p w:rsidR="00992D84" w:rsidRDefault="00992D84" w:rsidP="00A13D76">
      <w:pPr>
        <w:pStyle w:val="ListNumber"/>
      </w:pPr>
      <w:r>
        <w:t xml:space="preserve">Consider </w:t>
      </w:r>
      <w:r w:rsidRPr="00095E29">
        <w:t>the pros</w:t>
      </w:r>
      <w:r>
        <w:t xml:space="preserve">, </w:t>
      </w:r>
      <w:r w:rsidRPr="00095E29">
        <w:t xml:space="preserve">cons </w:t>
      </w:r>
      <w:r>
        <w:t xml:space="preserve">and timing </w:t>
      </w:r>
      <w:r w:rsidRPr="00095E29">
        <w:t>of handing control to the resident or their legal representative</w:t>
      </w:r>
      <w:r>
        <w:t xml:space="preserve"> </w:t>
      </w:r>
      <w:r w:rsidRPr="00095E29">
        <w:t>(including setting the selling price and advice on advertising costs)</w:t>
      </w:r>
      <w:r>
        <w:t xml:space="preserve">; </w:t>
      </w:r>
      <w:r w:rsidRPr="00095E29">
        <w:t>or engag</w:t>
      </w:r>
      <w:r>
        <w:t xml:space="preserve">ing </w:t>
      </w:r>
      <w:r w:rsidRPr="00095E29">
        <w:t xml:space="preserve">a </w:t>
      </w:r>
      <w:proofErr w:type="gramStart"/>
      <w:r w:rsidRPr="00095E29">
        <w:t>third party</w:t>
      </w:r>
      <w:proofErr w:type="gramEnd"/>
      <w:r w:rsidRPr="00095E29">
        <w:t xml:space="preserve"> agent.</w:t>
      </w:r>
    </w:p>
    <w:p w:rsidR="00FC5793" w:rsidRPr="00FC5793" w:rsidRDefault="00FC5793" w:rsidP="00FC5793">
      <w:pPr>
        <w:pStyle w:val="BodyText"/>
      </w:pPr>
      <w:bookmarkStart w:id="134" w:name="_Toc515266574"/>
      <w:bookmarkStart w:id="135" w:name="_Toc516585709"/>
      <w:bookmarkStart w:id="136" w:name="_Toc516586419"/>
      <w:bookmarkStart w:id="137" w:name="_Toc516586495"/>
      <w:bookmarkStart w:id="138" w:name="_Toc525829701"/>
      <w:r w:rsidRPr="00FC5793">
        <w:br w:type="page"/>
      </w:r>
    </w:p>
    <w:p w:rsidR="00992D84" w:rsidRDefault="00992D84" w:rsidP="001619CD">
      <w:pPr>
        <w:pStyle w:val="Heading3"/>
      </w:pPr>
      <w:bookmarkStart w:id="139" w:name="_Protocol_6:_Ongoing"/>
      <w:bookmarkStart w:id="140" w:name="_Ref526859449"/>
      <w:bookmarkStart w:id="141" w:name="_Toc527120884"/>
      <w:bookmarkEnd w:id="139"/>
      <w:r w:rsidRPr="00095E29">
        <w:lastRenderedPageBreak/>
        <w:t xml:space="preserve">Protocol 6: Ongoing charges after </w:t>
      </w:r>
      <w:proofErr w:type="gramStart"/>
      <w:r w:rsidRPr="00095E29">
        <w:t>a resident leaves</w:t>
      </w:r>
      <w:bookmarkEnd w:id="134"/>
      <w:bookmarkEnd w:id="135"/>
      <w:bookmarkEnd w:id="136"/>
      <w:bookmarkEnd w:id="137"/>
      <w:bookmarkEnd w:id="138"/>
      <w:bookmarkEnd w:id="140"/>
      <w:bookmarkEnd w:id="141"/>
      <w:proofErr w:type="gramEnd"/>
    </w:p>
    <w:p w:rsidR="00992D84" w:rsidRPr="009E4D46" w:rsidRDefault="00992D84" w:rsidP="009E4D46">
      <w:pPr>
        <w:pStyle w:val="BodyText"/>
      </w:pPr>
      <w:r w:rsidRPr="00095E29">
        <w:t xml:space="preserve">The residence or management contract </w:t>
      </w:r>
      <w:r>
        <w:t xml:space="preserve">details the </w:t>
      </w:r>
      <w:r w:rsidRPr="00095E29">
        <w:t xml:space="preserve">charges </w:t>
      </w:r>
      <w:r>
        <w:t xml:space="preserve">residents will have to pay </w:t>
      </w:r>
      <w:r w:rsidRPr="00095E29">
        <w:t xml:space="preserve">after vacating the unit </w:t>
      </w:r>
      <w:r>
        <w:t xml:space="preserve">until it </w:t>
      </w:r>
      <w:r w:rsidRPr="00095E29">
        <w:t xml:space="preserve">is re-sold or re-leased. </w:t>
      </w:r>
      <w:r>
        <w:t>How long residents</w:t>
      </w:r>
      <w:r w:rsidRPr="009E4D46">
        <w:t xml:space="preserve"> can continue to be charged will also depend on whether the contract was </w:t>
      </w:r>
      <w:proofErr w:type="gramStart"/>
      <w:r w:rsidRPr="009E4D46">
        <w:t>entered into</w:t>
      </w:r>
      <w:proofErr w:type="gramEnd"/>
      <w:r w:rsidRPr="009E4D46">
        <w:t xml:space="preserve"> before or after 30 January 2006. You can read more about this in </w:t>
      </w:r>
      <w:r w:rsidR="007D5E94" w:rsidRPr="00DD7E36">
        <w:rPr>
          <w:rStyle w:val="Emphasis"/>
        </w:rPr>
        <w:t>Retirement villages: good practice to address key issues</w:t>
      </w:r>
      <w:r w:rsidR="007D5E94">
        <w:t xml:space="preserve">, </w:t>
      </w:r>
      <w:r w:rsidR="007D5E94" w:rsidRPr="00095E29">
        <w:t>available</w:t>
      </w:r>
      <w:r w:rsidR="00B65F7E">
        <w:t xml:space="preserve"> at</w:t>
      </w:r>
      <w:r w:rsidR="00B65F7E" w:rsidRPr="00650F37">
        <w:t xml:space="preserve"> </w:t>
      </w:r>
      <w:hyperlink r:id="rId15" w:history="1">
        <w:r w:rsidR="00B65F7E" w:rsidRPr="00650F37">
          <w:rPr>
            <w:rStyle w:val="Hyperlink"/>
          </w:rPr>
          <w:t>Consumer Affairs Victoria</w:t>
        </w:r>
        <w:r w:rsidR="00B65F7E">
          <w:rPr>
            <w:rStyle w:val="Hyperlink"/>
          </w:rPr>
          <w:t xml:space="preserve"> – Good practice protocols</w:t>
        </w:r>
      </w:hyperlink>
      <w:r w:rsidR="00B65F7E" w:rsidRPr="00650F37">
        <w:t xml:space="preserve"> &lt;consumer.vic.gov.au</w:t>
      </w:r>
      <w:r w:rsidR="00B65F7E">
        <w:t>/</w:t>
      </w:r>
      <w:proofErr w:type="spellStart"/>
      <w:r w:rsidR="00B65F7E" w:rsidRPr="004829FE">
        <w:t>rvgoodpractice</w:t>
      </w:r>
      <w:proofErr w:type="spellEnd"/>
      <w:r w:rsidR="00B65F7E">
        <w:t>&gt;</w:t>
      </w:r>
      <w:r w:rsidRPr="009E4D46">
        <w:t>.</w:t>
      </w:r>
    </w:p>
    <w:p w:rsidR="00992D84" w:rsidRPr="009E4D46" w:rsidRDefault="00992D84" w:rsidP="009E4D46">
      <w:pPr>
        <w:pStyle w:val="BodyText"/>
      </w:pPr>
      <w:r w:rsidRPr="009E4D46">
        <w:t>Issues about ongoing charges can sometimes arise at a difficult and emotional time, especially if the unit is taking some time to sell or re-lease and residents or their families are not aware that the contract permits ongoing charges. Concerns can be heightened if the exit entitlement is needed to fund the resident’s move to an aged care facility, or it forms part of an inheritance.</w:t>
      </w:r>
    </w:p>
    <w:p w:rsidR="00992D84" w:rsidRPr="00095E29" w:rsidRDefault="00992D84" w:rsidP="009E4D46">
      <w:pPr>
        <w:pStyle w:val="BodyText"/>
      </w:pPr>
      <w:r w:rsidRPr="009E4D46">
        <w:t xml:space="preserve">For managers, the issue is that village overheads continue to be payable and may not vary or may vary only marginally with the level of the village occupancy. For the other residents of a village, particularly a loan-licence village, the issues </w:t>
      </w:r>
      <w:proofErr w:type="gramStart"/>
      <w:r w:rsidRPr="009E4D46">
        <w:t>is</w:t>
      </w:r>
      <w:proofErr w:type="gramEnd"/>
      <w:r w:rsidRPr="009E4D46">
        <w:t xml:space="preserve"> the equitable sharing of the</w:t>
      </w:r>
      <w:r>
        <w:t xml:space="preserve"> burden of these costs between outgoing and ongoing </w:t>
      </w:r>
      <w:r w:rsidR="0004256E">
        <w:t>residents</w:t>
      </w:r>
      <w:r>
        <w:t xml:space="preserve">. In aiming to balance these interests </w:t>
      </w:r>
      <w:r w:rsidRPr="00095E29">
        <w:t>Managers are encouraged to adopt the following protocol.</w:t>
      </w:r>
    </w:p>
    <w:p w:rsidR="00992D84" w:rsidRPr="00095E29" w:rsidRDefault="00992D84" w:rsidP="009E4D46">
      <w:pPr>
        <w:pStyle w:val="Heading4"/>
      </w:pPr>
      <w:bookmarkStart w:id="142" w:name="_Toc516585710"/>
      <w:r w:rsidRPr="00095E29">
        <w:t>Protocol</w:t>
      </w:r>
      <w:bookmarkEnd w:id="142"/>
    </w:p>
    <w:p w:rsidR="00992D84" w:rsidRPr="00095E29" w:rsidRDefault="00992D84" w:rsidP="009E4D46">
      <w:pPr>
        <w:pStyle w:val="BodyText"/>
      </w:pPr>
      <w:r w:rsidRPr="00095E29">
        <w:t>Good practice for manager</w:t>
      </w:r>
      <w:r>
        <w:t>s</w:t>
      </w:r>
      <w:r w:rsidRPr="00095E29">
        <w:t>:</w:t>
      </w:r>
    </w:p>
    <w:p w:rsidR="00992D84" w:rsidRPr="009B0C54" w:rsidRDefault="00992D84" w:rsidP="009E4D46">
      <w:pPr>
        <w:pStyle w:val="ListNumber"/>
        <w:numPr>
          <w:ilvl w:val="0"/>
          <w:numId w:val="26"/>
        </w:numPr>
      </w:pPr>
      <w:r w:rsidRPr="00095E29">
        <w:t xml:space="preserve">As soon as possible after </w:t>
      </w:r>
      <w:r>
        <w:t xml:space="preserve">receiving </w:t>
      </w:r>
      <w:r w:rsidRPr="00095E29">
        <w:t>advice of a resident’s intention to vacate</w:t>
      </w:r>
      <w:r>
        <w:t xml:space="preserve">, </w:t>
      </w:r>
      <w:r w:rsidRPr="00095E29">
        <w:t>or of their death, meet with the resident or their legal representative about marketing strategies (s</w:t>
      </w:r>
      <w:r w:rsidRPr="009B0C54">
        <w:t xml:space="preserve">ee </w:t>
      </w:r>
      <w:hyperlink w:anchor="_Protocol_5:_Marketing" w:history="1">
        <w:r w:rsidRPr="009B0C54">
          <w:rPr>
            <w:rStyle w:val="Hyperlink"/>
          </w:rPr>
          <w:t>Protocol 5: Marketing procedures for a unit when a resident leaves</w:t>
        </w:r>
      </w:hyperlink>
      <w:r w:rsidR="009B0C54" w:rsidRPr="009B0C54">
        <w:t xml:space="preserve"> on page </w:t>
      </w:r>
      <w:r w:rsidR="009B0C54">
        <w:fldChar w:fldCharType="begin"/>
      </w:r>
      <w:r w:rsidR="009B0C54">
        <w:instrText xml:space="preserve"> PAGEREF _Ref526859527 \h </w:instrText>
      </w:r>
      <w:r w:rsidR="009B0C54">
        <w:fldChar w:fldCharType="separate"/>
      </w:r>
      <w:r w:rsidR="00740E51">
        <w:rPr>
          <w:noProof/>
        </w:rPr>
        <w:t>12</w:t>
      </w:r>
      <w:r w:rsidR="009B0C54">
        <w:fldChar w:fldCharType="end"/>
      </w:r>
      <w:r w:rsidRPr="009B0C54">
        <w:t>).</w:t>
      </w:r>
    </w:p>
    <w:p w:rsidR="00992D84" w:rsidRPr="00095E29" w:rsidRDefault="00992D84" w:rsidP="009E4D46">
      <w:pPr>
        <w:pStyle w:val="ListNumber"/>
      </w:pPr>
      <w:r w:rsidRPr="00095E29">
        <w:t xml:space="preserve">At that meeting, advise what charges </w:t>
      </w:r>
      <w:r>
        <w:t xml:space="preserve">are </w:t>
      </w:r>
      <w:r w:rsidRPr="00095E29">
        <w:t>pay</w:t>
      </w:r>
      <w:r>
        <w:t xml:space="preserve">able </w:t>
      </w:r>
      <w:r w:rsidRPr="00095E29">
        <w:t>and for how long (this should be followed up with written confirmation of all charges</w:t>
      </w:r>
      <w:r>
        <w:t xml:space="preserve">. If </w:t>
      </w:r>
      <w:r w:rsidRPr="00095E29">
        <w:t>owners corporation fees and village charges have previously been rolled together, they should be separated out into their components).</w:t>
      </w:r>
    </w:p>
    <w:p w:rsidR="00992D84" w:rsidRPr="00095E29" w:rsidRDefault="00992D84" w:rsidP="009E4D46">
      <w:pPr>
        <w:pStyle w:val="ListNumber"/>
      </w:pPr>
      <w:r w:rsidRPr="00095E29">
        <w:t>When a unit is proving difficult to sell and ongoing charges are accumulating, consider alternative solutions and strategies and/or discuss the issue with higher management</w:t>
      </w:r>
      <w:r>
        <w:t xml:space="preserve">. Advise </w:t>
      </w:r>
      <w:r w:rsidRPr="00095E29">
        <w:t>the resident or their legal representative of any such change in direction.</w:t>
      </w:r>
    </w:p>
    <w:p w:rsidR="00992D84" w:rsidRPr="00095E29" w:rsidRDefault="00992D84" w:rsidP="009E4D46">
      <w:pPr>
        <w:pStyle w:val="ListNumber"/>
      </w:pPr>
      <w:r w:rsidRPr="00095E29">
        <w:t>When a resident is under a contract not subject to statutory limits on the length of time they must pay ongoing village maintenance charges and personal services fees, consider treating the resident as if they did have those protections.</w:t>
      </w:r>
    </w:p>
    <w:p w:rsidR="00992D84" w:rsidRPr="00095E29" w:rsidRDefault="00992D84" w:rsidP="009E4D46">
      <w:pPr>
        <w:pStyle w:val="ListNumber"/>
      </w:pPr>
      <w:r w:rsidRPr="00095E29">
        <w:t>For all residents paying ongoing charges, consider an open offer to the resident or their legal representative to defer the payment, or further payment, of charges until resale or re-lease, and deduct them from the sale proceeds or exit entitlement.</w:t>
      </w:r>
    </w:p>
    <w:p w:rsidR="00992D84" w:rsidRDefault="00992D84" w:rsidP="009E4D46">
      <w:pPr>
        <w:pStyle w:val="ListNumber"/>
      </w:pPr>
      <w:r>
        <w:t>P</w:t>
      </w:r>
      <w:r w:rsidRPr="00095E29">
        <w:t xml:space="preserve">rovide monthly invoices that list the village maintenance charges, the </w:t>
      </w:r>
      <w:proofErr w:type="gramStart"/>
      <w:r w:rsidRPr="00095E29">
        <w:t>owners</w:t>
      </w:r>
      <w:proofErr w:type="gramEnd"/>
      <w:r w:rsidRPr="00095E29">
        <w:t xml:space="preserve"> corporation fee and personal services fee and show the period for which each component is payable</w:t>
      </w:r>
      <w:r>
        <w:t xml:space="preserve">. This </w:t>
      </w:r>
      <w:r w:rsidRPr="00095E29">
        <w:t>will increase transparency and help reduce disputes.</w:t>
      </w:r>
    </w:p>
    <w:p w:rsidR="00197252" w:rsidRPr="00197252" w:rsidRDefault="00197252" w:rsidP="00197252">
      <w:pPr>
        <w:pStyle w:val="BodyText"/>
      </w:pPr>
      <w:bookmarkStart w:id="143" w:name="_Toc515266575"/>
      <w:bookmarkStart w:id="144" w:name="_Toc516585711"/>
      <w:bookmarkStart w:id="145" w:name="_Toc516586420"/>
      <w:bookmarkStart w:id="146" w:name="_Toc516586496"/>
      <w:bookmarkStart w:id="147" w:name="_Toc525829702"/>
      <w:r w:rsidRPr="00197252">
        <w:br w:type="page"/>
      </w:r>
    </w:p>
    <w:p w:rsidR="00992D84" w:rsidRPr="00095E29" w:rsidRDefault="00992D84" w:rsidP="001619CD">
      <w:pPr>
        <w:pStyle w:val="Heading3"/>
      </w:pPr>
      <w:bookmarkStart w:id="148" w:name="_Protocol_7:_Refurbishment"/>
      <w:bookmarkStart w:id="149" w:name="_Ref526859394"/>
      <w:bookmarkStart w:id="150" w:name="_Toc527120885"/>
      <w:bookmarkEnd w:id="148"/>
      <w:r w:rsidRPr="00095E29">
        <w:lastRenderedPageBreak/>
        <w:t>Protocol 7: Refurbishment and reinstatement of units</w:t>
      </w:r>
      <w:bookmarkEnd w:id="143"/>
      <w:bookmarkEnd w:id="144"/>
      <w:bookmarkEnd w:id="145"/>
      <w:bookmarkEnd w:id="146"/>
      <w:bookmarkEnd w:id="147"/>
      <w:bookmarkEnd w:id="149"/>
      <w:bookmarkEnd w:id="150"/>
    </w:p>
    <w:p w:rsidR="00992D84" w:rsidRPr="00197252" w:rsidRDefault="00992D84" w:rsidP="00197252">
      <w:pPr>
        <w:pStyle w:val="BodyText"/>
      </w:pPr>
      <w:r w:rsidRPr="00095E29">
        <w:t xml:space="preserve">The residence or management contract may require residents to refurbish or reinstate their unit </w:t>
      </w:r>
      <w:r>
        <w:t>when they leave</w:t>
      </w:r>
      <w:r w:rsidRPr="00095E29">
        <w:t xml:space="preserve">. Reinstatement means repairs </w:t>
      </w:r>
      <w:r w:rsidRPr="00197252">
        <w:t>that bring a unit up to the standard it was in when the resident moved in. Refurbishment means repairs that improve it beyond that standard.</w:t>
      </w:r>
    </w:p>
    <w:p w:rsidR="00992D84" w:rsidRPr="00197252" w:rsidRDefault="00992D84" w:rsidP="00197252">
      <w:pPr>
        <w:pStyle w:val="BodyText"/>
      </w:pPr>
      <w:r w:rsidRPr="00197252">
        <w:t>In most cases the manager and the resident have a shared interest in getting the unit in the best possible condition for re-leasing or re-sale. However, issues can arise if a resident would prefer the unit to be re-leased/re-sold ‘as is’ or with minimal improvements when the contract requires refurbishment.</w:t>
      </w:r>
    </w:p>
    <w:p w:rsidR="00992D84" w:rsidRPr="00197252" w:rsidRDefault="00992D84" w:rsidP="00197252">
      <w:pPr>
        <w:pStyle w:val="BodyText"/>
      </w:pPr>
      <w:r w:rsidRPr="00197252">
        <w:t>Some contracts also entitle the manager to refurbish the unit, at the resident’s cost. Residents are sometimes concerned with aspects of this and problems can arise if there are delays in completing the work and/or if actual costs exceed the quote obtained by the manager.</w:t>
      </w:r>
    </w:p>
    <w:p w:rsidR="00992D84" w:rsidRPr="00197252" w:rsidRDefault="00992D84" w:rsidP="00197252">
      <w:pPr>
        <w:pStyle w:val="BodyText"/>
      </w:pPr>
      <w:r w:rsidRPr="00197252">
        <w:t>Residents and their families may be under considerable stress when the issue of refurbishment or reinstatement arises.</w:t>
      </w:r>
    </w:p>
    <w:p w:rsidR="00992D84" w:rsidRDefault="00992D84" w:rsidP="00197252">
      <w:pPr>
        <w:pStyle w:val="BodyText"/>
      </w:pPr>
      <w:r w:rsidRPr="00197252">
        <w:t>The following protocol is intended to support managers in informing residents about contractual obligations and the process for undertaking refurbishm</w:t>
      </w:r>
      <w:r w:rsidRPr="00095E29">
        <w:t>ent or reinstatement of a unit</w:t>
      </w:r>
      <w:r>
        <w:t xml:space="preserve">. They are intended to </w:t>
      </w:r>
      <w:r w:rsidRPr="00095E29">
        <w:t xml:space="preserve">help reduce disputes and, in some cases, to balance the </w:t>
      </w:r>
      <w:r>
        <w:t xml:space="preserve">interests of the </w:t>
      </w:r>
      <w:r w:rsidRPr="00095E29">
        <w:t>manager</w:t>
      </w:r>
      <w:r>
        <w:t xml:space="preserve"> </w:t>
      </w:r>
      <w:r w:rsidRPr="00095E29">
        <w:t xml:space="preserve">and </w:t>
      </w:r>
      <w:r>
        <w:t xml:space="preserve">the </w:t>
      </w:r>
      <w:r w:rsidRPr="00095E29">
        <w:t>residents or their families.</w:t>
      </w:r>
    </w:p>
    <w:p w:rsidR="00992D84" w:rsidRPr="00095E29" w:rsidRDefault="00992D84" w:rsidP="00197252">
      <w:pPr>
        <w:pStyle w:val="Heading4"/>
      </w:pPr>
      <w:bookmarkStart w:id="151" w:name="_Toc516585712"/>
      <w:r w:rsidRPr="00095E29">
        <w:t>Protocol</w:t>
      </w:r>
      <w:bookmarkEnd w:id="151"/>
    </w:p>
    <w:p w:rsidR="00992D84" w:rsidRPr="00095E29" w:rsidRDefault="00992D84" w:rsidP="00197252">
      <w:pPr>
        <w:pStyle w:val="BodyText"/>
      </w:pPr>
      <w:r w:rsidRPr="00095E29">
        <w:t xml:space="preserve">Good practice </w:t>
      </w:r>
      <w:r>
        <w:t>for managers</w:t>
      </w:r>
      <w:r w:rsidRPr="00095E29">
        <w:t>:</w:t>
      </w:r>
    </w:p>
    <w:p w:rsidR="00992D84" w:rsidRPr="00095E29" w:rsidRDefault="00992D84" w:rsidP="00197252">
      <w:pPr>
        <w:pStyle w:val="ListNumber"/>
        <w:numPr>
          <w:ilvl w:val="0"/>
          <w:numId w:val="27"/>
        </w:numPr>
      </w:pPr>
      <w:r>
        <w:t xml:space="preserve">Ensure all </w:t>
      </w:r>
      <w:r w:rsidRPr="00095E29">
        <w:t xml:space="preserve">parties </w:t>
      </w:r>
      <w:r>
        <w:t xml:space="preserve">are </w:t>
      </w:r>
      <w:r w:rsidRPr="00095E29">
        <w:t>clear about whether the contract permits reinstatement, refurbishment, neither or both; and about whether the outgoing or incoming resident is liable for the resident’s share of the cost.</w:t>
      </w:r>
    </w:p>
    <w:p w:rsidR="00992D84" w:rsidRPr="00095E29" w:rsidRDefault="00992D84" w:rsidP="00197252">
      <w:pPr>
        <w:pStyle w:val="ListNumber"/>
      </w:pPr>
      <w:r w:rsidRPr="00095E29">
        <w:t xml:space="preserve">If refurbishment is permitted, </w:t>
      </w:r>
      <w:r>
        <w:t xml:space="preserve">make </w:t>
      </w:r>
      <w:r w:rsidRPr="00095E29">
        <w:t xml:space="preserve">residents and the residents’ committee </w:t>
      </w:r>
      <w:r>
        <w:t xml:space="preserve">aware </w:t>
      </w:r>
      <w:r w:rsidRPr="00095E29">
        <w:t>of changing standards of refurbishment that apply in the village.</w:t>
      </w:r>
    </w:p>
    <w:p w:rsidR="00992D84" w:rsidRDefault="00992D84" w:rsidP="00197252">
      <w:pPr>
        <w:pStyle w:val="ListNumber"/>
      </w:pPr>
      <w:r w:rsidRPr="00095E29">
        <w:t>As soon as practicable after the receiv</w:t>
      </w:r>
      <w:r>
        <w:t xml:space="preserve">ing </w:t>
      </w:r>
      <w:r w:rsidRPr="00095E29">
        <w:t xml:space="preserve">advice of a resident’s intention to </w:t>
      </w:r>
      <w:r>
        <w:t xml:space="preserve">leave, </w:t>
      </w:r>
      <w:r w:rsidRPr="00095E29">
        <w:t xml:space="preserve">or their death, consult with the resident or </w:t>
      </w:r>
      <w:r>
        <w:t xml:space="preserve">their </w:t>
      </w:r>
      <w:r w:rsidRPr="00095E29">
        <w:t>legal representative about measures to make the unit more marketable, such as reinstatement or refurbishment.</w:t>
      </w:r>
    </w:p>
    <w:p w:rsidR="00992D84" w:rsidRDefault="00992D84" w:rsidP="00197252">
      <w:pPr>
        <w:pStyle w:val="ListNumber"/>
      </w:pPr>
      <w:r w:rsidRPr="00095E29">
        <w:t xml:space="preserve">If the resident has died, tactfully explain to </w:t>
      </w:r>
      <w:r>
        <w:t xml:space="preserve">their </w:t>
      </w:r>
      <w:r w:rsidRPr="00095E29">
        <w:t xml:space="preserve">family that delays will be reduced if probate is obtained, or an administrator is appointed, as soon as possible (see also </w:t>
      </w:r>
      <w:hyperlink w:anchor="_Protocol_5:_Marketing" w:history="1">
        <w:r w:rsidR="00B414EC" w:rsidRPr="009B0C54">
          <w:rPr>
            <w:rStyle w:val="Hyperlink"/>
          </w:rPr>
          <w:t>Protocol 5: Marketing procedures for a unit when a resident leaves</w:t>
        </w:r>
      </w:hyperlink>
      <w:r w:rsidR="00B414EC" w:rsidRPr="009B0C54">
        <w:t xml:space="preserve"> on page </w:t>
      </w:r>
      <w:r w:rsidR="00B414EC">
        <w:fldChar w:fldCharType="begin"/>
      </w:r>
      <w:r w:rsidR="00B414EC">
        <w:instrText xml:space="preserve"> PAGEREF _Ref526859527 \h </w:instrText>
      </w:r>
      <w:r w:rsidR="00B414EC">
        <w:fldChar w:fldCharType="separate"/>
      </w:r>
      <w:r w:rsidR="00740E51">
        <w:rPr>
          <w:noProof/>
        </w:rPr>
        <w:t>12</w:t>
      </w:r>
      <w:r w:rsidR="00B414EC">
        <w:fldChar w:fldCharType="end"/>
      </w:r>
      <w:r>
        <w:t>)</w:t>
      </w:r>
    </w:p>
    <w:p w:rsidR="00992D84" w:rsidRPr="00095E29" w:rsidRDefault="00992D84" w:rsidP="00197252">
      <w:pPr>
        <w:pStyle w:val="ListNumber"/>
      </w:pPr>
      <w:r>
        <w:t>D</w:t>
      </w:r>
      <w:r w:rsidRPr="00095E29">
        <w:t>etail in writing to the resident or their legal representative:</w:t>
      </w:r>
    </w:p>
    <w:p w:rsidR="00992D84" w:rsidRPr="00095E29" w:rsidRDefault="00992D84" w:rsidP="00197252">
      <w:pPr>
        <w:pStyle w:val="ListBullet3"/>
      </w:pPr>
      <w:r w:rsidRPr="00095E29">
        <w:t>whether the manager proposes reinstatement or refurbishment</w:t>
      </w:r>
    </w:p>
    <w:p w:rsidR="00992D84" w:rsidRPr="00095E29" w:rsidRDefault="00992D84" w:rsidP="00197252">
      <w:pPr>
        <w:pStyle w:val="ListBullet3"/>
      </w:pPr>
      <w:r>
        <w:t xml:space="preserve">what the contract provides in relation to </w:t>
      </w:r>
      <w:r w:rsidRPr="00095E29">
        <w:t>proposed works (and include a copy of any general refurbishment policy previously advised to residents)</w:t>
      </w:r>
    </w:p>
    <w:p w:rsidR="00992D84" w:rsidRPr="00095E29" w:rsidRDefault="00992D84" w:rsidP="00197252">
      <w:pPr>
        <w:pStyle w:val="ListBullet3"/>
      </w:pPr>
      <w:r w:rsidRPr="00095E29">
        <w:t xml:space="preserve">the expected completion time (which should normally be within 90 days of </w:t>
      </w:r>
      <w:r>
        <w:t>when the contractor is engaged</w:t>
      </w:r>
      <w:r w:rsidRPr="00095E29">
        <w:t>).</w:t>
      </w:r>
    </w:p>
    <w:p w:rsidR="00992D84" w:rsidRPr="00095E29" w:rsidRDefault="00992D84" w:rsidP="00197252">
      <w:pPr>
        <w:pStyle w:val="ListContinue"/>
      </w:pPr>
      <w:r w:rsidRPr="00095E29">
        <w:t>If the contract only provides for reinstatement, any refurbishment must be agreed between the manager and the resident or their legal representative.</w:t>
      </w:r>
    </w:p>
    <w:p w:rsidR="00992D84" w:rsidRPr="00095E29" w:rsidRDefault="00992D84" w:rsidP="00197252">
      <w:pPr>
        <w:pStyle w:val="ListNumber"/>
      </w:pPr>
      <w:r w:rsidRPr="00095E29">
        <w:t>Unless there is a tender process known to residents</w:t>
      </w:r>
      <w:r>
        <w:t xml:space="preserve">, </w:t>
      </w:r>
      <w:r w:rsidRPr="00095E29">
        <w:t xml:space="preserve">or it is agreed that the works are to be carried out by the contractor who normally </w:t>
      </w:r>
      <w:r>
        <w:t xml:space="preserve">does </w:t>
      </w:r>
      <w:r w:rsidRPr="00095E29">
        <w:t>maintenance for the village, discuss with the resident or their legal representative the process for obtaining quotes and a contractor.</w:t>
      </w:r>
    </w:p>
    <w:p w:rsidR="00992D84" w:rsidRPr="00095E29" w:rsidRDefault="00992D84" w:rsidP="00197252">
      <w:pPr>
        <w:pStyle w:val="ListNumber"/>
      </w:pPr>
      <w:r>
        <w:t>K</w:t>
      </w:r>
      <w:r w:rsidRPr="00095E29">
        <w:t xml:space="preserve">eep the resident informed of the progress of the works, including </w:t>
      </w:r>
      <w:r>
        <w:t xml:space="preserve">any </w:t>
      </w:r>
      <w:r w:rsidRPr="00095E29">
        <w:t xml:space="preserve">delays and cost overruns (see also </w:t>
      </w:r>
      <w:hyperlink w:anchor="_Protocol_6:_Ongoing" w:history="1">
        <w:r w:rsidR="00B414EC" w:rsidRPr="00690AA8">
          <w:rPr>
            <w:rStyle w:val="Hyperlink"/>
          </w:rPr>
          <w:t>Protocol 6: Ongoing charges after a resident leaves</w:t>
        </w:r>
      </w:hyperlink>
      <w:r w:rsidR="00B414EC">
        <w:t xml:space="preserve"> on page </w:t>
      </w:r>
      <w:r w:rsidR="00B414EC">
        <w:fldChar w:fldCharType="begin"/>
      </w:r>
      <w:r w:rsidR="00B414EC">
        <w:instrText xml:space="preserve"> PAGEREF _Ref526859449 \h </w:instrText>
      </w:r>
      <w:r w:rsidR="00B414EC">
        <w:fldChar w:fldCharType="separate"/>
      </w:r>
      <w:r w:rsidR="00740E51">
        <w:rPr>
          <w:noProof/>
        </w:rPr>
        <w:t>15</w:t>
      </w:r>
      <w:r w:rsidR="00B414EC">
        <w:fldChar w:fldCharType="end"/>
      </w:r>
      <w:r w:rsidRPr="00095E29">
        <w:t xml:space="preserve"> regarding updates on the level of charge accruals).</w:t>
      </w:r>
    </w:p>
    <w:p w:rsidR="00992D84" w:rsidRPr="00095E29" w:rsidRDefault="00992D84" w:rsidP="00197252">
      <w:pPr>
        <w:pStyle w:val="ListNumber"/>
      </w:pPr>
      <w:r>
        <w:lastRenderedPageBreak/>
        <w:t>D</w:t>
      </w:r>
      <w:r w:rsidRPr="00095E29">
        <w:t>eal with any significant delays or cost overruns as soon as they arise and discuss them with the resident or their legal representative.</w:t>
      </w:r>
    </w:p>
    <w:p w:rsidR="00992D84" w:rsidRPr="00095E29" w:rsidRDefault="00992D84" w:rsidP="00197252">
      <w:pPr>
        <w:pStyle w:val="ListNumber"/>
      </w:pPr>
      <w:r>
        <w:t xml:space="preserve">Consider </w:t>
      </w:r>
      <w:r w:rsidRPr="00095E29">
        <w:t xml:space="preserve">alternatives when significant delays or cost overruns occur, including </w:t>
      </w:r>
      <w:r>
        <w:t xml:space="preserve">when </w:t>
      </w:r>
      <w:r w:rsidRPr="00095E29">
        <w:t>to discuss allowing the resident or their representative to take over control of the works (including health and safety requirements).</w:t>
      </w:r>
    </w:p>
    <w:p w:rsidR="00992D84" w:rsidRPr="00095E29" w:rsidRDefault="00992D84" w:rsidP="00197252">
      <w:pPr>
        <w:pStyle w:val="ListNumber"/>
      </w:pPr>
      <w:r>
        <w:t>P</w:t>
      </w:r>
      <w:r w:rsidRPr="00095E29">
        <w:t>rovide a fully itemised account for the wor</w:t>
      </w:r>
      <w:r>
        <w:t xml:space="preserve">ks. If </w:t>
      </w:r>
      <w:r w:rsidRPr="00095E29">
        <w:t>the manager is entitled to add on a percentage for supervision that may be unreasonable, consider</w:t>
      </w:r>
      <w:r>
        <w:t xml:space="preserve"> </w:t>
      </w:r>
      <w:r w:rsidRPr="00095E29">
        <w:t xml:space="preserve">charging only </w:t>
      </w:r>
      <w:proofErr w:type="gramStart"/>
      <w:r w:rsidRPr="00095E29">
        <w:t>on the basis of</w:t>
      </w:r>
      <w:proofErr w:type="gramEnd"/>
      <w:r w:rsidRPr="00095E29">
        <w:t xml:space="preserve"> actual time spent on the job and the manager’s normal hourly rate.</w:t>
      </w:r>
    </w:p>
    <w:p w:rsidR="00992D84" w:rsidRPr="00095E29" w:rsidRDefault="00992D84" w:rsidP="00197252">
      <w:pPr>
        <w:pStyle w:val="ListNumber"/>
      </w:pPr>
      <w:r w:rsidRPr="00095E29">
        <w:t>If the resident or their legal representative believes they would be better off if no works were done, options for the manager include:</w:t>
      </w:r>
    </w:p>
    <w:p w:rsidR="00992D84" w:rsidRPr="00095E29" w:rsidRDefault="00992D84" w:rsidP="00197252">
      <w:pPr>
        <w:pStyle w:val="ListBullet3"/>
      </w:pPr>
      <w:r w:rsidRPr="00095E29">
        <w:t>explaining to the resident or legal representative the reasons why they would be better off</w:t>
      </w:r>
    </w:p>
    <w:p w:rsidR="00992D84" w:rsidRPr="00095E29" w:rsidRDefault="00992D84" w:rsidP="00197252">
      <w:pPr>
        <w:pStyle w:val="ListBullet3"/>
      </w:pPr>
      <w:r w:rsidRPr="00095E29">
        <w:t>explaining how the works will benefit the village</w:t>
      </w:r>
    </w:p>
    <w:p w:rsidR="00992D84" w:rsidRPr="00095E29" w:rsidRDefault="00992D84" w:rsidP="00197252">
      <w:pPr>
        <w:pStyle w:val="ListBullet3"/>
      </w:pPr>
      <w:r w:rsidRPr="00095E29">
        <w:t>considering how to proceed with the works in a way that minimises any loss for the resident</w:t>
      </w:r>
    </w:p>
    <w:p w:rsidR="00992D84" w:rsidRDefault="00992D84" w:rsidP="00197252">
      <w:pPr>
        <w:pStyle w:val="ListBullet3"/>
      </w:pPr>
      <w:r w:rsidRPr="00095E29">
        <w:t>considering contributing to the cost.</w:t>
      </w:r>
    </w:p>
    <w:p w:rsidR="00893788" w:rsidRPr="00893788" w:rsidRDefault="00893788" w:rsidP="00893788">
      <w:pPr>
        <w:pStyle w:val="BodyText"/>
        <w:rPr>
          <w:rFonts w:eastAsia="MS Mincho"/>
        </w:rPr>
      </w:pPr>
      <w:bookmarkStart w:id="152" w:name="_Toc516585713"/>
      <w:bookmarkStart w:id="153" w:name="_Toc516586421"/>
      <w:bookmarkStart w:id="154" w:name="_Toc516586497"/>
      <w:bookmarkStart w:id="155" w:name="_Toc525829704"/>
      <w:r w:rsidRPr="00893788">
        <w:rPr>
          <w:rFonts w:eastAsia="MS Mincho"/>
        </w:rPr>
        <w:br w:type="page"/>
      </w:r>
    </w:p>
    <w:p w:rsidR="00893788" w:rsidRDefault="00893788" w:rsidP="00893788">
      <w:pPr>
        <w:pStyle w:val="Heading2"/>
      </w:pPr>
      <w:bookmarkStart w:id="156" w:name="_Toc527120886"/>
      <w:r w:rsidRPr="00893788">
        <w:lastRenderedPageBreak/>
        <w:t>Further information and advice</w:t>
      </w:r>
      <w:bookmarkEnd w:id="156"/>
    </w:p>
    <w:p w:rsidR="00992D84" w:rsidRPr="00095E29" w:rsidRDefault="00992D84" w:rsidP="001619CD">
      <w:pPr>
        <w:pStyle w:val="Heading3"/>
        <w:rPr>
          <w:rFonts w:eastAsia="MS Mincho"/>
        </w:rPr>
      </w:pPr>
      <w:bookmarkStart w:id="157" w:name="_Toc527120887"/>
      <w:r w:rsidRPr="00095E29">
        <w:rPr>
          <w:rFonts w:eastAsia="MS Mincho"/>
        </w:rPr>
        <w:t>Consumer Affairs Victoria</w:t>
      </w:r>
      <w:bookmarkEnd w:id="152"/>
      <w:bookmarkEnd w:id="153"/>
      <w:bookmarkEnd w:id="154"/>
      <w:bookmarkEnd w:id="155"/>
      <w:bookmarkEnd w:id="157"/>
    </w:p>
    <w:p w:rsidR="003A6179" w:rsidRDefault="00740E51" w:rsidP="003A6179">
      <w:pPr>
        <w:pStyle w:val="BodyText"/>
      </w:pPr>
      <w:hyperlink r:id="rId16" w:history="1">
        <w:r w:rsidR="003A6179">
          <w:rPr>
            <w:rStyle w:val="Hyperlink"/>
          </w:rPr>
          <w:t>Consumer Affairs Victoria website</w:t>
        </w:r>
      </w:hyperlink>
      <w:r w:rsidR="003A6179">
        <w:t xml:space="preserve"> &lt;</w:t>
      </w:r>
      <w:r w:rsidR="003A6179" w:rsidRPr="00F655F0">
        <w:t>consumer.vic.gov.au</w:t>
      </w:r>
      <w:r w:rsidR="003A6179">
        <w:t>&gt;</w:t>
      </w:r>
    </w:p>
    <w:p w:rsidR="003A6179" w:rsidRDefault="003A6179" w:rsidP="003A6179">
      <w:pPr>
        <w:pStyle w:val="BodyText"/>
      </w:pPr>
      <w:r w:rsidRPr="00631053">
        <w:rPr>
          <w:b/>
        </w:rPr>
        <w:t>Phone</w:t>
      </w:r>
      <w:r>
        <w:t xml:space="preserve"> 1300 55 81 81</w:t>
      </w:r>
    </w:p>
    <w:p w:rsidR="00992D84" w:rsidRPr="00095E29" w:rsidRDefault="00992D84" w:rsidP="003A6179">
      <w:pPr>
        <w:pStyle w:val="Heading4"/>
      </w:pPr>
      <w:r w:rsidRPr="00095E29">
        <w:t>Regional services</w:t>
      </w:r>
    </w:p>
    <w:p w:rsidR="00992D84" w:rsidRPr="00095E29" w:rsidRDefault="00992D84" w:rsidP="003A6179">
      <w:pPr>
        <w:pStyle w:val="BodyText"/>
      </w:pPr>
      <w:r w:rsidRPr="00095E29">
        <w:t xml:space="preserve">Services from Consumer Affairs Victoria are also available in Ballarat, Bendigo, Box Hill, Dandenong, Geelong, Mildura, Morwell, Reservoir, Shepparton, Wangaratta, Warrnambool, Werribee and Wodonga. Our mobile service regularly visits rural communities. For details on the office or mobile service nearest you, ring 1300 55 81 81 or visit the </w:t>
      </w:r>
      <w:hyperlink r:id="rId17" w:history="1">
        <w:r w:rsidR="003A6179">
          <w:rPr>
            <w:rStyle w:val="Hyperlink"/>
          </w:rPr>
          <w:t>Consumer Affairs Victoria website</w:t>
        </w:r>
      </w:hyperlink>
      <w:r w:rsidR="003A6179">
        <w:t xml:space="preserve"> &lt;</w:t>
      </w:r>
      <w:r w:rsidR="003A6179" w:rsidRPr="00F655F0">
        <w:t>consumer.vic.gov.au</w:t>
      </w:r>
      <w:r w:rsidR="003A6179">
        <w:t>&gt;</w:t>
      </w:r>
      <w:r w:rsidRPr="00095E29">
        <w:t xml:space="preserve"> and follow the Contact Us link.</w:t>
      </w:r>
    </w:p>
    <w:p w:rsidR="00992D84" w:rsidRPr="00095E29" w:rsidRDefault="00992D84" w:rsidP="003A6179">
      <w:pPr>
        <w:pStyle w:val="Heading4"/>
      </w:pPr>
      <w:r w:rsidRPr="00095E29">
        <w:t>TIS</w:t>
      </w:r>
    </w:p>
    <w:p w:rsidR="00992D84" w:rsidRPr="00095E29" w:rsidRDefault="00992D84" w:rsidP="00992D84">
      <w:pPr>
        <w:pStyle w:val="BodyText"/>
      </w:pPr>
      <w:r w:rsidRPr="00095E29">
        <w:t>Translating and Interpreting Service 131 450</w:t>
      </w:r>
    </w:p>
    <w:p w:rsidR="00992D84" w:rsidRPr="00095E29" w:rsidRDefault="00992D84" w:rsidP="003A6179">
      <w:pPr>
        <w:pStyle w:val="Heading4"/>
      </w:pPr>
      <w:r w:rsidRPr="00095E29">
        <w:t>TTY</w:t>
      </w:r>
    </w:p>
    <w:p w:rsidR="00992D84" w:rsidRPr="00095E29" w:rsidRDefault="00992D84" w:rsidP="00992D84">
      <w:pPr>
        <w:pStyle w:val="BodyText"/>
      </w:pPr>
      <w:r w:rsidRPr="00095E29">
        <w:t>Text phone or modem users only, ring the National Relay Service (NRS) on 133 677, then quote 1300 55 81 81.</w:t>
      </w:r>
    </w:p>
    <w:p w:rsidR="00992D84" w:rsidRDefault="00992D84" w:rsidP="00992D84">
      <w:pPr>
        <w:pStyle w:val="BodyText"/>
      </w:pPr>
      <w:r w:rsidRPr="00095E29">
        <w:t>Callers who use Speech to Speech Relay dial 1300 555 727, then quote 1300 55 81 81.</w:t>
      </w:r>
    </w:p>
    <w:p w:rsidR="00992D84" w:rsidRPr="00095E29" w:rsidRDefault="00992D84" w:rsidP="001619CD">
      <w:pPr>
        <w:pStyle w:val="Heading3"/>
      </w:pPr>
      <w:bookmarkStart w:id="158" w:name="_Toc516585714"/>
      <w:bookmarkStart w:id="159" w:name="_Toc516586422"/>
      <w:bookmarkStart w:id="160" w:name="_Toc516586498"/>
      <w:bookmarkStart w:id="161" w:name="_Toc525829705"/>
      <w:bookmarkStart w:id="162" w:name="_Toc527120888"/>
      <w:r w:rsidRPr="00095E29">
        <w:t>Housing for the Aged Action Group (HAAG)</w:t>
      </w:r>
      <w:bookmarkEnd w:id="158"/>
      <w:bookmarkEnd w:id="159"/>
      <w:bookmarkEnd w:id="160"/>
      <w:bookmarkEnd w:id="161"/>
      <w:bookmarkEnd w:id="162"/>
    </w:p>
    <w:p w:rsidR="00992D84" w:rsidRPr="00095E29" w:rsidRDefault="00992D84" w:rsidP="00992D84">
      <w:pPr>
        <w:pStyle w:val="BodyText"/>
      </w:pPr>
      <w:r w:rsidRPr="00095E29">
        <w:t>HAAG provides free, confidential information and advice to older people on housing issues, including on retirement housing.</w:t>
      </w:r>
    </w:p>
    <w:p w:rsidR="0024501B" w:rsidRDefault="00740E51" w:rsidP="0024501B">
      <w:pPr>
        <w:pStyle w:val="BodyText"/>
      </w:pPr>
      <w:hyperlink r:id="rId18" w:history="1">
        <w:r w:rsidR="0024501B">
          <w:rPr>
            <w:rStyle w:val="Hyperlink"/>
          </w:rPr>
          <w:t>Housing for the Aged Action Group website</w:t>
        </w:r>
      </w:hyperlink>
      <w:r w:rsidR="0024501B">
        <w:t xml:space="preserve"> &lt;</w:t>
      </w:r>
      <w:r w:rsidR="0024501B" w:rsidRPr="00F655F0">
        <w:t>oldertenants.org.au</w:t>
      </w:r>
      <w:r w:rsidR="0024501B">
        <w:t>&gt;</w:t>
      </w:r>
    </w:p>
    <w:p w:rsidR="0024501B" w:rsidRDefault="00740E51" w:rsidP="0024501B">
      <w:pPr>
        <w:pStyle w:val="BodyText"/>
      </w:pPr>
      <w:hyperlink r:id="rId19" w:history="1">
        <w:r w:rsidR="0024501B">
          <w:rPr>
            <w:rStyle w:val="Hyperlink"/>
          </w:rPr>
          <w:t>Email Housing for the Aged Action Group</w:t>
        </w:r>
      </w:hyperlink>
      <w:r w:rsidR="0024501B">
        <w:t xml:space="preserve"> &lt;</w:t>
      </w:r>
      <w:r w:rsidR="0024501B" w:rsidRPr="00F655F0">
        <w:t>haag@oldertenants.org.au</w:t>
      </w:r>
      <w:r w:rsidR="0024501B">
        <w:t>&gt;</w:t>
      </w:r>
    </w:p>
    <w:p w:rsidR="00992D84" w:rsidRPr="00095E29" w:rsidRDefault="00992D84" w:rsidP="00992D84">
      <w:pPr>
        <w:pStyle w:val="BodyText"/>
      </w:pPr>
      <w:r w:rsidRPr="0024501B">
        <w:rPr>
          <w:rStyle w:val="Strong"/>
        </w:rPr>
        <w:t>Phone</w:t>
      </w:r>
      <w:r w:rsidRPr="00095E29">
        <w:t xml:space="preserve"> 03 9654 7389 or 1300 765 178</w:t>
      </w:r>
    </w:p>
    <w:p w:rsidR="00E61C64" w:rsidRPr="00E61C64" w:rsidRDefault="00E61C64" w:rsidP="00E61C64">
      <w:pPr>
        <w:pStyle w:val="BodyText"/>
      </w:pPr>
      <w:bookmarkStart w:id="163" w:name="_Toc516585715"/>
      <w:bookmarkStart w:id="164" w:name="_Toc516586423"/>
      <w:bookmarkStart w:id="165" w:name="_Toc516586499"/>
      <w:bookmarkStart w:id="166" w:name="_Toc525829706"/>
      <w:r w:rsidRPr="00E61C64">
        <w:br w:type="page"/>
      </w:r>
    </w:p>
    <w:p w:rsidR="00992D84" w:rsidRPr="00095E29" w:rsidRDefault="00992D84" w:rsidP="001619CD">
      <w:pPr>
        <w:pStyle w:val="Heading3"/>
      </w:pPr>
      <w:bookmarkStart w:id="167" w:name="_Toc527120889"/>
      <w:r w:rsidRPr="00095E29">
        <w:lastRenderedPageBreak/>
        <w:t>Residents of Retirement Villages Victoria</w:t>
      </w:r>
      <w:bookmarkEnd w:id="163"/>
      <w:bookmarkEnd w:id="164"/>
      <w:bookmarkEnd w:id="165"/>
      <w:bookmarkEnd w:id="166"/>
      <w:bookmarkEnd w:id="167"/>
    </w:p>
    <w:p w:rsidR="00992D84" w:rsidRPr="00095E29" w:rsidRDefault="00992D84" w:rsidP="00992D84">
      <w:pPr>
        <w:pStyle w:val="BodyText"/>
      </w:pPr>
      <w:r w:rsidRPr="00095E29">
        <w:t>RRVV is an organisation that provides advice and assistance to residents and prospective residents of Victorian retirement villages.</w:t>
      </w:r>
    </w:p>
    <w:p w:rsidR="00992D84" w:rsidRPr="00095E29" w:rsidRDefault="00992D84" w:rsidP="00992D84">
      <w:pPr>
        <w:pStyle w:val="BodyText"/>
      </w:pPr>
      <w:r w:rsidRPr="00095E29">
        <w:t>Residents of Retirement Villages Victoria website &lt;rrvv.org.au&gt;</w:t>
      </w:r>
    </w:p>
    <w:p w:rsidR="00992D84" w:rsidRPr="00095E29" w:rsidRDefault="00992D84" w:rsidP="00992D84">
      <w:pPr>
        <w:pStyle w:val="BodyText"/>
      </w:pPr>
      <w:r w:rsidRPr="00095E29">
        <w:t>Email Residents of Retirement Villages Victoria</w:t>
      </w:r>
      <w:r>
        <w:t xml:space="preserve"> &lt;secretary@rrvv.org.au</w:t>
      </w:r>
      <w:r w:rsidRPr="00095E29">
        <w:t>&gt;</w:t>
      </w:r>
    </w:p>
    <w:p w:rsidR="0024501B" w:rsidRPr="00A7022D" w:rsidRDefault="00740E51" w:rsidP="0024501B">
      <w:pPr>
        <w:pStyle w:val="BodyText"/>
      </w:pPr>
      <w:hyperlink r:id="rId20" w:history="1">
        <w:r w:rsidR="0024501B" w:rsidRPr="001E11B6">
          <w:rPr>
            <w:rStyle w:val="Hyperlink"/>
          </w:rPr>
          <w:t>Residents of Retirement Villages Victoria website</w:t>
        </w:r>
      </w:hyperlink>
      <w:r w:rsidR="0024501B" w:rsidRPr="00A7022D">
        <w:t xml:space="preserve"> &lt;rrvv.org.au</w:t>
      </w:r>
      <w:r w:rsidR="0024501B">
        <w:t>&gt;</w:t>
      </w:r>
    </w:p>
    <w:p w:rsidR="0024501B" w:rsidRPr="00A7022D" w:rsidRDefault="00740E51" w:rsidP="0024501B">
      <w:pPr>
        <w:pStyle w:val="BodyText"/>
      </w:pPr>
      <w:hyperlink r:id="rId21" w:history="1">
        <w:r w:rsidR="0024501B" w:rsidRPr="001E11B6">
          <w:rPr>
            <w:rStyle w:val="Hyperlink"/>
          </w:rPr>
          <w:t>Email Residents of Retirement Villages Victoria</w:t>
        </w:r>
      </w:hyperlink>
      <w:r w:rsidR="0024501B" w:rsidRPr="00A7022D">
        <w:t xml:space="preserve"> &lt;</w:t>
      </w:r>
      <w:r w:rsidR="00E61C64">
        <w:t>secretary@rrvv.org.au</w:t>
      </w:r>
      <w:r w:rsidR="0024501B" w:rsidRPr="00A7022D">
        <w:t>&gt;</w:t>
      </w:r>
    </w:p>
    <w:p w:rsidR="00992D84" w:rsidRPr="00095E29" w:rsidRDefault="00992D84" w:rsidP="00992D84">
      <w:pPr>
        <w:pStyle w:val="BodyText"/>
      </w:pPr>
      <w:r w:rsidRPr="0024501B">
        <w:rPr>
          <w:rStyle w:val="Strong"/>
        </w:rPr>
        <w:t>Phone</w:t>
      </w:r>
      <w:r w:rsidRPr="00095E29">
        <w:t xml:space="preserve"> 03 9015 8402</w:t>
      </w:r>
    </w:p>
    <w:p w:rsidR="00992D84" w:rsidRPr="00095E29" w:rsidRDefault="00992D84" w:rsidP="001619CD">
      <w:pPr>
        <w:pStyle w:val="Heading3"/>
      </w:pPr>
      <w:bookmarkStart w:id="168" w:name="_Toc516585716"/>
      <w:bookmarkStart w:id="169" w:name="_Toc516586424"/>
      <w:bookmarkStart w:id="170" w:name="_Toc516586500"/>
      <w:bookmarkStart w:id="171" w:name="_Toc525829707"/>
      <w:bookmarkStart w:id="172" w:name="_Toc527120890"/>
      <w:r w:rsidRPr="00095E29">
        <w:t>Seniors Information Victoria (SIV)</w:t>
      </w:r>
      <w:bookmarkEnd w:id="168"/>
      <w:bookmarkEnd w:id="169"/>
      <w:bookmarkEnd w:id="170"/>
      <w:bookmarkEnd w:id="171"/>
      <w:bookmarkEnd w:id="172"/>
    </w:p>
    <w:p w:rsidR="00992D84" w:rsidRPr="00095E29" w:rsidRDefault="00992D84" w:rsidP="00992D84">
      <w:pPr>
        <w:pStyle w:val="BodyText"/>
      </w:pPr>
      <w:r w:rsidRPr="00095E29">
        <w:t>SIV provides free information to older Victorians on a range of issues including on accommodation options. It is a service of the Council on the Ageing.</w:t>
      </w:r>
    </w:p>
    <w:p w:rsidR="002A4380" w:rsidRDefault="00740E51" w:rsidP="002A4380">
      <w:pPr>
        <w:pStyle w:val="BodyText"/>
      </w:pPr>
      <w:hyperlink r:id="rId22" w:history="1">
        <w:r w:rsidR="002A4380">
          <w:rPr>
            <w:rStyle w:val="Hyperlink"/>
          </w:rPr>
          <w:t>Seniors Information Victoria – COTA website</w:t>
        </w:r>
      </w:hyperlink>
      <w:r w:rsidR="002A4380">
        <w:t xml:space="preserve"> &lt;</w:t>
      </w:r>
      <w:r w:rsidR="002A4380" w:rsidRPr="00095E29">
        <w:t>cotavic.org.au/info/</w:t>
      </w:r>
      <w:proofErr w:type="spellStart"/>
      <w:r w:rsidR="002A4380" w:rsidRPr="00095E29">
        <w:t>siv</w:t>
      </w:r>
      <w:proofErr w:type="spellEnd"/>
      <w:r w:rsidR="002A4380">
        <w:t>&gt;</w:t>
      </w:r>
    </w:p>
    <w:p w:rsidR="002A4380" w:rsidRDefault="00740E51" w:rsidP="002A4380">
      <w:pPr>
        <w:pStyle w:val="BodyText"/>
      </w:pPr>
      <w:hyperlink r:id="rId23" w:history="1">
        <w:r w:rsidR="002A4380">
          <w:rPr>
            <w:rStyle w:val="Hyperlink"/>
          </w:rPr>
          <w:t>Email Seniors Information Victoria</w:t>
        </w:r>
      </w:hyperlink>
      <w:r w:rsidR="002A4380">
        <w:t xml:space="preserve"> &lt;</w:t>
      </w:r>
      <w:r w:rsidR="002A4380" w:rsidRPr="00A7022D">
        <w:t>askcota@cotavic.org.au</w:t>
      </w:r>
      <w:r w:rsidR="002A4380">
        <w:t>&gt;</w:t>
      </w:r>
    </w:p>
    <w:p w:rsidR="00992D84" w:rsidRPr="00095E29" w:rsidRDefault="00992D84" w:rsidP="00992D84">
      <w:pPr>
        <w:pStyle w:val="BodyText"/>
      </w:pPr>
      <w:r w:rsidRPr="0024501B">
        <w:rPr>
          <w:rStyle w:val="Strong"/>
        </w:rPr>
        <w:t xml:space="preserve">Phone </w:t>
      </w:r>
      <w:r w:rsidRPr="00095E29">
        <w:t>1300 135 090</w:t>
      </w:r>
    </w:p>
    <w:p w:rsidR="00992D84" w:rsidRPr="00095E29" w:rsidRDefault="00992D84" w:rsidP="001619CD">
      <w:pPr>
        <w:pStyle w:val="Heading3"/>
      </w:pPr>
      <w:bookmarkStart w:id="173" w:name="_Toc516585717"/>
      <w:bookmarkStart w:id="174" w:name="_Toc516586425"/>
      <w:bookmarkStart w:id="175" w:name="_Toc516586501"/>
      <w:bookmarkStart w:id="176" w:name="_Toc525829708"/>
      <w:bookmarkStart w:id="177" w:name="_Toc527120891"/>
      <w:r w:rsidRPr="00095E29">
        <w:t>Dispute Settlement Centre of Victoria</w:t>
      </w:r>
      <w:bookmarkEnd w:id="173"/>
      <w:bookmarkEnd w:id="174"/>
      <w:bookmarkEnd w:id="175"/>
      <w:bookmarkEnd w:id="176"/>
      <w:bookmarkEnd w:id="177"/>
    </w:p>
    <w:p w:rsidR="00992D84" w:rsidRPr="00095E29" w:rsidRDefault="00992D84" w:rsidP="00992D84">
      <w:pPr>
        <w:pStyle w:val="BodyText"/>
      </w:pPr>
      <w:r w:rsidRPr="00095E29">
        <w:t>The Dispute Settlement Centre of Victoria provides a free dispute resolution service. It also offers a range of informal conflict resolution training sessions and workshops.</w:t>
      </w:r>
    </w:p>
    <w:p w:rsidR="000E0EC8" w:rsidRDefault="00740E51" w:rsidP="000E0EC8">
      <w:pPr>
        <w:pStyle w:val="BodyText"/>
      </w:pPr>
      <w:hyperlink r:id="rId24" w:history="1">
        <w:r w:rsidR="000E0EC8">
          <w:rPr>
            <w:rStyle w:val="Hyperlink"/>
          </w:rPr>
          <w:t>Dispute Settlement Centre of Victoria website</w:t>
        </w:r>
      </w:hyperlink>
      <w:r w:rsidR="000E0EC8">
        <w:t xml:space="preserve"> &lt;</w:t>
      </w:r>
      <w:r w:rsidR="000E0EC8" w:rsidRPr="00A7022D">
        <w:t>disputes.vic.gov.au</w:t>
      </w:r>
      <w:r w:rsidR="000E0EC8">
        <w:t>&gt;</w:t>
      </w:r>
    </w:p>
    <w:p w:rsidR="00992D84" w:rsidRPr="00095E29" w:rsidRDefault="00992D84" w:rsidP="00992D84">
      <w:pPr>
        <w:pStyle w:val="BodyText"/>
      </w:pPr>
      <w:r w:rsidRPr="0024501B">
        <w:rPr>
          <w:rStyle w:val="Strong"/>
        </w:rPr>
        <w:t>Phone</w:t>
      </w:r>
      <w:r>
        <w:t xml:space="preserve"> </w:t>
      </w:r>
      <w:r w:rsidRPr="00095E29">
        <w:t>1300 372 888</w:t>
      </w:r>
    </w:p>
    <w:p w:rsidR="00992D84" w:rsidRPr="00095E29" w:rsidRDefault="00992D84" w:rsidP="001619CD">
      <w:pPr>
        <w:pStyle w:val="Heading3"/>
      </w:pPr>
      <w:bookmarkStart w:id="178" w:name="_Toc516585718"/>
      <w:bookmarkStart w:id="179" w:name="_Toc516586426"/>
      <w:bookmarkStart w:id="180" w:name="_Toc516586502"/>
      <w:bookmarkStart w:id="181" w:name="_Toc525829709"/>
      <w:bookmarkStart w:id="182" w:name="_Toc527120892"/>
      <w:r w:rsidRPr="00095E29">
        <w:t>Victorian Civil and Administrative Tribunal (Civil List)</w:t>
      </w:r>
      <w:bookmarkEnd w:id="178"/>
      <w:bookmarkEnd w:id="179"/>
      <w:bookmarkEnd w:id="180"/>
      <w:bookmarkEnd w:id="181"/>
      <w:bookmarkEnd w:id="182"/>
    </w:p>
    <w:p w:rsidR="00992D84" w:rsidRPr="00095E29" w:rsidRDefault="00992D84" w:rsidP="00992D84">
      <w:pPr>
        <w:pStyle w:val="BodyText"/>
      </w:pPr>
      <w:r w:rsidRPr="00095E29">
        <w:t xml:space="preserve">A contractual dispute between a retirement village operator and resident can be taken to the Victorian Civil and Administrative Tribunal (Civil Claims List) for a decision that is binding on both parties. Note: VCAT cannot deal with disputes between residents, although it can deal with disputes between </w:t>
      </w:r>
      <w:proofErr w:type="gramStart"/>
      <w:r w:rsidRPr="00095E29">
        <w:t>owners</w:t>
      </w:r>
      <w:proofErr w:type="gramEnd"/>
      <w:r w:rsidRPr="00095E29">
        <w:t xml:space="preserve"> corporation members that are limited to owners corporation issues.</w:t>
      </w:r>
    </w:p>
    <w:p w:rsidR="00DB349D" w:rsidRDefault="00740E51" w:rsidP="00DB349D">
      <w:pPr>
        <w:pStyle w:val="BodyText"/>
      </w:pPr>
      <w:hyperlink r:id="rId25" w:history="1">
        <w:r w:rsidR="00DB349D">
          <w:rPr>
            <w:rStyle w:val="Hyperlink"/>
          </w:rPr>
          <w:t>Victorian Civil and Administrative Tribunal website</w:t>
        </w:r>
      </w:hyperlink>
      <w:r w:rsidR="00DB349D">
        <w:t xml:space="preserve"> &lt;</w:t>
      </w:r>
      <w:r w:rsidR="00DB349D" w:rsidRPr="00A7022D">
        <w:t>vcat.vic.gov.au</w:t>
      </w:r>
      <w:r w:rsidR="00DB349D">
        <w:t>&gt;</w:t>
      </w:r>
    </w:p>
    <w:p w:rsidR="00992D84" w:rsidRPr="00095E29" w:rsidRDefault="00992D84" w:rsidP="00992D84">
      <w:pPr>
        <w:pStyle w:val="BodyText"/>
      </w:pPr>
      <w:r w:rsidRPr="0024501B">
        <w:rPr>
          <w:rStyle w:val="Strong"/>
        </w:rPr>
        <w:t>Phone</w:t>
      </w:r>
      <w:r>
        <w:t xml:space="preserve"> 1300 01 8228 (1300 01 VCAT).</w:t>
      </w:r>
    </w:p>
    <w:p w:rsidR="00992D84" w:rsidRPr="00095E29" w:rsidRDefault="00992D84" w:rsidP="001619CD">
      <w:pPr>
        <w:pStyle w:val="Heading3"/>
      </w:pPr>
      <w:bookmarkStart w:id="183" w:name="_Toc516585719"/>
      <w:bookmarkStart w:id="184" w:name="_Toc516586427"/>
      <w:bookmarkStart w:id="185" w:name="_Toc516586503"/>
      <w:bookmarkStart w:id="186" w:name="_Toc525829710"/>
      <w:bookmarkStart w:id="187" w:name="_Toc527120893"/>
      <w:r w:rsidRPr="00095E29">
        <w:t xml:space="preserve">Law Institute of Victoria </w:t>
      </w:r>
      <w:r w:rsidR="002A4380">
        <w:t>–</w:t>
      </w:r>
      <w:r w:rsidRPr="00095E29">
        <w:t xml:space="preserve"> Legal Referral Service</w:t>
      </w:r>
      <w:bookmarkEnd w:id="183"/>
      <w:bookmarkEnd w:id="184"/>
      <w:bookmarkEnd w:id="185"/>
      <w:bookmarkEnd w:id="186"/>
      <w:bookmarkEnd w:id="187"/>
    </w:p>
    <w:p w:rsidR="00992D84" w:rsidRPr="00095E29" w:rsidRDefault="00992D84" w:rsidP="00992D84">
      <w:pPr>
        <w:pStyle w:val="BodyText"/>
      </w:pPr>
      <w:r w:rsidRPr="00095E29">
        <w:t>The Law Institute of Victoria can provide a referral to a member solicitor practisi</w:t>
      </w:r>
      <w:r w:rsidR="00F52CB3">
        <w:t>ng in the relevant area of law.</w:t>
      </w:r>
    </w:p>
    <w:p w:rsidR="00992D84" w:rsidRPr="0024501B" w:rsidRDefault="00740E51" w:rsidP="00992D84">
      <w:pPr>
        <w:pStyle w:val="BodyText"/>
        <w:rPr>
          <w:rStyle w:val="Strong"/>
        </w:rPr>
      </w:pPr>
      <w:hyperlink r:id="rId26" w:history="1">
        <w:r w:rsidR="00F52CB3" w:rsidRPr="00F52CB3">
          <w:rPr>
            <w:rStyle w:val="Hyperlink"/>
          </w:rPr>
          <w:t>Email Legal Referral Service –</w:t>
        </w:r>
        <w:r w:rsidR="00992D84" w:rsidRPr="00F52CB3">
          <w:rPr>
            <w:rStyle w:val="Hyperlink"/>
          </w:rPr>
          <w:t xml:space="preserve"> Law Institute of Victoria</w:t>
        </w:r>
      </w:hyperlink>
      <w:r w:rsidR="00992D84" w:rsidRPr="00095E29">
        <w:t xml:space="preserve"> &lt;referrals@liv.asn.au&gt;</w:t>
      </w:r>
    </w:p>
    <w:p w:rsidR="00731993" w:rsidRDefault="00992D84" w:rsidP="00270976">
      <w:pPr>
        <w:pStyle w:val="BodyText"/>
      </w:pPr>
      <w:r w:rsidRPr="0024501B">
        <w:rPr>
          <w:rStyle w:val="Strong"/>
        </w:rPr>
        <w:t>Phone</w:t>
      </w:r>
      <w:r w:rsidRPr="00C90E40">
        <w:t xml:space="preserve"> </w:t>
      </w:r>
      <w:r w:rsidRPr="00095E29">
        <w:t>03 9607 9550</w:t>
      </w:r>
      <w:r w:rsidR="00731993">
        <w:br w:type="page"/>
      </w:r>
    </w:p>
    <w:p w:rsidR="00731993" w:rsidRPr="00270976" w:rsidRDefault="00731993" w:rsidP="00270976">
      <w:pPr>
        <w:pStyle w:val="Heading3"/>
      </w:pPr>
      <w:bookmarkStart w:id="188" w:name="_Toc527120894"/>
      <w:r w:rsidRPr="00270976">
        <w:lastRenderedPageBreak/>
        <w:t>Consumer Affairs Victoria</w:t>
      </w:r>
      <w:bookmarkEnd w:id="188"/>
    </w:p>
    <w:p w:rsidR="00731993" w:rsidRDefault="00740E51" w:rsidP="00731993">
      <w:pPr>
        <w:pStyle w:val="BodyText"/>
        <w:rPr>
          <w:lang w:val="en-GB"/>
        </w:rPr>
      </w:pPr>
      <w:hyperlink r:id="rId27" w:history="1">
        <w:hyperlink r:id="rId28" w:history="1">
          <w:r w:rsidR="00731993" w:rsidRPr="0023382A">
            <w:rPr>
              <w:rStyle w:val="Hyperlink"/>
            </w:rPr>
            <w:t>Consumer Affairs Victoria website</w:t>
          </w:r>
        </w:hyperlink>
        <w:r w:rsidR="00731993">
          <w:t xml:space="preserve"> &lt;</w:t>
        </w:r>
        <w:r w:rsidR="00731993" w:rsidRPr="0023382A">
          <w:t>consumer.vic.gov.au</w:t>
        </w:r>
        <w:r w:rsidR="00731993">
          <w:t>&gt;</w:t>
        </w:r>
      </w:hyperlink>
    </w:p>
    <w:p w:rsidR="00731993" w:rsidRDefault="00731993" w:rsidP="00731993">
      <w:pPr>
        <w:pStyle w:val="BodyText"/>
        <w:rPr>
          <w:lang w:val="en-GB"/>
        </w:rPr>
      </w:pPr>
      <w:r>
        <w:rPr>
          <w:lang w:val="en-GB"/>
        </w:rPr>
        <w:t>1300 55 81 81 (local call charge)</w:t>
      </w:r>
    </w:p>
    <w:p w:rsidR="00731993" w:rsidRPr="0086158F" w:rsidRDefault="00740E51" w:rsidP="00731993">
      <w:pPr>
        <w:pStyle w:val="BodyText"/>
      </w:pPr>
      <w:hyperlink r:id="rId29" w:history="1">
        <w:r w:rsidR="00731993" w:rsidRPr="0086158F">
          <w:rPr>
            <w:rStyle w:val="Hyperlink"/>
            <w:lang w:val="en-GB"/>
          </w:rPr>
          <w:t>Facebook page of Consumer Affairs Victoria</w:t>
        </w:r>
      </w:hyperlink>
      <w:r w:rsidR="00731993" w:rsidRPr="0086158F">
        <w:rPr>
          <w:lang w:val="en-GB"/>
        </w:rPr>
        <w:t xml:space="preserve"> &lt;facebook.com/</w:t>
      </w:r>
      <w:proofErr w:type="spellStart"/>
      <w:r w:rsidR="00731993" w:rsidRPr="0086158F">
        <w:rPr>
          <w:lang w:val="en-GB"/>
        </w:rPr>
        <w:t>ConsumerAffairsVictoria</w:t>
      </w:r>
      <w:proofErr w:type="spellEnd"/>
      <w:r w:rsidR="00731993" w:rsidRPr="0086158F">
        <w:rPr>
          <w:lang w:val="en-GB"/>
        </w:rPr>
        <w:t>&gt;</w:t>
      </w:r>
    </w:p>
    <w:p w:rsidR="00731993" w:rsidRPr="0086158F" w:rsidRDefault="00740E51" w:rsidP="00731993">
      <w:pPr>
        <w:pStyle w:val="BodyText"/>
        <w:rPr>
          <w:lang w:val="en-GB"/>
        </w:rPr>
      </w:pPr>
      <w:hyperlink r:id="rId30" w:history="1">
        <w:r w:rsidR="00731993" w:rsidRPr="0086158F">
          <w:rPr>
            <w:rStyle w:val="Hyperlink"/>
            <w:lang w:val="en-GB"/>
          </w:rPr>
          <w:t>Twitter page of Consumer Affairs Victoria</w:t>
        </w:r>
      </w:hyperlink>
      <w:r w:rsidR="00731993" w:rsidRPr="0086158F">
        <w:rPr>
          <w:lang w:val="en-GB"/>
        </w:rPr>
        <w:t xml:space="preserve"> &lt;twitter.com/</w:t>
      </w:r>
      <w:proofErr w:type="spellStart"/>
      <w:r w:rsidR="00731993" w:rsidRPr="0086158F">
        <w:rPr>
          <w:lang w:val="en-GB"/>
        </w:rPr>
        <w:t>consumervic</w:t>
      </w:r>
      <w:proofErr w:type="spellEnd"/>
      <w:r w:rsidR="00731993" w:rsidRPr="0086158F">
        <w:rPr>
          <w:lang w:val="en-GB"/>
        </w:rPr>
        <w:t>&gt;</w:t>
      </w:r>
    </w:p>
    <w:p w:rsidR="00731993" w:rsidRPr="0086158F" w:rsidRDefault="00740E51" w:rsidP="00731993">
      <w:pPr>
        <w:pStyle w:val="BodyText"/>
        <w:rPr>
          <w:lang w:val="en-GB"/>
        </w:rPr>
      </w:pPr>
      <w:hyperlink r:id="rId31" w:history="1">
        <w:r w:rsidR="00731993" w:rsidRPr="0086158F">
          <w:rPr>
            <w:rStyle w:val="Hyperlink"/>
            <w:lang w:val="en-GB"/>
          </w:rPr>
          <w:t>YouTube page of Consumer Affairs Victoria</w:t>
        </w:r>
      </w:hyperlink>
      <w:r w:rsidR="00731993" w:rsidRPr="0086158F">
        <w:rPr>
          <w:lang w:val="en-GB"/>
        </w:rPr>
        <w:t xml:space="preserve"> &lt;youtube.com/</w:t>
      </w:r>
      <w:proofErr w:type="spellStart"/>
      <w:r w:rsidR="00731993" w:rsidRPr="0086158F">
        <w:rPr>
          <w:lang w:val="en-GB"/>
        </w:rPr>
        <w:t>consumervic</w:t>
      </w:r>
      <w:proofErr w:type="spellEnd"/>
      <w:r w:rsidR="00731993" w:rsidRPr="0086158F">
        <w:rPr>
          <w:lang w:val="en-GB"/>
        </w:rPr>
        <w:t>&gt;</w:t>
      </w:r>
    </w:p>
    <w:p w:rsidR="00731993" w:rsidRPr="00B77EED" w:rsidRDefault="00731993" w:rsidP="00731993">
      <w:pPr>
        <w:pStyle w:val="BodyText"/>
      </w:pPr>
      <w:r w:rsidRPr="005272B2">
        <w:t>Services from Consumer Affairs Victoria are also available at Ballarat, Bendigo, Box Hill, Dandenong, Geelong, Mildura, Morwell, Reservoir, Shepparton, Wangaratta, Warrnambool, Werribee and Wodonga. Our mobile service regularly visits rural communities.</w:t>
      </w:r>
    </w:p>
    <w:p w:rsidR="00731993" w:rsidRDefault="00A90DBE" w:rsidP="00731993">
      <w:pPr>
        <w:pStyle w:val="BodyText"/>
      </w:pPr>
      <w:r>
        <w:t>October</w:t>
      </w:r>
      <w:r w:rsidR="00731993" w:rsidRPr="00A90DBE">
        <w:t xml:space="preserve"> 2018</w:t>
      </w:r>
    </w:p>
    <w:p w:rsidR="00731993" w:rsidRPr="009A73B3" w:rsidRDefault="00731993" w:rsidP="00F52CB3">
      <w:pPr>
        <w:pStyle w:val="Heading4"/>
      </w:pPr>
      <w:bookmarkStart w:id="189" w:name="_Toc476060226"/>
      <w:r w:rsidRPr="009A73B3">
        <w:t>TIS</w:t>
      </w:r>
      <w:bookmarkEnd w:id="189"/>
    </w:p>
    <w:p w:rsidR="00731993" w:rsidRDefault="00731993" w:rsidP="00731993">
      <w:pPr>
        <w:pStyle w:val="BodyText"/>
      </w:pPr>
      <w:r>
        <w:t>Translating and Interpreting Service</w:t>
      </w:r>
      <w:r>
        <w:rPr>
          <w:rFonts w:ascii="StoneSansITCStd-SemiBold" w:hAnsi="StoneSansITCStd-SemiBold" w:cs="StoneSansITCStd-SemiBold"/>
          <w:b/>
          <w:bCs/>
        </w:rPr>
        <w:t xml:space="preserve"> </w:t>
      </w:r>
      <w:r w:rsidRPr="009A73B3">
        <w:rPr>
          <w:rStyle w:val="Bold"/>
          <w:rFonts w:cs="StoneSansITCStd-SemiBold"/>
          <w:bCs/>
        </w:rPr>
        <w:t>13</w:t>
      </w:r>
      <w:r>
        <w:rPr>
          <w:rStyle w:val="Bold"/>
          <w:rFonts w:cs="StoneSansITCStd-SemiBold"/>
          <w:bCs/>
        </w:rPr>
        <w:t xml:space="preserve">1 </w:t>
      </w:r>
      <w:r w:rsidRPr="009A73B3">
        <w:rPr>
          <w:rStyle w:val="Bold"/>
          <w:rFonts w:cs="StoneSansITCStd-SemiBold"/>
          <w:bCs/>
        </w:rPr>
        <w:t>450</w:t>
      </w:r>
    </w:p>
    <w:p w:rsidR="00731993" w:rsidRPr="009A73B3" w:rsidRDefault="00731993" w:rsidP="00F52CB3">
      <w:pPr>
        <w:pStyle w:val="Heading4"/>
      </w:pPr>
      <w:bookmarkStart w:id="190" w:name="_Toc476060227"/>
      <w:r w:rsidRPr="009A73B3">
        <w:t>TTY</w:t>
      </w:r>
      <w:bookmarkEnd w:id="190"/>
    </w:p>
    <w:p w:rsidR="00731993" w:rsidRDefault="00731993" w:rsidP="00731993">
      <w:pPr>
        <w:pStyle w:val="BodyText"/>
      </w:pPr>
      <w:r>
        <w:t xml:space="preserve">Textphone or modem users only, ring the National Relay Service (NRS) on </w:t>
      </w:r>
      <w:r w:rsidRPr="009A73B3">
        <w:rPr>
          <w:rStyle w:val="Bold"/>
          <w:rFonts w:cs="StoneSansITCStd-SemiBold"/>
          <w:bCs/>
        </w:rPr>
        <w:t>13</w:t>
      </w:r>
      <w:r>
        <w:rPr>
          <w:rStyle w:val="Bold"/>
          <w:rFonts w:cs="StoneSansITCStd-SemiBold"/>
          <w:bCs/>
        </w:rPr>
        <w:t xml:space="preserve">3 </w:t>
      </w:r>
      <w:r w:rsidRPr="009A73B3">
        <w:rPr>
          <w:rStyle w:val="Bold"/>
          <w:rFonts w:cs="StoneSansITCStd-SemiBold"/>
          <w:bCs/>
        </w:rPr>
        <w:t>677</w:t>
      </w:r>
      <w:r>
        <w:t xml:space="preserve">, then quote </w:t>
      </w:r>
      <w:r>
        <w:rPr>
          <w:rStyle w:val="Bold"/>
          <w:rFonts w:cs="StoneSansITCStd-SemiBold"/>
          <w:bCs/>
        </w:rPr>
        <w:t>1300 55 81 </w:t>
      </w:r>
      <w:r w:rsidRPr="009A73B3">
        <w:rPr>
          <w:rStyle w:val="Bold"/>
          <w:rFonts w:cs="StoneSansITCStd-SemiBold"/>
          <w:bCs/>
        </w:rPr>
        <w:t>81</w:t>
      </w:r>
      <w:r>
        <w:t>.</w:t>
      </w:r>
    </w:p>
    <w:p w:rsidR="00731993" w:rsidRPr="00EC37C5" w:rsidRDefault="00731993" w:rsidP="00992D84">
      <w:pPr>
        <w:pStyle w:val="BodyText"/>
      </w:pPr>
      <w:r>
        <w:t xml:space="preserve">Callers who use Speech to Speech Relay dial </w:t>
      </w:r>
      <w:r w:rsidRPr="009A73B3">
        <w:rPr>
          <w:rStyle w:val="Bold"/>
          <w:rFonts w:cs="StoneSansITCStd-SemiBold"/>
          <w:bCs/>
        </w:rPr>
        <w:t>1300 555 727</w:t>
      </w:r>
      <w:r>
        <w:t xml:space="preserve">, then quote </w:t>
      </w:r>
      <w:r w:rsidRPr="009A73B3">
        <w:rPr>
          <w:rStyle w:val="Bold"/>
          <w:rFonts w:cs="StoneSansITCStd-SemiBold"/>
          <w:bCs/>
        </w:rPr>
        <w:t>1300 55 81 81</w:t>
      </w:r>
      <w:r>
        <w:t>.</w:t>
      </w:r>
    </w:p>
    <w:sectPr w:rsidR="00731993" w:rsidRPr="00EC37C5" w:rsidSect="00FA0698">
      <w:headerReference w:type="default" r:id="rId32"/>
      <w:footerReference w:type="default" r:id="rId33"/>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99A" w:rsidRDefault="0018499A">
      <w:r>
        <w:separator/>
      </w:r>
    </w:p>
  </w:endnote>
  <w:endnote w:type="continuationSeparator" w:id="0">
    <w:p w:rsidR="0018499A" w:rsidRDefault="0018499A">
      <w:r>
        <w:continuationSeparator/>
      </w:r>
    </w:p>
  </w:endnote>
  <w:endnote w:type="continuationNotice" w:id="1">
    <w:p w:rsidR="0018499A" w:rsidRDefault="0018499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20000A87"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toneSansITCStd-SemiBol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38" w:rsidRPr="000D6EC6" w:rsidRDefault="00740E51" w:rsidP="00A003B0">
    <w:pPr>
      <w:pStyle w:val="Footer"/>
    </w:pPr>
    <w:hyperlink r:id="rId1" w:history="1">
      <w:r w:rsidR="00245B38" w:rsidRPr="004C1487">
        <w:rPr>
          <w:rStyle w:val="FooterURL"/>
        </w:rPr>
        <w:t>consumer.vic.gov.au</w:t>
      </w:r>
    </w:hyperlink>
    <w:r w:rsidR="00245B38" w:rsidRPr="00B21294">
      <w:tab/>
    </w:r>
    <w:r w:rsidR="00245B38" w:rsidRPr="00176A29">
      <w:t xml:space="preserve">Page </w:t>
    </w:r>
    <w:r w:rsidR="00245B38">
      <w:rPr>
        <w:b/>
        <w:bCs/>
      </w:rPr>
      <w:fldChar w:fldCharType="begin"/>
    </w:r>
    <w:r w:rsidR="00245B38">
      <w:rPr>
        <w:b/>
        <w:bCs/>
      </w:rPr>
      <w:instrText xml:space="preserve"> PAGE </w:instrText>
    </w:r>
    <w:r w:rsidR="00245B38">
      <w:rPr>
        <w:b/>
        <w:bCs/>
      </w:rPr>
      <w:fldChar w:fldCharType="separate"/>
    </w:r>
    <w:r w:rsidR="006C0F52">
      <w:rPr>
        <w:b/>
        <w:bCs/>
        <w:noProof/>
      </w:rPr>
      <w:t>13</w:t>
    </w:r>
    <w:r w:rsidR="00245B38">
      <w:rPr>
        <w:b/>
        <w:bCs/>
      </w:rPr>
      <w:fldChar w:fldCharType="end"/>
    </w:r>
    <w:r w:rsidR="00245B38">
      <w:t xml:space="preserve"> of </w:t>
    </w:r>
    <w:r w:rsidR="00245B38">
      <w:rPr>
        <w:b/>
        <w:bCs/>
      </w:rPr>
      <w:fldChar w:fldCharType="begin"/>
    </w:r>
    <w:r w:rsidR="00245B38">
      <w:rPr>
        <w:b/>
        <w:bCs/>
      </w:rPr>
      <w:instrText xml:space="preserve"> NUMPAGES  </w:instrText>
    </w:r>
    <w:r w:rsidR="00245B38">
      <w:rPr>
        <w:b/>
        <w:bCs/>
      </w:rPr>
      <w:fldChar w:fldCharType="separate"/>
    </w:r>
    <w:r w:rsidR="006C0F52">
      <w:rPr>
        <w:b/>
        <w:bCs/>
        <w:noProof/>
      </w:rPr>
      <w:t>20</w:t>
    </w:r>
    <w:r w:rsidR="00245B38">
      <w:rPr>
        <w:b/>
        <w:bCs/>
      </w:rPr>
      <w:fldChar w:fldCharType="end"/>
    </w:r>
    <w:r w:rsidR="00245B38">
      <w:tab/>
    </w:r>
    <w:r w:rsidR="00245B38">
      <w:rPr>
        <w:noProof/>
      </w:rPr>
      <w:drawing>
        <wp:inline distT="0" distB="0" distL="0" distR="0" wp14:anchorId="04F74ABA" wp14:editId="1DFA7353">
          <wp:extent cx="1669859" cy="464185"/>
          <wp:effectExtent l="0" t="0" r="6985" b="0"/>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669859" cy="464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99A" w:rsidRDefault="0018499A">
      <w:r>
        <w:separator/>
      </w:r>
    </w:p>
  </w:footnote>
  <w:footnote w:type="continuationSeparator" w:id="0">
    <w:p w:rsidR="0018499A" w:rsidRDefault="0018499A">
      <w:r>
        <w:continuationSeparator/>
      </w:r>
    </w:p>
  </w:footnote>
  <w:footnote w:type="continuationNotice" w:id="1">
    <w:p w:rsidR="0018499A" w:rsidRDefault="0018499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B38" w:rsidRPr="00CC55AA" w:rsidRDefault="00245B38" w:rsidP="001C0E5A">
    <w:pPr>
      <w:pStyle w:val="Header"/>
    </w:pPr>
    <w:r w:rsidRPr="00D33A5B">
      <w:t>Retirement villages: good practice to address key issues</w:t>
    </w:r>
    <w:r>
      <w:t xml:space="preserve"> – a guide for residents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2EE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7213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9FFC2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124982"/>
    <w:lvl w:ilvl="0">
      <w:start w:val="1"/>
      <w:numFmt w:val="bullet"/>
      <w:pStyle w:val="ListBullet4"/>
      <w:lvlText w:val="o"/>
      <w:lvlJc w:val="left"/>
      <w:pPr>
        <w:ind w:left="927" w:hanging="360"/>
      </w:pPr>
      <w:rPr>
        <w:rFonts w:ascii="Courier New" w:hAnsi="Courier New" w:cs="Courier New" w:hint="default"/>
      </w:rPr>
    </w:lvl>
  </w:abstractNum>
  <w:abstractNum w:abstractNumId="6"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7"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8FE86232"/>
    <w:lvl w:ilvl="0">
      <w:start w:val="1"/>
      <w:numFmt w:val="decimal"/>
      <w:pStyle w:val="ListNumber"/>
      <w:lvlText w:val="%1."/>
      <w:lvlJc w:val="left"/>
      <w:pPr>
        <w:ind w:left="340" w:hanging="340"/>
      </w:pPr>
      <w:rPr>
        <w:rFonts w:hint="default"/>
      </w:rPr>
    </w:lvl>
  </w:abstractNum>
  <w:abstractNum w:abstractNumId="9" w15:restartNumberingAfterBreak="0">
    <w:nsid w:val="FFFFFF89"/>
    <w:multiLevelType w:val="singleLevel"/>
    <w:tmpl w:val="C4DA79EC"/>
    <w:lvl w:ilvl="0">
      <w:start w:val="1"/>
      <w:numFmt w:val="bullet"/>
      <w:pStyle w:val="ListBullet"/>
      <w:lvlText w:val=""/>
      <w:lvlJc w:val="left"/>
      <w:pPr>
        <w:ind w:left="5614" w:hanging="227"/>
      </w:pPr>
      <w:rPr>
        <w:rFonts w:ascii="Symbol" w:hAnsi="Symbol" w:hint="default"/>
      </w:rPr>
    </w:lvl>
  </w:abstractNum>
  <w:abstractNum w:abstractNumId="10" w15:restartNumberingAfterBreak="0">
    <w:nsid w:val="2BCF6785"/>
    <w:multiLevelType w:val="hybridMultilevel"/>
    <w:tmpl w:val="EAF2F520"/>
    <w:lvl w:ilvl="0" w:tplc="7586FDB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0CBB"/>
    <w:multiLevelType w:val="multilevel"/>
    <w:tmpl w:val="4A4EE156"/>
    <w:styleLink w:val="StyleBulleted"/>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37903"/>
    <w:multiLevelType w:val="hybridMultilevel"/>
    <w:tmpl w:val="237A42D4"/>
    <w:lvl w:ilvl="0" w:tplc="30BADEAC">
      <w:start w:val="1"/>
      <w:numFmt w:val="bullet"/>
      <w:lvlText w:val=""/>
      <w:lvlJc w:val="left"/>
      <w:pPr>
        <w:tabs>
          <w:tab w:val="num" w:pos="1588"/>
        </w:tabs>
        <w:ind w:left="1588" w:hanging="397"/>
      </w:pPr>
      <w:rPr>
        <w:rFonts w:ascii="Wingdings" w:hAnsi="Wingdings"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87408A"/>
    <w:multiLevelType w:val="multilevel"/>
    <w:tmpl w:val="14C07E6E"/>
    <w:lvl w:ilvl="0">
      <w:start w:val="1"/>
      <w:numFmt w:val="decimal"/>
      <w:lvlText w:val="Appendix %1"/>
      <w:lvlJc w:val="left"/>
      <w:pPr>
        <w:tabs>
          <w:tab w:val="num" w:pos="1440"/>
        </w:tabs>
        <w:ind w:left="1134" w:hanging="1134"/>
      </w:pPr>
      <w:rPr>
        <w:rFonts w:hint="default"/>
      </w:rPr>
    </w:lvl>
    <w:lvl w:ilvl="1">
      <w:start w:val="1"/>
      <w:numFmt w:val="none"/>
      <w:lvlRestart w:val="0"/>
      <w:suff w:val="nothing"/>
      <w:lvlText w:val=""/>
      <w:lvlJc w:val="left"/>
      <w:pPr>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6393400"/>
    <w:multiLevelType w:val="multilevel"/>
    <w:tmpl w:val="C33A1DF8"/>
    <w:lvl w:ilvl="0">
      <w:start w:val="1"/>
      <w:numFmt w:val="decimal"/>
      <w:lvlRestart w:val="0"/>
      <w:lvlText w:val="%1)"/>
      <w:lvlJc w:val="left"/>
      <w:pPr>
        <w:tabs>
          <w:tab w:val="num" w:pos="1417"/>
        </w:tabs>
        <w:ind w:left="1417" w:hanging="567"/>
      </w:pPr>
      <w:rPr>
        <w:rFonts w:ascii="Arial" w:hAnsi="Arial" w:cs="Arial" w:hint="default"/>
      </w:rPr>
    </w:lvl>
    <w:lvl w:ilvl="1">
      <w:start w:val="1"/>
      <w:numFmt w:val="lowerLetter"/>
      <w:lvlText w:val="%2."/>
      <w:lvlJc w:val="left"/>
      <w:pPr>
        <w:tabs>
          <w:tab w:val="num" w:pos="1984"/>
        </w:tabs>
        <w:ind w:left="1984" w:hanging="567"/>
      </w:pPr>
      <w:rPr>
        <w:rFonts w:ascii="Arial" w:hAnsi="Arial" w:cs="Arial" w:hint="default"/>
      </w:rPr>
    </w:lvl>
    <w:lvl w:ilvl="2">
      <w:start w:val="1"/>
      <w:numFmt w:val="lowerRoman"/>
      <w:lvlText w:val="%3."/>
      <w:lvlJc w:val="left"/>
      <w:pPr>
        <w:tabs>
          <w:tab w:val="num" w:pos="2449"/>
        </w:tabs>
        <w:ind w:left="2449" w:hanging="465"/>
      </w:pPr>
      <w:rPr>
        <w:rFonts w:ascii="Arial" w:hAnsi="Arial" w:cs="Arial" w:hint="default"/>
      </w:rPr>
    </w:lvl>
    <w:lvl w:ilvl="3">
      <w:start w:val="1"/>
      <w:numFmt w:val="decimal"/>
      <w:lvlText w:val="(%4)"/>
      <w:lvlJc w:val="left"/>
      <w:pPr>
        <w:tabs>
          <w:tab w:val="num" w:pos="3005"/>
        </w:tabs>
        <w:ind w:left="3005" w:hanging="556"/>
      </w:pPr>
      <w:rPr>
        <w:rFonts w:ascii="Arial" w:hAnsi="Arial" w:cs="Arial" w:hint="default"/>
      </w:rPr>
    </w:lvl>
    <w:lvl w:ilvl="4">
      <w:start w:val="1"/>
      <w:numFmt w:val="decimal"/>
      <w:lvlText w:val="%1.%2.%3.%4.%5."/>
      <w:lvlJc w:val="left"/>
      <w:pPr>
        <w:tabs>
          <w:tab w:val="num" w:pos="3084"/>
        </w:tabs>
        <w:ind w:left="3084" w:hanging="794"/>
      </w:pPr>
      <w:rPr>
        <w:rFonts w:ascii="Arial" w:hAnsi="Arial" w:cs="Arial" w:hint="default"/>
      </w:rPr>
    </w:lvl>
    <w:lvl w:ilvl="5">
      <w:start w:val="1"/>
      <w:numFmt w:val="decimal"/>
      <w:lvlText w:val="%1.%2.%3.%4.%5.%6."/>
      <w:lvlJc w:val="left"/>
      <w:pPr>
        <w:tabs>
          <w:tab w:val="num" w:pos="3589"/>
        </w:tabs>
        <w:ind w:left="3589" w:hanging="936"/>
      </w:pPr>
      <w:rPr>
        <w:rFonts w:ascii="Arial" w:hAnsi="Arial" w:cs="Arial" w:hint="default"/>
      </w:rPr>
    </w:lvl>
    <w:lvl w:ilvl="6">
      <w:start w:val="1"/>
      <w:numFmt w:val="decimal"/>
      <w:lvlText w:val="%1.%2.%3.%4.%5.%6.%7."/>
      <w:lvlJc w:val="left"/>
      <w:pPr>
        <w:tabs>
          <w:tab w:val="num" w:pos="4093"/>
        </w:tabs>
        <w:ind w:left="4093" w:hanging="1083"/>
      </w:pPr>
      <w:rPr>
        <w:rFonts w:ascii="Arial" w:hAnsi="Arial" w:cs="Arial" w:hint="default"/>
      </w:rPr>
    </w:lvl>
    <w:lvl w:ilvl="7">
      <w:start w:val="1"/>
      <w:numFmt w:val="decimal"/>
      <w:lvlText w:val="%1.%2.%3.%4.%5.%6.%7.%8."/>
      <w:lvlJc w:val="left"/>
      <w:pPr>
        <w:tabs>
          <w:tab w:val="num" w:pos="4592"/>
        </w:tabs>
        <w:ind w:left="4592" w:hanging="1219"/>
      </w:pPr>
      <w:rPr>
        <w:rFonts w:ascii="Arial" w:hAnsi="Arial" w:cs="Arial" w:hint="default"/>
      </w:rPr>
    </w:lvl>
    <w:lvl w:ilvl="8">
      <w:start w:val="1"/>
      <w:numFmt w:val="decimal"/>
      <w:lvlText w:val="%1.%2.%3.%4.%5.%6.%7.%8.%9."/>
      <w:lvlJc w:val="left"/>
      <w:pPr>
        <w:tabs>
          <w:tab w:val="num" w:pos="5170"/>
        </w:tabs>
        <w:ind w:left="5170" w:hanging="1440"/>
      </w:pPr>
      <w:rPr>
        <w:rFonts w:ascii="Arial" w:hAnsi="Arial" w:cs="Arial" w:hint="default"/>
      </w:rPr>
    </w:lvl>
  </w:abstractNum>
  <w:abstractNum w:abstractNumId="1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6"/>
  </w:num>
  <w:num w:numId="3">
    <w:abstractNumId w:val="9"/>
  </w:num>
  <w:num w:numId="4">
    <w:abstractNumId w:val="7"/>
  </w:num>
  <w:num w:numId="5">
    <w:abstractNumId w:val="6"/>
  </w:num>
  <w:num w:numId="6">
    <w:abstractNumId w:val="8"/>
  </w:num>
  <w:num w:numId="7">
    <w:abstractNumId w:val="3"/>
  </w:num>
  <w:num w:numId="8">
    <w:abstractNumId w:val="2"/>
  </w:num>
  <w:num w:numId="9">
    <w:abstractNumId w:val="13"/>
  </w:num>
  <w:num w:numId="10">
    <w:abstractNumId w:val="10"/>
  </w:num>
  <w:num w:numId="11">
    <w:abstractNumId w:val="5"/>
  </w:num>
  <w:num w:numId="12">
    <w:abstractNumId w:val="14"/>
  </w:num>
  <w:num w:numId="13">
    <w:abstractNumId w:val="12"/>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4"/>
  </w:num>
  <w:num w:numId="30">
    <w:abstractNumId w:val="1"/>
  </w:num>
  <w:num w:numId="31">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en-GB" w:vendorID="64" w:dllVersion="0" w:nlCheck="1" w:checkStyle="0"/>
  <w:proofState w:spelling="clean" w:grammar="clean"/>
  <w:stylePaneSortMethod w:val="00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106F7"/>
    <w:rsid w:val="00011A9C"/>
    <w:rsid w:val="00011CCD"/>
    <w:rsid w:val="00012EB1"/>
    <w:rsid w:val="000142AD"/>
    <w:rsid w:val="000158AF"/>
    <w:rsid w:val="00016B72"/>
    <w:rsid w:val="00016E2C"/>
    <w:rsid w:val="00023D7A"/>
    <w:rsid w:val="000248CD"/>
    <w:rsid w:val="00026B79"/>
    <w:rsid w:val="00026F36"/>
    <w:rsid w:val="000332CA"/>
    <w:rsid w:val="00034DCA"/>
    <w:rsid w:val="00035877"/>
    <w:rsid w:val="000360AD"/>
    <w:rsid w:val="00036C56"/>
    <w:rsid w:val="00037209"/>
    <w:rsid w:val="000423D9"/>
    <w:rsid w:val="0004256E"/>
    <w:rsid w:val="00051465"/>
    <w:rsid w:val="000529F3"/>
    <w:rsid w:val="00066145"/>
    <w:rsid w:val="000709BC"/>
    <w:rsid w:val="0007177E"/>
    <w:rsid w:val="00072BCF"/>
    <w:rsid w:val="0007384C"/>
    <w:rsid w:val="00076439"/>
    <w:rsid w:val="00077457"/>
    <w:rsid w:val="0007767A"/>
    <w:rsid w:val="000800BA"/>
    <w:rsid w:val="000804D2"/>
    <w:rsid w:val="000856D9"/>
    <w:rsid w:val="0008604F"/>
    <w:rsid w:val="000864A8"/>
    <w:rsid w:val="000921AB"/>
    <w:rsid w:val="00093DE3"/>
    <w:rsid w:val="000943F0"/>
    <w:rsid w:val="000969EF"/>
    <w:rsid w:val="000A1003"/>
    <w:rsid w:val="000A58DA"/>
    <w:rsid w:val="000A6040"/>
    <w:rsid w:val="000B3990"/>
    <w:rsid w:val="000B4991"/>
    <w:rsid w:val="000B676B"/>
    <w:rsid w:val="000B6893"/>
    <w:rsid w:val="000B7612"/>
    <w:rsid w:val="000C085D"/>
    <w:rsid w:val="000C19D8"/>
    <w:rsid w:val="000C21A4"/>
    <w:rsid w:val="000C4342"/>
    <w:rsid w:val="000C463A"/>
    <w:rsid w:val="000D31F5"/>
    <w:rsid w:val="000D6EC6"/>
    <w:rsid w:val="000E05EE"/>
    <w:rsid w:val="000E0EC8"/>
    <w:rsid w:val="000E1E4D"/>
    <w:rsid w:val="000E21CE"/>
    <w:rsid w:val="000E32CE"/>
    <w:rsid w:val="000E5388"/>
    <w:rsid w:val="000E66B4"/>
    <w:rsid w:val="000E6FF4"/>
    <w:rsid w:val="000E79DA"/>
    <w:rsid w:val="000F1116"/>
    <w:rsid w:val="000F479B"/>
    <w:rsid w:val="000F4800"/>
    <w:rsid w:val="00100016"/>
    <w:rsid w:val="00102A88"/>
    <w:rsid w:val="00112684"/>
    <w:rsid w:val="00117D50"/>
    <w:rsid w:val="00123206"/>
    <w:rsid w:val="001241F9"/>
    <w:rsid w:val="00124568"/>
    <w:rsid w:val="00126F99"/>
    <w:rsid w:val="00135543"/>
    <w:rsid w:val="00145D18"/>
    <w:rsid w:val="001472E1"/>
    <w:rsid w:val="00150435"/>
    <w:rsid w:val="00151EFD"/>
    <w:rsid w:val="00152594"/>
    <w:rsid w:val="00154883"/>
    <w:rsid w:val="00154B9D"/>
    <w:rsid w:val="00156102"/>
    <w:rsid w:val="00156AF0"/>
    <w:rsid w:val="001571DD"/>
    <w:rsid w:val="00160596"/>
    <w:rsid w:val="00161967"/>
    <w:rsid w:val="001619CD"/>
    <w:rsid w:val="001666E4"/>
    <w:rsid w:val="00166AF0"/>
    <w:rsid w:val="00170534"/>
    <w:rsid w:val="001742BC"/>
    <w:rsid w:val="0017458B"/>
    <w:rsid w:val="00176E7C"/>
    <w:rsid w:val="00177328"/>
    <w:rsid w:val="00184152"/>
    <w:rsid w:val="0018499A"/>
    <w:rsid w:val="001852B6"/>
    <w:rsid w:val="00186A11"/>
    <w:rsid w:val="00190072"/>
    <w:rsid w:val="00191699"/>
    <w:rsid w:val="00194022"/>
    <w:rsid w:val="00197252"/>
    <w:rsid w:val="001975DB"/>
    <w:rsid w:val="00197AD6"/>
    <w:rsid w:val="001A083B"/>
    <w:rsid w:val="001A1340"/>
    <w:rsid w:val="001A422D"/>
    <w:rsid w:val="001A7814"/>
    <w:rsid w:val="001A7995"/>
    <w:rsid w:val="001B1ACE"/>
    <w:rsid w:val="001B1B1E"/>
    <w:rsid w:val="001B5CC7"/>
    <w:rsid w:val="001C0691"/>
    <w:rsid w:val="001C0E5A"/>
    <w:rsid w:val="001C2691"/>
    <w:rsid w:val="001C6FDA"/>
    <w:rsid w:val="001D1628"/>
    <w:rsid w:val="001E0CAA"/>
    <w:rsid w:val="001E1C33"/>
    <w:rsid w:val="001E268C"/>
    <w:rsid w:val="001E3E1F"/>
    <w:rsid w:val="001E6BD1"/>
    <w:rsid w:val="001F290F"/>
    <w:rsid w:val="001F3633"/>
    <w:rsid w:val="001F49B1"/>
    <w:rsid w:val="001F776A"/>
    <w:rsid w:val="001F7C74"/>
    <w:rsid w:val="00200250"/>
    <w:rsid w:val="00203243"/>
    <w:rsid w:val="00203699"/>
    <w:rsid w:val="0020544E"/>
    <w:rsid w:val="00207445"/>
    <w:rsid w:val="00207E80"/>
    <w:rsid w:val="00210AE0"/>
    <w:rsid w:val="00211C66"/>
    <w:rsid w:val="002139DA"/>
    <w:rsid w:val="002214EF"/>
    <w:rsid w:val="0022407F"/>
    <w:rsid w:val="00224201"/>
    <w:rsid w:val="002249A5"/>
    <w:rsid w:val="00232B35"/>
    <w:rsid w:val="0023382A"/>
    <w:rsid w:val="0023429A"/>
    <w:rsid w:val="00236034"/>
    <w:rsid w:val="00236077"/>
    <w:rsid w:val="002403AE"/>
    <w:rsid w:val="0024273E"/>
    <w:rsid w:val="00242803"/>
    <w:rsid w:val="00243157"/>
    <w:rsid w:val="00244399"/>
    <w:rsid w:val="0024501B"/>
    <w:rsid w:val="00245B38"/>
    <w:rsid w:val="002503D9"/>
    <w:rsid w:val="0025106A"/>
    <w:rsid w:val="0025145C"/>
    <w:rsid w:val="00251998"/>
    <w:rsid w:val="00252A5B"/>
    <w:rsid w:val="00252D1B"/>
    <w:rsid w:val="002555D6"/>
    <w:rsid w:val="0026014D"/>
    <w:rsid w:val="00263664"/>
    <w:rsid w:val="0026467D"/>
    <w:rsid w:val="002679AA"/>
    <w:rsid w:val="00270976"/>
    <w:rsid w:val="00272182"/>
    <w:rsid w:val="002734E2"/>
    <w:rsid w:val="002737DF"/>
    <w:rsid w:val="00276F98"/>
    <w:rsid w:val="00280E42"/>
    <w:rsid w:val="0028153E"/>
    <w:rsid w:val="0028233F"/>
    <w:rsid w:val="002833AF"/>
    <w:rsid w:val="002868A0"/>
    <w:rsid w:val="002870CB"/>
    <w:rsid w:val="00287BDA"/>
    <w:rsid w:val="00290A31"/>
    <w:rsid w:val="002975FD"/>
    <w:rsid w:val="002A05CB"/>
    <w:rsid w:val="002A0B93"/>
    <w:rsid w:val="002A301C"/>
    <w:rsid w:val="002A4227"/>
    <w:rsid w:val="002A4380"/>
    <w:rsid w:val="002A5455"/>
    <w:rsid w:val="002A59E8"/>
    <w:rsid w:val="002B0DBF"/>
    <w:rsid w:val="002B310A"/>
    <w:rsid w:val="002B5A77"/>
    <w:rsid w:val="002C0656"/>
    <w:rsid w:val="002C0A5E"/>
    <w:rsid w:val="002C3755"/>
    <w:rsid w:val="002C69AF"/>
    <w:rsid w:val="002C70DC"/>
    <w:rsid w:val="002D0F77"/>
    <w:rsid w:val="002D2AE0"/>
    <w:rsid w:val="002D5138"/>
    <w:rsid w:val="002E01D4"/>
    <w:rsid w:val="002E16B2"/>
    <w:rsid w:val="002E713B"/>
    <w:rsid w:val="002E7E9D"/>
    <w:rsid w:val="002F1C53"/>
    <w:rsid w:val="002F28A1"/>
    <w:rsid w:val="002F5059"/>
    <w:rsid w:val="002F6209"/>
    <w:rsid w:val="002F7D98"/>
    <w:rsid w:val="00303FBB"/>
    <w:rsid w:val="00304757"/>
    <w:rsid w:val="00311D48"/>
    <w:rsid w:val="0031319E"/>
    <w:rsid w:val="00315204"/>
    <w:rsid w:val="00323A38"/>
    <w:rsid w:val="003365B8"/>
    <w:rsid w:val="00350AF3"/>
    <w:rsid w:val="003520C8"/>
    <w:rsid w:val="00357A45"/>
    <w:rsid w:val="00357B5C"/>
    <w:rsid w:val="003606B0"/>
    <w:rsid w:val="003621CD"/>
    <w:rsid w:val="0036507B"/>
    <w:rsid w:val="003660F1"/>
    <w:rsid w:val="0036741F"/>
    <w:rsid w:val="003707C2"/>
    <w:rsid w:val="003727AC"/>
    <w:rsid w:val="003728D4"/>
    <w:rsid w:val="00372FE9"/>
    <w:rsid w:val="00374134"/>
    <w:rsid w:val="00387945"/>
    <w:rsid w:val="00396743"/>
    <w:rsid w:val="003A0D1E"/>
    <w:rsid w:val="003A352B"/>
    <w:rsid w:val="003A4039"/>
    <w:rsid w:val="003A6179"/>
    <w:rsid w:val="003A6865"/>
    <w:rsid w:val="003A7468"/>
    <w:rsid w:val="003B59E6"/>
    <w:rsid w:val="003B6685"/>
    <w:rsid w:val="003B6D8D"/>
    <w:rsid w:val="003C424F"/>
    <w:rsid w:val="003C5186"/>
    <w:rsid w:val="003D068B"/>
    <w:rsid w:val="003D13E3"/>
    <w:rsid w:val="003D29DB"/>
    <w:rsid w:val="003D2AA7"/>
    <w:rsid w:val="003D6FBB"/>
    <w:rsid w:val="003D76CC"/>
    <w:rsid w:val="003E0384"/>
    <w:rsid w:val="003E0566"/>
    <w:rsid w:val="003E0731"/>
    <w:rsid w:val="003E17D6"/>
    <w:rsid w:val="003E1E61"/>
    <w:rsid w:val="003E20D3"/>
    <w:rsid w:val="003E4760"/>
    <w:rsid w:val="003F24D8"/>
    <w:rsid w:val="003F573B"/>
    <w:rsid w:val="00405A8D"/>
    <w:rsid w:val="004069B8"/>
    <w:rsid w:val="0041016B"/>
    <w:rsid w:val="00415007"/>
    <w:rsid w:val="004177E9"/>
    <w:rsid w:val="00420DC0"/>
    <w:rsid w:val="00421E65"/>
    <w:rsid w:val="00425AD3"/>
    <w:rsid w:val="00432643"/>
    <w:rsid w:val="004372E4"/>
    <w:rsid w:val="0043779A"/>
    <w:rsid w:val="00441A8F"/>
    <w:rsid w:val="00441AC5"/>
    <w:rsid w:val="00450429"/>
    <w:rsid w:val="00462579"/>
    <w:rsid w:val="0047082B"/>
    <w:rsid w:val="00473457"/>
    <w:rsid w:val="004735A2"/>
    <w:rsid w:val="004749A5"/>
    <w:rsid w:val="00474EDD"/>
    <w:rsid w:val="004758D0"/>
    <w:rsid w:val="00483D3F"/>
    <w:rsid w:val="00484DDF"/>
    <w:rsid w:val="00486354"/>
    <w:rsid w:val="00490A6D"/>
    <w:rsid w:val="004960BE"/>
    <w:rsid w:val="004A6789"/>
    <w:rsid w:val="004B395F"/>
    <w:rsid w:val="004B4EB7"/>
    <w:rsid w:val="004B53CF"/>
    <w:rsid w:val="004C1487"/>
    <w:rsid w:val="004C4416"/>
    <w:rsid w:val="004D2FD9"/>
    <w:rsid w:val="004D5C84"/>
    <w:rsid w:val="004D7B45"/>
    <w:rsid w:val="004E1C65"/>
    <w:rsid w:val="004F12E2"/>
    <w:rsid w:val="004F1F7D"/>
    <w:rsid w:val="004F2003"/>
    <w:rsid w:val="004F3A73"/>
    <w:rsid w:val="004F72AC"/>
    <w:rsid w:val="004F7E34"/>
    <w:rsid w:val="00506322"/>
    <w:rsid w:val="0051039C"/>
    <w:rsid w:val="005110AF"/>
    <w:rsid w:val="0051248C"/>
    <w:rsid w:val="00512C20"/>
    <w:rsid w:val="00515282"/>
    <w:rsid w:val="00517B2F"/>
    <w:rsid w:val="00520953"/>
    <w:rsid w:val="00520BE3"/>
    <w:rsid w:val="00524E3B"/>
    <w:rsid w:val="00525FE7"/>
    <w:rsid w:val="00526C8C"/>
    <w:rsid w:val="005272B2"/>
    <w:rsid w:val="00536DD9"/>
    <w:rsid w:val="005373E6"/>
    <w:rsid w:val="005400D2"/>
    <w:rsid w:val="005411B9"/>
    <w:rsid w:val="0054142F"/>
    <w:rsid w:val="00541B2D"/>
    <w:rsid w:val="005435C3"/>
    <w:rsid w:val="005460AA"/>
    <w:rsid w:val="005501C9"/>
    <w:rsid w:val="005525D5"/>
    <w:rsid w:val="00552C4E"/>
    <w:rsid w:val="00554FF6"/>
    <w:rsid w:val="0056037C"/>
    <w:rsid w:val="0056276D"/>
    <w:rsid w:val="005708C2"/>
    <w:rsid w:val="00571E8C"/>
    <w:rsid w:val="005746FD"/>
    <w:rsid w:val="00584C2A"/>
    <w:rsid w:val="005860B1"/>
    <w:rsid w:val="005905CA"/>
    <w:rsid w:val="00590A25"/>
    <w:rsid w:val="00593910"/>
    <w:rsid w:val="005A31B1"/>
    <w:rsid w:val="005A46E6"/>
    <w:rsid w:val="005B0077"/>
    <w:rsid w:val="005B2C23"/>
    <w:rsid w:val="005B32DF"/>
    <w:rsid w:val="005B6594"/>
    <w:rsid w:val="005C0D96"/>
    <w:rsid w:val="005C0F7C"/>
    <w:rsid w:val="005C1500"/>
    <w:rsid w:val="005C3A42"/>
    <w:rsid w:val="005C4BD8"/>
    <w:rsid w:val="005C7B7E"/>
    <w:rsid w:val="005D0D77"/>
    <w:rsid w:val="005D2519"/>
    <w:rsid w:val="005D3C44"/>
    <w:rsid w:val="005D7AB8"/>
    <w:rsid w:val="005E6918"/>
    <w:rsid w:val="005E6CBB"/>
    <w:rsid w:val="005E78B7"/>
    <w:rsid w:val="005F02AA"/>
    <w:rsid w:val="00602362"/>
    <w:rsid w:val="006030BB"/>
    <w:rsid w:val="00606C92"/>
    <w:rsid w:val="00613F20"/>
    <w:rsid w:val="006173BD"/>
    <w:rsid w:val="006207D4"/>
    <w:rsid w:val="006229C7"/>
    <w:rsid w:val="00627AF0"/>
    <w:rsid w:val="006305CA"/>
    <w:rsid w:val="00630BF3"/>
    <w:rsid w:val="00630E93"/>
    <w:rsid w:val="00632F09"/>
    <w:rsid w:val="00634411"/>
    <w:rsid w:val="00634606"/>
    <w:rsid w:val="006364F4"/>
    <w:rsid w:val="00643BEB"/>
    <w:rsid w:val="006449BC"/>
    <w:rsid w:val="00646EC8"/>
    <w:rsid w:val="0064750E"/>
    <w:rsid w:val="00650ACB"/>
    <w:rsid w:val="00652B88"/>
    <w:rsid w:val="006533EB"/>
    <w:rsid w:val="00655078"/>
    <w:rsid w:val="00655BA7"/>
    <w:rsid w:val="00657D64"/>
    <w:rsid w:val="00660C65"/>
    <w:rsid w:val="00661147"/>
    <w:rsid w:val="00661B03"/>
    <w:rsid w:val="00661CB8"/>
    <w:rsid w:val="006655B1"/>
    <w:rsid w:val="00670797"/>
    <w:rsid w:val="00680DA4"/>
    <w:rsid w:val="00690AA8"/>
    <w:rsid w:val="00690DAB"/>
    <w:rsid w:val="00695F7F"/>
    <w:rsid w:val="00697FAB"/>
    <w:rsid w:val="006A1AE0"/>
    <w:rsid w:val="006A3C1E"/>
    <w:rsid w:val="006A41DC"/>
    <w:rsid w:val="006A4E5D"/>
    <w:rsid w:val="006B08BF"/>
    <w:rsid w:val="006C0F52"/>
    <w:rsid w:val="006C3C0E"/>
    <w:rsid w:val="006C722F"/>
    <w:rsid w:val="006D4AAF"/>
    <w:rsid w:val="006D6335"/>
    <w:rsid w:val="006E7E1C"/>
    <w:rsid w:val="006F3256"/>
    <w:rsid w:val="006F3C79"/>
    <w:rsid w:val="006F6B78"/>
    <w:rsid w:val="00714026"/>
    <w:rsid w:val="00731993"/>
    <w:rsid w:val="007363B2"/>
    <w:rsid w:val="00740145"/>
    <w:rsid w:val="00740E51"/>
    <w:rsid w:val="007412EB"/>
    <w:rsid w:val="00741855"/>
    <w:rsid w:val="007430FD"/>
    <w:rsid w:val="00743614"/>
    <w:rsid w:val="00745576"/>
    <w:rsid w:val="00745B14"/>
    <w:rsid w:val="00747155"/>
    <w:rsid w:val="00747EEF"/>
    <w:rsid w:val="0075252B"/>
    <w:rsid w:val="00754CE8"/>
    <w:rsid w:val="007628E5"/>
    <w:rsid w:val="007635C9"/>
    <w:rsid w:val="00767C26"/>
    <w:rsid w:val="0077139F"/>
    <w:rsid w:val="00771516"/>
    <w:rsid w:val="00774344"/>
    <w:rsid w:val="0077524D"/>
    <w:rsid w:val="00776144"/>
    <w:rsid w:val="00776B36"/>
    <w:rsid w:val="00777079"/>
    <w:rsid w:val="00781605"/>
    <w:rsid w:val="00785D6C"/>
    <w:rsid w:val="00786017"/>
    <w:rsid w:val="00791FF6"/>
    <w:rsid w:val="00793221"/>
    <w:rsid w:val="007A1F38"/>
    <w:rsid w:val="007A1F79"/>
    <w:rsid w:val="007A3E5C"/>
    <w:rsid w:val="007B0987"/>
    <w:rsid w:val="007B0D83"/>
    <w:rsid w:val="007B2806"/>
    <w:rsid w:val="007C12FC"/>
    <w:rsid w:val="007C4958"/>
    <w:rsid w:val="007C51F4"/>
    <w:rsid w:val="007C75BF"/>
    <w:rsid w:val="007C7BD4"/>
    <w:rsid w:val="007D1C07"/>
    <w:rsid w:val="007D262F"/>
    <w:rsid w:val="007D292D"/>
    <w:rsid w:val="007D2BE8"/>
    <w:rsid w:val="007D4ECF"/>
    <w:rsid w:val="007D5E94"/>
    <w:rsid w:val="007D620E"/>
    <w:rsid w:val="007D6E23"/>
    <w:rsid w:val="007E2F34"/>
    <w:rsid w:val="007E336B"/>
    <w:rsid w:val="007E5038"/>
    <w:rsid w:val="007E5B46"/>
    <w:rsid w:val="007E6F0F"/>
    <w:rsid w:val="007F09B8"/>
    <w:rsid w:val="007F1648"/>
    <w:rsid w:val="00800A16"/>
    <w:rsid w:val="008015EA"/>
    <w:rsid w:val="00803298"/>
    <w:rsid w:val="00804657"/>
    <w:rsid w:val="0081049E"/>
    <w:rsid w:val="0081095D"/>
    <w:rsid w:val="00810A7F"/>
    <w:rsid w:val="00811429"/>
    <w:rsid w:val="00814074"/>
    <w:rsid w:val="00816063"/>
    <w:rsid w:val="008171EF"/>
    <w:rsid w:val="0082081A"/>
    <w:rsid w:val="00823D69"/>
    <w:rsid w:val="00826B81"/>
    <w:rsid w:val="00830EB0"/>
    <w:rsid w:val="00832E97"/>
    <w:rsid w:val="008376A8"/>
    <w:rsid w:val="00837B27"/>
    <w:rsid w:val="00840006"/>
    <w:rsid w:val="00841EF3"/>
    <w:rsid w:val="008431F3"/>
    <w:rsid w:val="0085207F"/>
    <w:rsid w:val="00853E10"/>
    <w:rsid w:val="008544FB"/>
    <w:rsid w:val="00856131"/>
    <w:rsid w:val="008562BD"/>
    <w:rsid w:val="0086158F"/>
    <w:rsid w:val="0086368D"/>
    <w:rsid w:val="0086667A"/>
    <w:rsid w:val="00867B04"/>
    <w:rsid w:val="00871486"/>
    <w:rsid w:val="00872CF2"/>
    <w:rsid w:val="0087349C"/>
    <w:rsid w:val="00885672"/>
    <w:rsid w:val="00885DAE"/>
    <w:rsid w:val="00885DFC"/>
    <w:rsid w:val="008908F2"/>
    <w:rsid w:val="00893788"/>
    <w:rsid w:val="008A0E7C"/>
    <w:rsid w:val="008A1E59"/>
    <w:rsid w:val="008A259A"/>
    <w:rsid w:val="008A6272"/>
    <w:rsid w:val="008A6540"/>
    <w:rsid w:val="008A6574"/>
    <w:rsid w:val="008B0FE8"/>
    <w:rsid w:val="008B5383"/>
    <w:rsid w:val="008B5503"/>
    <w:rsid w:val="008B5601"/>
    <w:rsid w:val="008B5B5B"/>
    <w:rsid w:val="008B63C9"/>
    <w:rsid w:val="008B6655"/>
    <w:rsid w:val="008B6C2B"/>
    <w:rsid w:val="008C05F8"/>
    <w:rsid w:val="008C3984"/>
    <w:rsid w:val="008C75EC"/>
    <w:rsid w:val="008C7CD0"/>
    <w:rsid w:val="008D2B3F"/>
    <w:rsid w:val="008D2D5F"/>
    <w:rsid w:val="008D52D6"/>
    <w:rsid w:val="008D5959"/>
    <w:rsid w:val="008D5D7D"/>
    <w:rsid w:val="008D7AC9"/>
    <w:rsid w:val="008D7C01"/>
    <w:rsid w:val="008E189D"/>
    <w:rsid w:val="008E1A69"/>
    <w:rsid w:val="008E2692"/>
    <w:rsid w:val="008E6574"/>
    <w:rsid w:val="008F3C47"/>
    <w:rsid w:val="008F5169"/>
    <w:rsid w:val="008F6E00"/>
    <w:rsid w:val="008F6E0E"/>
    <w:rsid w:val="008F7180"/>
    <w:rsid w:val="0090314A"/>
    <w:rsid w:val="009052C8"/>
    <w:rsid w:val="009058DA"/>
    <w:rsid w:val="009066EC"/>
    <w:rsid w:val="0090691D"/>
    <w:rsid w:val="00906E5D"/>
    <w:rsid w:val="009103B4"/>
    <w:rsid w:val="00914E56"/>
    <w:rsid w:val="009168C9"/>
    <w:rsid w:val="00917170"/>
    <w:rsid w:val="009229C5"/>
    <w:rsid w:val="009240C4"/>
    <w:rsid w:val="009271F3"/>
    <w:rsid w:val="0092772E"/>
    <w:rsid w:val="00933AFE"/>
    <w:rsid w:val="00944F03"/>
    <w:rsid w:val="00944F34"/>
    <w:rsid w:val="00944F9A"/>
    <w:rsid w:val="009515D8"/>
    <w:rsid w:val="009549EF"/>
    <w:rsid w:val="0095683F"/>
    <w:rsid w:val="00957814"/>
    <w:rsid w:val="00957B61"/>
    <w:rsid w:val="009616A0"/>
    <w:rsid w:val="009619F6"/>
    <w:rsid w:val="00963FDD"/>
    <w:rsid w:val="00965C57"/>
    <w:rsid w:val="00967CB1"/>
    <w:rsid w:val="00967DC4"/>
    <w:rsid w:val="0097094B"/>
    <w:rsid w:val="009743A7"/>
    <w:rsid w:val="00975C24"/>
    <w:rsid w:val="0097760D"/>
    <w:rsid w:val="00980168"/>
    <w:rsid w:val="00981604"/>
    <w:rsid w:val="00981A20"/>
    <w:rsid w:val="00983035"/>
    <w:rsid w:val="0098392C"/>
    <w:rsid w:val="00992D84"/>
    <w:rsid w:val="0099353C"/>
    <w:rsid w:val="00995946"/>
    <w:rsid w:val="009A0FB2"/>
    <w:rsid w:val="009A1FE3"/>
    <w:rsid w:val="009A670F"/>
    <w:rsid w:val="009B0A77"/>
    <w:rsid w:val="009B0C54"/>
    <w:rsid w:val="009B6D92"/>
    <w:rsid w:val="009B7057"/>
    <w:rsid w:val="009B72E1"/>
    <w:rsid w:val="009C1FB4"/>
    <w:rsid w:val="009C20B6"/>
    <w:rsid w:val="009C2651"/>
    <w:rsid w:val="009C5B21"/>
    <w:rsid w:val="009C79D5"/>
    <w:rsid w:val="009D1442"/>
    <w:rsid w:val="009E08A0"/>
    <w:rsid w:val="009E08D5"/>
    <w:rsid w:val="009E4D46"/>
    <w:rsid w:val="009E5AE3"/>
    <w:rsid w:val="009E5AE7"/>
    <w:rsid w:val="009E7E17"/>
    <w:rsid w:val="009F156E"/>
    <w:rsid w:val="009F447A"/>
    <w:rsid w:val="009F4D29"/>
    <w:rsid w:val="00A003B0"/>
    <w:rsid w:val="00A01568"/>
    <w:rsid w:val="00A01A7A"/>
    <w:rsid w:val="00A02EC5"/>
    <w:rsid w:val="00A04AA4"/>
    <w:rsid w:val="00A052E1"/>
    <w:rsid w:val="00A05868"/>
    <w:rsid w:val="00A10C2A"/>
    <w:rsid w:val="00A12357"/>
    <w:rsid w:val="00A13235"/>
    <w:rsid w:val="00A13D76"/>
    <w:rsid w:val="00A17C6A"/>
    <w:rsid w:val="00A277FE"/>
    <w:rsid w:val="00A30F3E"/>
    <w:rsid w:val="00A313A3"/>
    <w:rsid w:val="00A33B20"/>
    <w:rsid w:val="00A431F3"/>
    <w:rsid w:val="00A45C0D"/>
    <w:rsid w:val="00A52C29"/>
    <w:rsid w:val="00A52D77"/>
    <w:rsid w:val="00A52DA0"/>
    <w:rsid w:val="00A54D21"/>
    <w:rsid w:val="00A572BF"/>
    <w:rsid w:val="00A61F23"/>
    <w:rsid w:val="00A62840"/>
    <w:rsid w:val="00A62DFE"/>
    <w:rsid w:val="00A65B43"/>
    <w:rsid w:val="00A661E1"/>
    <w:rsid w:val="00A67C3C"/>
    <w:rsid w:val="00A67CF7"/>
    <w:rsid w:val="00A70A1D"/>
    <w:rsid w:val="00A73947"/>
    <w:rsid w:val="00A756BF"/>
    <w:rsid w:val="00A810A5"/>
    <w:rsid w:val="00A90DBE"/>
    <w:rsid w:val="00A923AD"/>
    <w:rsid w:val="00A94269"/>
    <w:rsid w:val="00A94993"/>
    <w:rsid w:val="00A95733"/>
    <w:rsid w:val="00AA5850"/>
    <w:rsid w:val="00AA67AB"/>
    <w:rsid w:val="00AB39F6"/>
    <w:rsid w:val="00AB55AA"/>
    <w:rsid w:val="00AB5B87"/>
    <w:rsid w:val="00AC0993"/>
    <w:rsid w:val="00AC1ED0"/>
    <w:rsid w:val="00AC268A"/>
    <w:rsid w:val="00AC33FD"/>
    <w:rsid w:val="00AC6EA5"/>
    <w:rsid w:val="00AD18DB"/>
    <w:rsid w:val="00AE17BA"/>
    <w:rsid w:val="00AE5575"/>
    <w:rsid w:val="00AF1732"/>
    <w:rsid w:val="00AF1E6A"/>
    <w:rsid w:val="00AF1EE4"/>
    <w:rsid w:val="00AF41A2"/>
    <w:rsid w:val="00AF51FA"/>
    <w:rsid w:val="00AF561E"/>
    <w:rsid w:val="00AF77C1"/>
    <w:rsid w:val="00AF7BF9"/>
    <w:rsid w:val="00B007F4"/>
    <w:rsid w:val="00B00E56"/>
    <w:rsid w:val="00B03E45"/>
    <w:rsid w:val="00B04FC0"/>
    <w:rsid w:val="00B068B6"/>
    <w:rsid w:val="00B114FB"/>
    <w:rsid w:val="00B1481E"/>
    <w:rsid w:val="00B26514"/>
    <w:rsid w:val="00B26EE9"/>
    <w:rsid w:val="00B30760"/>
    <w:rsid w:val="00B317DF"/>
    <w:rsid w:val="00B32BC7"/>
    <w:rsid w:val="00B36B74"/>
    <w:rsid w:val="00B379D7"/>
    <w:rsid w:val="00B414EC"/>
    <w:rsid w:val="00B45B0E"/>
    <w:rsid w:val="00B4664B"/>
    <w:rsid w:val="00B46724"/>
    <w:rsid w:val="00B5124A"/>
    <w:rsid w:val="00B525B2"/>
    <w:rsid w:val="00B53305"/>
    <w:rsid w:val="00B565E0"/>
    <w:rsid w:val="00B65F7E"/>
    <w:rsid w:val="00B7258E"/>
    <w:rsid w:val="00B73CDD"/>
    <w:rsid w:val="00B77A3E"/>
    <w:rsid w:val="00B77EED"/>
    <w:rsid w:val="00B83866"/>
    <w:rsid w:val="00B838F5"/>
    <w:rsid w:val="00B922F6"/>
    <w:rsid w:val="00B93FEE"/>
    <w:rsid w:val="00BA03BF"/>
    <w:rsid w:val="00BA1836"/>
    <w:rsid w:val="00BA2D2B"/>
    <w:rsid w:val="00BB2985"/>
    <w:rsid w:val="00BB5075"/>
    <w:rsid w:val="00BC10E6"/>
    <w:rsid w:val="00BC33AB"/>
    <w:rsid w:val="00BD46A9"/>
    <w:rsid w:val="00BD4E45"/>
    <w:rsid w:val="00BD61FF"/>
    <w:rsid w:val="00BD6407"/>
    <w:rsid w:val="00BE4D94"/>
    <w:rsid w:val="00BF2CA9"/>
    <w:rsid w:val="00C05D8B"/>
    <w:rsid w:val="00C061AF"/>
    <w:rsid w:val="00C06A53"/>
    <w:rsid w:val="00C114F3"/>
    <w:rsid w:val="00C11B47"/>
    <w:rsid w:val="00C1545F"/>
    <w:rsid w:val="00C234E4"/>
    <w:rsid w:val="00C309E5"/>
    <w:rsid w:val="00C32301"/>
    <w:rsid w:val="00C33768"/>
    <w:rsid w:val="00C33EC7"/>
    <w:rsid w:val="00C3416F"/>
    <w:rsid w:val="00C37112"/>
    <w:rsid w:val="00C43265"/>
    <w:rsid w:val="00C43EAC"/>
    <w:rsid w:val="00C451E9"/>
    <w:rsid w:val="00C46E20"/>
    <w:rsid w:val="00C47A39"/>
    <w:rsid w:val="00C55A71"/>
    <w:rsid w:val="00C724EC"/>
    <w:rsid w:val="00C7296C"/>
    <w:rsid w:val="00C75097"/>
    <w:rsid w:val="00C7665E"/>
    <w:rsid w:val="00C76AD0"/>
    <w:rsid w:val="00C77CDC"/>
    <w:rsid w:val="00C848E0"/>
    <w:rsid w:val="00C864A2"/>
    <w:rsid w:val="00C872BC"/>
    <w:rsid w:val="00C90E40"/>
    <w:rsid w:val="00C917DA"/>
    <w:rsid w:val="00C943D8"/>
    <w:rsid w:val="00C9607D"/>
    <w:rsid w:val="00C979EA"/>
    <w:rsid w:val="00CA2883"/>
    <w:rsid w:val="00CA3474"/>
    <w:rsid w:val="00CA48DE"/>
    <w:rsid w:val="00CA4F32"/>
    <w:rsid w:val="00CA5A36"/>
    <w:rsid w:val="00CB112C"/>
    <w:rsid w:val="00CB3531"/>
    <w:rsid w:val="00CB5C5B"/>
    <w:rsid w:val="00CB5F0C"/>
    <w:rsid w:val="00CB6695"/>
    <w:rsid w:val="00CB7F4F"/>
    <w:rsid w:val="00CC0981"/>
    <w:rsid w:val="00CC09D8"/>
    <w:rsid w:val="00CC1275"/>
    <w:rsid w:val="00CC2539"/>
    <w:rsid w:val="00CC34C8"/>
    <w:rsid w:val="00CC3DF4"/>
    <w:rsid w:val="00CC482B"/>
    <w:rsid w:val="00CC6644"/>
    <w:rsid w:val="00CD285C"/>
    <w:rsid w:val="00CD29CC"/>
    <w:rsid w:val="00CE102C"/>
    <w:rsid w:val="00CE251D"/>
    <w:rsid w:val="00CE798A"/>
    <w:rsid w:val="00CF0187"/>
    <w:rsid w:val="00CF34EF"/>
    <w:rsid w:val="00CF486A"/>
    <w:rsid w:val="00CF5971"/>
    <w:rsid w:val="00CF7D5B"/>
    <w:rsid w:val="00D04686"/>
    <w:rsid w:val="00D11DDF"/>
    <w:rsid w:val="00D11E11"/>
    <w:rsid w:val="00D15ADF"/>
    <w:rsid w:val="00D22822"/>
    <w:rsid w:val="00D27F72"/>
    <w:rsid w:val="00D3250D"/>
    <w:rsid w:val="00D33A5B"/>
    <w:rsid w:val="00D3543B"/>
    <w:rsid w:val="00D365D9"/>
    <w:rsid w:val="00D426B0"/>
    <w:rsid w:val="00D43ED7"/>
    <w:rsid w:val="00D4645F"/>
    <w:rsid w:val="00D4697B"/>
    <w:rsid w:val="00D50B08"/>
    <w:rsid w:val="00D5655D"/>
    <w:rsid w:val="00D57E5B"/>
    <w:rsid w:val="00D57F41"/>
    <w:rsid w:val="00D623E7"/>
    <w:rsid w:val="00D63A64"/>
    <w:rsid w:val="00D65A2C"/>
    <w:rsid w:val="00D728D7"/>
    <w:rsid w:val="00D75424"/>
    <w:rsid w:val="00D7561A"/>
    <w:rsid w:val="00D77BF0"/>
    <w:rsid w:val="00D8798E"/>
    <w:rsid w:val="00D93946"/>
    <w:rsid w:val="00D97989"/>
    <w:rsid w:val="00D97D56"/>
    <w:rsid w:val="00D97F54"/>
    <w:rsid w:val="00DA06E9"/>
    <w:rsid w:val="00DA16C8"/>
    <w:rsid w:val="00DA16D5"/>
    <w:rsid w:val="00DA3428"/>
    <w:rsid w:val="00DA56F2"/>
    <w:rsid w:val="00DA65EB"/>
    <w:rsid w:val="00DA74FE"/>
    <w:rsid w:val="00DB349D"/>
    <w:rsid w:val="00DB5079"/>
    <w:rsid w:val="00DB573E"/>
    <w:rsid w:val="00DB616B"/>
    <w:rsid w:val="00DB6D1E"/>
    <w:rsid w:val="00DB7B45"/>
    <w:rsid w:val="00DB7F30"/>
    <w:rsid w:val="00DC1B0F"/>
    <w:rsid w:val="00DC1CD2"/>
    <w:rsid w:val="00DC6FAC"/>
    <w:rsid w:val="00DD37CC"/>
    <w:rsid w:val="00DD3F1A"/>
    <w:rsid w:val="00DD6453"/>
    <w:rsid w:val="00DD7E36"/>
    <w:rsid w:val="00DE32B3"/>
    <w:rsid w:val="00DE3EBB"/>
    <w:rsid w:val="00DE677D"/>
    <w:rsid w:val="00DF00AC"/>
    <w:rsid w:val="00DF0285"/>
    <w:rsid w:val="00DF037D"/>
    <w:rsid w:val="00DF1D95"/>
    <w:rsid w:val="00DF3E96"/>
    <w:rsid w:val="00DF4591"/>
    <w:rsid w:val="00DF594E"/>
    <w:rsid w:val="00DF63AA"/>
    <w:rsid w:val="00DF7188"/>
    <w:rsid w:val="00E04C58"/>
    <w:rsid w:val="00E04C64"/>
    <w:rsid w:val="00E06139"/>
    <w:rsid w:val="00E06D79"/>
    <w:rsid w:val="00E0763E"/>
    <w:rsid w:val="00E11612"/>
    <w:rsid w:val="00E122FD"/>
    <w:rsid w:val="00E14B16"/>
    <w:rsid w:val="00E15E87"/>
    <w:rsid w:val="00E162FF"/>
    <w:rsid w:val="00E17865"/>
    <w:rsid w:val="00E20FA0"/>
    <w:rsid w:val="00E21B3D"/>
    <w:rsid w:val="00E23B14"/>
    <w:rsid w:val="00E24540"/>
    <w:rsid w:val="00E246BA"/>
    <w:rsid w:val="00E24E8D"/>
    <w:rsid w:val="00E25188"/>
    <w:rsid w:val="00E309B1"/>
    <w:rsid w:val="00E33EB9"/>
    <w:rsid w:val="00E35A75"/>
    <w:rsid w:val="00E42EC9"/>
    <w:rsid w:val="00E44B8D"/>
    <w:rsid w:val="00E5051C"/>
    <w:rsid w:val="00E51668"/>
    <w:rsid w:val="00E52810"/>
    <w:rsid w:val="00E52B37"/>
    <w:rsid w:val="00E52F01"/>
    <w:rsid w:val="00E53DCB"/>
    <w:rsid w:val="00E541D1"/>
    <w:rsid w:val="00E55A36"/>
    <w:rsid w:val="00E5740D"/>
    <w:rsid w:val="00E61C64"/>
    <w:rsid w:val="00E6238F"/>
    <w:rsid w:val="00E65766"/>
    <w:rsid w:val="00E71573"/>
    <w:rsid w:val="00E72A5C"/>
    <w:rsid w:val="00E73FB3"/>
    <w:rsid w:val="00E777C7"/>
    <w:rsid w:val="00E803FE"/>
    <w:rsid w:val="00E81793"/>
    <w:rsid w:val="00E8295E"/>
    <w:rsid w:val="00E840FB"/>
    <w:rsid w:val="00E86845"/>
    <w:rsid w:val="00E92DDC"/>
    <w:rsid w:val="00E94D1E"/>
    <w:rsid w:val="00E95AD6"/>
    <w:rsid w:val="00EA0762"/>
    <w:rsid w:val="00EA4A0B"/>
    <w:rsid w:val="00EA7471"/>
    <w:rsid w:val="00EB1C27"/>
    <w:rsid w:val="00EB3BA7"/>
    <w:rsid w:val="00EB5681"/>
    <w:rsid w:val="00EB6CC6"/>
    <w:rsid w:val="00EC13F2"/>
    <w:rsid w:val="00EC1B00"/>
    <w:rsid w:val="00EC230B"/>
    <w:rsid w:val="00EC37C5"/>
    <w:rsid w:val="00EC6E6E"/>
    <w:rsid w:val="00ED7E3B"/>
    <w:rsid w:val="00EE1B85"/>
    <w:rsid w:val="00EE305E"/>
    <w:rsid w:val="00EE39C9"/>
    <w:rsid w:val="00EF171B"/>
    <w:rsid w:val="00EF2794"/>
    <w:rsid w:val="00EF2DC6"/>
    <w:rsid w:val="00EF37D4"/>
    <w:rsid w:val="00EF5630"/>
    <w:rsid w:val="00EF5685"/>
    <w:rsid w:val="00EF5C9C"/>
    <w:rsid w:val="00F00FDE"/>
    <w:rsid w:val="00F072EA"/>
    <w:rsid w:val="00F12437"/>
    <w:rsid w:val="00F141A0"/>
    <w:rsid w:val="00F14AC4"/>
    <w:rsid w:val="00F1751F"/>
    <w:rsid w:val="00F224C4"/>
    <w:rsid w:val="00F240AC"/>
    <w:rsid w:val="00F25786"/>
    <w:rsid w:val="00F30142"/>
    <w:rsid w:val="00F30CD4"/>
    <w:rsid w:val="00F313EA"/>
    <w:rsid w:val="00F31B41"/>
    <w:rsid w:val="00F32252"/>
    <w:rsid w:val="00F336F3"/>
    <w:rsid w:val="00F35B26"/>
    <w:rsid w:val="00F35E7E"/>
    <w:rsid w:val="00F421F9"/>
    <w:rsid w:val="00F4433A"/>
    <w:rsid w:val="00F44DF6"/>
    <w:rsid w:val="00F52A18"/>
    <w:rsid w:val="00F52CB3"/>
    <w:rsid w:val="00F53A58"/>
    <w:rsid w:val="00F54538"/>
    <w:rsid w:val="00F562F1"/>
    <w:rsid w:val="00F56317"/>
    <w:rsid w:val="00F566BB"/>
    <w:rsid w:val="00F60F56"/>
    <w:rsid w:val="00F61606"/>
    <w:rsid w:val="00F746EC"/>
    <w:rsid w:val="00F74C16"/>
    <w:rsid w:val="00F757D5"/>
    <w:rsid w:val="00F770CE"/>
    <w:rsid w:val="00F774E7"/>
    <w:rsid w:val="00F834B7"/>
    <w:rsid w:val="00F859A0"/>
    <w:rsid w:val="00F86EC2"/>
    <w:rsid w:val="00F96115"/>
    <w:rsid w:val="00F979E4"/>
    <w:rsid w:val="00FA0698"/>
    <w:rsid w:val="00FA3AB9"/>
    <w:rsid w:val="00FA7DA0"/>
    <w:rsid w:val="00FB502B"/>
    <w:rsid w:val="00FB59F1"/>
    <w:rsid w:val="00FB6370"/>
    <w:rsid w:val="00FC0EA5"/>
    <w:rsid w:val="00FC3E7B"/>
    <w:rsid w:val="00FC4038"/>
    <w:rsid w:val="00FC4C4A"/>
    <w:rsid w:val="00FC4FE2"/>
    <w:rsid w:val="00FC5793"/>
    <w:rsid w:val="00FC76E0"/>
    <w:rsid w:val="00FD0DA8"/>
    <w:rsid w:val="00FD4888"/>
    <w:rsid w:val="00FD559D"/>
    <w:rsid w:val="00FD5F89"/>
    <w:rsid w:val="00FD659F"/>
    <w:rsid w:val="00FD6F52"/>
    <w:rsid w:val="00FD70C4"/>
    <w:rsid w:val="00FD745E"/>
    <w:rsid w:val="00FD74FD"/>
    <w:rsid w:val="00FD768C"/>
    <w:rsid w:val="00FE2A98"/>
    <w:rsid w:val="00FE5CC3"/>
    <w:rsid w:val="00FE78D0"/>
    <w:rsid w:val="00FF0374"/>
    <w:rsid w:val="00FF24D1"/>
    <w:rsid w:val="00FF3B34"/>
    <w:rsid w:val="00FF3D22"/>
    <w:rsid w:val="00FF5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71E5F25-D54D-4C57-A9BB-37C4332B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4757"/>
    <w:pPr>
      <w:spacing w:before="240" w:after="240"/>
    </w:pPr>
    <w:rPr>
      <w:rFonts w:ascii="Arial" w:hAnsi="Arial"/>
      <w:sz w:val="22"/>
      <w:szCs w:val="24"/>
    </w:rPr>
  </w:style>
  <w:style w:type="paragraph" w:styleId="Heading1">
    <w:name w:val="heading 1"/>
    <w:next w:val="BodyText"/>
    <w:link w:val="Heading1Char"/>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qFormat/>
    <w:rsid w:val="00270976"/>
    <w:pPr>
      <w:keepNext/>
      <w:keepLines/>
      <w:pageBreakBefore/>
      <w:suppressAutoHyphens/>
      <w:spacing w:after="200"/>
      <w:outlineLvl w:val="1"/>
    </w:pPr>
    <w:rPr>
      <w:rFonts w:ascii="Arial" w:hAnsi="Arial" w:cs="Arial"/>
      <w:b/>
      <w:bCs/>
      <w:sz w:val="36"/>
      <w:szCs w:val="32"/>
    </w:rPr>
  </w:style>
  <w:style w:type="paragraph" w:styleId="Heading3">
    <w:name w:val="heading 3"/>
    <w:next w:val="BodyText"/>
    <w:link w:val="Heading3Char"/>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9"/>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qFormat/>
    <w:rsid w:val="00CF7D5B"/>
    <w:pPr>
      <w:keepNext/>
      <w:keepLines/>
      <w:spacing w:before="320" w:after="200"/>
      <w:outlineLvl w:val="5"/>
    </w:pPr>
    <w:rPr>
      <w:rFonts w:cs="Arial"/>
      <w:b/>
      <w:bCs/>
      <w:sz w:val="20"/>
      <w:szCs w:val="22"/>
    </w:rPr>
  </w:style>
  <w:style w:type="paragraph" w:styleId="Heading7">
    <w:name w:val="heading 7"/>
    <w:basedOn w:val="Normal"/>
    <w:next w:val="Normal"/>
    <w:link w:val="Heading7Char"/>
    <w:semiHidden/>
    <w:unhideWhenUsed/>
    <w:qFormat/>
    <w:rsid w:val="001F7C7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iPriority w:val="99"/>
    <w:unhideWhenUsed/>
    <w:rsid w:val="004C1487"/>
    <w:rPr>
      <w:color w:val="800080"/>
      <w:u w:val="single"/>
    </w:rPr>
  </w:style>
  <w:style w:type="character" w:customStyle="1" w:styleId="Heading2Char">
    <w:name w:val="Heading 2 Char"/>
    <w:link w:val="Heading2"/>
    <w:locked/>
    <w:rsid w:val="00270976"/>
    <w:rPr>
      <w:rFonts w:ascii="Arial" w:hAnsi="Arial" w:cs="Arial"/>
      <w:b/>
      <w:bCs/>
      <w:sz w:val="36"/>
      <w:szCs w:val="32"/>
    </w:rPr>
  </w:style>
  <w:style w:type="character" w:customStyle="1" w:styleId="Heading3Char">
    <w:name w:val="Heading 3 Char"/>
    <w:link w:val="Heading3"/>
    <w:uiPriority w:val="9"/>
    <w:locked/>
    <w:rsid w:val="004C1487"/>
    <w:rPr>
      <w:rFonts w:ascii="Arial" w:hAnsi="Arial" w:cs="Arial"/>
      <w:b/>
      <w:bCs/>
      <w:sz w:val="30"/>
      <w:szCs w:val="30"/>
    </w:rPr>
  </w:style>
  <w:style w:type="character" w:customStyle="1" w:styleId="Heading4Char">
    <w:name w:val="Heading 4 Char"/>
    <w:link w:val="Heading4"/>
    <w:uiPriority w:val="9"/>
    <w:locked/>
    <w:rsid w:val="004C1487"/>
    <w:rPr>
      <w:rFonts w:ascii="Arial" w:hAnsi="Arial" w:cs="Arial"/>
      <w:b/>
      <w:bCs/>
      <w:sz w:val="26"/>
      <w:szCs w:val="26"/>
    </w:rPr>
  </w:style>
  <w:style w:type="character" w:customStyle="1" w:styleId="Heading5Char">
    <w:name w:val="Heading 5 Char"/>
    <w:link w:val="Heading5"/>
    <w:uiPriority w:val="9"/>
    <w:locked/>
    <w:rsid w:val="004C1487"/>
    <w:rPr>
      <w:rFonts w:ascii="Arial" w:hAnsi="Arial" w:cs="Arial"/>
      <w:b/>
      <w:bCs/>
      <w:iCs/>
      <w:sz w:val="22"/>
      <w:szCs w:val="26"/>
    </w:rPr>
  </w:style>
  <w:style w:type="paragraph" w:styleId="TOC1">
    <w:name w:val="toc 1"/>
    <w:uiPriority w:val="39"/>
    <w:unhideWhenUsed/>
    <w:rsid w:val="00DF037D"/>
    <w:pPr>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uiPriority w:val="39"/>
    <w:rsid w:val="004C1487"/>
    <w:pPr>
      <w:ind w:left="567"/>
    </w:pPr>
  </w:style>
  <w:style w:type="paragraph" w:styleId="Header">
    <w:name w:val="header"/>
    <w:link w:val="HeaderChar"/>
    <w:uiPriority w:val="99"/>
    <w:rsid w:val="004C1487"/>
    <w:pPr>
      <w:tabs>
        <w:tab w:val="right" w:pos="9639"/>
      </w:tabs>
      <w:suppressAutoHyphens/>
    </w:pPr>
    <w:rPr>
      <w:rFonts w:ascii="Arial" w:hAnsi="Arial"/>
      <w:sz w:val="15"/>
      <w:szCs w:val="24"/>
    </w:rPr>
  </w:style>
  <w:style w:type="paragraph" w:styleId="Footer">
    <w:name w:val="footer"/>
    <w:link w:val="FooterChar"/>
    <w:uiPriority w:val="99"/>
    <w:rsid w:val="004C1487"/>
    <w:pPr>
      <w:tabs>
        <w:tab w:val="center" w:pos="4820"/>
        <w:tab w:val="right" w:pos="9639"/>
      </w:tabs>
      <w:suppressAutoHyphens/>
    </w:pPr>
    <w:rPr>
      <w:rFonts w:ascii="Arial" w:hAnsi="Arial"/>
      <w:sz w:val="15"/>
      <w:szCs w:val="16"/>
    </w:rPr>
  </w:style>
  <w:style w:type="paragraph" w:styleId="Title">
    <w:name w:val="Title"/>
    <w:next w:val="BodyText"/>
    <w:link w:val="TitleChar"/>
    <w:semiHidden/>
    <w:qFormat/>
    <w:rsid w:val="004C1487"/>
    <w:pPr>
      <w:keepNext/>
      <w:keepLines/>
      <w:suppressAutoHyphens/>
      <w:spacing w:after="200"/>
      <w:outlineLvl w:val="0"/>
    </w:pPr>
    <w:rPr>
      <w:rFonts w:ascii="Calibri" w:hAnsi="Calibri" w:cs="Arial"/>
      <w:b/>
      <w:bCs/>
      <w:sz w:val="44"/>
      <w:szCs w:val="40"/>
    </w:rPr>
  </w:style>
  <w:style w:type="character" w:styleId="PageNumber">
    <w:name w:val="page number"/>
    <w:uiPriority w:val="99"/>
    <w:rsid w:val="004C1487"/>
    <w:rPr>
      <w:rFonts w:ascii="Calibri" w:hAnsi="Calibri" w:hint="default"/>
      <w:sz w:val="16"/>
    </w:rPr>
  </w:style>
  <w:style w:type="table" w:styleId="TableGrid">
    <w:name w:val="Table Grid"/>
    <w:basedOn w:val="TableNormal"/>
    <w:uiPriority w:val="3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2"/>
      </w:numPr>
    </w:pPr>
  </w:style>
  <w:style w:type="paragraph" w:styleId="BodyText">
    <w:name w:val="Body Text"/>
    <w:link w:val="BodyTextChar"/>
    <w:qFormat/>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9"/>
      </w:numPr>
    </w:pPr>
  </w:style>
  <w:style w:type="paragraph" w:styleId="ListBullet">
    <w:name w:val="List Bullet"/>
    <w:link w:val="ListBulletChar"/>
    <w:uiPriority w:val="99"/>
    <w:rsid w:val="00AF41A2"/>
    <w:pPr>
      <w:numPr>
        <w:numId w:val="3"/>
      </w:numPr>
      <w:suppressAutoHyphens/>
      <w:spacing w:before="40" w:after="40" w:line="288" w:lineRule="auto"/>
      <w:ind w:left="227"/>
    </w:pPr>
    <w:rPr>
      <w:rFonts w:ascii="Arial" w:hAnsi="Arial"/>
      <w:szCs w:val="24"/>
    </w:rPr>
  </w:style>
  <w:style w:type="paragraph" w:styleId="ListBullet2">
    <w:name w:val="List Bullet 2"/>
    <w:rsid w:val="00AF41A2"/>
    <w:pPr>
      <w:numPr>
        <w:numId w:val="4"/>
      </w:numPr>
      <w:suppressAutoHyphens/>
      <w:spacing w:before="40" w:after="40" w:line="288" w:lineRule="auto"/>
    </w:pPr>
    <w:rPr>
      <w:rFonts w:ascii="Arial" w:hAnsi="Arial"/>
      <w:szCs w:val="24"/>
    </w:rPr>
  </w:style>
  <w:style w:type="paragraph" w:styleId="ListNumber">
    <w:name w:val="List Number"/>
    <w:rsid w:val="00AF41A2"/>
    <w:pPr>
      <w:numPr>
        <w:numId w:val="6"/>
      </w:numPr>
      <w:spacing w:before="40" w:after="40" w:line="288" w:lineRule="auto"/>
    </w:pPr>
    <w:rPr>
      <w:rFonts w:ascii="Arial" w:hAnsi="Arial"/>
      <w:szCs w:val="24"/>
    </w:rPr>
  </w:style>
  <w:style w:type="paragraph" w:styleId="ListNumber2">
    <w:name w:val="List Number 2"/>
    <w:uiPriority w:val="99"/>
    <w:rsid w:val="004C1487"/>
    <w:pPr>
      <w:numPr>
        <w:numId w:val="7"/>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uiPriority w:val="99"/>
    <w:semiHidden/>
    <w:rsid w:val="004C1487"/>
    <w:pPr>
      <w:numPr>
        <w:numId w:val="8"/>
      </w:numPr>
      <w:spacing w:before="40" w:after="40" w:line="288" w:lineRule="auto"/>
    </w:pPr>
    <w:rPr>
      <w:sz w:val="20"/>
    </w:rPr>
  </w:style>
  <w:style w:type="character" w:customStyle="1" w:styleId="BodyTextChar">
    <w:name w:val="Body Text Char"/>
    <w:link w:val="BodyText"/>
    <w:rsid w:val="004C1487"/>
    <w:rPr>
      <w:rFonts w:ascii="Arial" w:hAnsi="Arial"/>
    </w:rPr>
  </w:style>
  <w:style w:type="character" w:customStyle="1" w:styleId="TitleChar">
    <w:name w:val="Title Char"/>
    <w:link w:val="Title"/>
    <w:semiHidden/>
    <w:rsid w:val="002C70DC"/>
    <w:rPr>
      <w:rFonts w:ascii="Calibri" w:hAnsi="Calibri" w:cs="Arial"/>
      <w:b/>
      <w:bCs/>
      <w:sz w:val="44"/>
      <w:szCs w:val="40"/>
    </w:rPr>
  </w:style>
  <w:style w:type="character" w:styleId="CommentReference">
    <w:name w:val="annotation reference"/>
    <w:uiPriority w:val="99"/>
    <w:semiHidden/>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uiPriority w:val="99"/>
    <w:semiHidden/>
    <w:rsid w:val="004C1487"/>
    <w:pPr>
      <w:spacing w:before="0" w:after="0"/>
    </w:pPr>
    <w:rPr>
      <w:rFonts w:ascii="Times New Roman" w:hAnsi="Times New Roman"/>
      <w:szCs w:val="20"/>
    </w:rPr>
  </w:style>
  <w:style w:type="character" w:customStyle="1" w:styleId="CommentTextChar">
    <w:name w:val="Comment Text Char"/>
    <w:link w:val="CommentText"/>
    <w:uiPriority w:val="99"/>
    <w:semiHidden/>
    <w:rsid w:val="00DA06E9"/>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uiPriority w:val="99"/>
    <w:semiHidden/>
    <w:rsid w:val="004C1487"/>
    <w:pPr>
      <w:spacing w:before="0" w:after="0"/>
    </w:pPr>
    <w:rPr>
      <w:rFonts w:ascii="Tahoma" w:hAnsi="Tahoma" w:cs="Tahoma"/>
      <w:sz w:val="16"/>
      <w:szCs w:val="16"/>
    </w:rPr>
  </w:style>
  <w:style w:type="character" w:customStyle="1" w:styleId="BalloonTextChar">
    <w:name w:val="Balloon Text Char"/>
    <w:link w:val="BalloonText"/>
    <w:uiPriority w:val="99"/>
    <w:semiHidden/>
    <w:rsid w:val="002C70DC"/>
    <w:rPr>
      <w:rFonts w:ascii="Tahoma" w:hAnsi="Tahoma" w:cs="Tahoma"/>
      <w:sz w:val="16"/>
      <w:szCs w:val="16"/>
    </w:rPr>
  </w:style>
  <w:style w:type="character" w:customStyle="1" w:styleId="HeaderChar">
    <w:name w:val="Header Char"/>
    <w:link w:val="Header"/>
    <w:uiPriority w:val="99"/>
    <w:rsid w:val="004C1487"/>
    <w:rPr>
      <w:rFonts w:ascii="Arial" w:hAnsi="Arial"/>
      <w:sz w:val="15"/>
      <w:szCs w:val="24"/>
    </w:rPr>
  </w:style>
  <w:style w:type="character" w:customStyle="1" w:styleId="FooterChar">
    <w:name w:val="Footer Char"/>
    <w:link w:val="Footer"/>
    <w:uiPriority w:val="99"/>
    <w:rsid w:val="004C1487"/>
    <w:rPr>
      <w:rFonts w:ascii="Arial" w:hAnsi="Arial"/>
      <w:sz w:val="15"/>
      <w:szCs w:val="16"/>
    </w:rPr>
  </w:style>
  <w:style w:type="paragraph" w:styleId="CommentSubject">
    <w:name w:val="annotation subject"/>
    <w:basedOn w:val="CommentText"/>
    <w:next w:val="CommentText"/>
    <w:link w:val="CommentSubjectChar"/>
    <w:uiPriority w:val="99"/>
    <w:semiHidden/>
    <w:rsid w:val="004C1487"/>
    <w:rPr>
      <w:b/>
      <w:bCs/>
    </w:rPr>
  </w:style>
  <w:style w:type="character" w:customStyle="1" w:styleId="CommentSubjectChar">
    <w:name w:val="Comment Subject Char"/>
    <w:link w:val="CommentSubject"/>
    <w:uiPriority w:val="99"/>
    <w:semiHidden/>
    <w:rsid w:val="00DA06E9"/>
    <w:rPr>
      <w:b/>
      <w:bCs/>
      <w:sz w:val="22"/>
    </w:rPr>
  </w:style>
  <w:style w:type="paragraph" w:styleId="Caption">
    <w:name w:val="caption"/>
    <w:basedOn w:val="BodyText"/>
    <w:next w:val="BodyText"/>
    <w:uiPriority w:val="35"/>
    <w:qFormat/>
    <w:rsid w:val="004C1487"/>
    <w:pPr>
      <w:keepNext/>
      <w:keepLines/>
    </w:pPr>
    <w:rPr>
      <w:b/>
      <w:bCs/>
    </w:rPr>
  </w:style>
  <w:style w:type="paragraph" w:customStyle="1" w:styleId="TableText">
    <w:name w:val="Table Text"/>
    <w:basedOn w:val="BodyText"/>
    <w:link w:val="TableTextChar"/>
    <w:rsid w:val="004C1487"/>
  </w:style>
  <w:style w:type="paragraph" w:styleId="FootnoteText">
    <w:name w:val="footnote text"/>
    <w:basedOn w:val="BodyText"/>
    <w:link w:val="FootnoteTextChar"/>
    <w:uiPriority w:val="99"/>
    <w:rsid w:val="004C1487"/>
    <w:pPr>
      <w:spacing w:before="60" w:after="60"/>
      <w:ind w:left="227" w:hanging="227"/>
    </w:pPr>
    <w:rPr>
      <w:sz w:val="18"/>
      <w:lang w:val="x-none"/>
    </w:rPr>
  </w:style>
  <w:style w:type="character" w:customStyle="1" w:styleId="FootnoteTextChar">
    <w:name w:val="Footnote Text Char"/>
    <w:link w:val="FootnoteText"/>
    <w:uiPriority w:val="99"/>
    <w:rsid w:val="004C1487"/>
    <w:rPr>
      <w:rFonts w:ascii="Arial" w:hAnsi="Arial"/>
      <w:sz w:val="18"/>
      <w:lang w:val="x-none"/>
    </w:rPr>
  </w:style>
  <w:style w:type="character" w:styleId="FootnoteReference">
    <w:name w:val="footnote reference"/>
    <w:uiPriority w:val="99"/>
    <w:rsid w:val="00FE767E"/>
    <w:rPr>
      <w:vertAlign w:val="superscript"/>
    </w:rPr>
  </w:style>
  <w:style w:type="character" w:customStyle="1" w:styleId="ListBulletChar">
    <w:name w:val="List Bullet Char"/>
    <w:link w:val="ListBullet"/>
    <w:uiPriority w:val="99"/>
    <w:rsid w:val="00AF41A2"/>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uiPriority w:val="99"/>
    <w:semiHidden/>
    <w:rsid w:val="009A670F"/>
    <w:rPr>
      <w:rFonts w:ascii="Lucida Grande" w:hAnsi="Lucida Grande"/>
      <w:sz w:val="24"/>
    </w:rPr>
  </w:style>
  <w:style w:type="character" w:customStyle="1" w:styleId="DocumentMapChar">
    <w:name w:val="Document Map Char"/>
    <w:link w:val="DocumentMap"/>
    <w:uiPriority w:val="99"/>
    <w:semiHidden/>
    <w:rsid w:val="002C70DC"/>
    <w:rPr>
      <w:rFonts w:ascii="Lucida Grande" w:hAnsi="Lucida Grande"/>
      <w:sz w:val="24"/>
      <w:szCs w:val="24"/>
    </w:rPr>
  </w:style>
  <w:style w:type="character" w:styleId="Emphasis">
    <w:name w:val="Emphasis"/>
    <w:uiPriority w:val="20"/>
    <w:qFormat/>
    <w:rsid w:val="004C1487"/>
    <w:rPr>
      <w:i/>
      <w:iCs/>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LightList-Accent31">
    <w:name w:val="Light List - Accent 31"/>
    <w:hidden/>
    <w:uiPriority w:val="99"/>
    <w:semiHidden/>
    <w:rsid w:val="00B26EE9"/>
    <w:rPr>
      <w:rFonts w:ascii="Calibri" w:hAnsi="Calibri"/>
      <w:szCs w:val="24"/>
    </w:rPr>
  </w:style>
  <w:style w:type="paragraph" w:customStyle="1" w:styleId="MediumList2-Accent21">
    <w:name w:val="Medium List 2 - Accent 21"/>
    <w:hidden/>
    <w:uiPriority w:val="99"/>
    <w:semiHidden/>
    <w:rsid w:val="00F774E7"/>
    <w:rPr>
      <w:rFonts w:ascii="Calibri" w:hAnsi="Calibri"/>
      <w:szCs w:val="24"/>
    </w:rPr>
  </w:style>
  <w:style w:type="character" w:customStyle="1" w:styleId="Bold">
    <w:name w:val="Bold"/>
    <w:uiPriority w:val="99"/>
    <w:rsid w:val="004C1487"/>
    <w:rPr>
      <w:rFonts w:ascii="Arial" w:hAnsi="Arial"/>
      <w:b/>
    </w:rPr>
  </w:style>
  <w:style w:type="character" w:styleId="Strong">
    <w:name w:val="Strong"/>
    <w:uiPriority w:val="22"/>
    <w:qFormat/>
    <w:rsid w:val="004C1487"/>
    <w:rPr>
      <w:b/>
      <w:bCs/>
    </w:rPr>
  </w:style>
  <w:style w:type="paragraph" w:styleId="TOC4">
    <w:name w:val="toc 4"/>
    <w:basedOn w:val="Normal"/>
    <w:next w:val="Normal"/>
    <w:autoRedefine/>
    <w:uiPriority w:val="39"/>
    <w:semiHidden/>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semiHidden/>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semiHidden/>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semiHidden/>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semiHidden/>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semiHidden/>
    <w:rsid w:val="004C1487"/>
    <w:pPr>
      <w:spacing w:before="0" w:after="0"/>
      <w:ind w:left="1600"/>
    </w:pPr>
    <w:rPr>
      <w:rFonts w:ascii="Times New Roman" w:hAnsi="Times New Roman"/>
      <w:szCs w:val="20"/>
      <w:lang w:eastAsia="en-US"/>
    </w:rPr>
  </w:style>
  <w:style w:type="paragraph" w:styleId="BlockText">
    <w:name w:val="Block Text"/>
    <w:basedOn w:val="Normal"/>
    <w:semiHidden/>
    <w:rsid w:val="004C1487"/>
    <w:pPr>
      <w:spacing w:after="120"/>
      <w:ind w:left="1440" w:right="1440"/>
    </w:pPr>
  </w:style>
  <w:style w:type="paragraph" w:styleId="BodyText2">
    <w:name w:val="Body Text 2"/>
    <w:basedOn w:val="Normal"/>
    <w:link w:val="BodyText2Char"/>
    <w:semiHidden/>
    <w:rsid w:val="004C1487"/>
    <w:pPr>
      <w:spacing w:after="120" w:line="480" w:lineRule="auto"/>
    </w:pPr>
    <w:rPr>
      <w:sz w:val="20"/>
    </w:rPr>
  </w:style>
  <w:style w:type="character" w:customStyle="1" w:styleId="BodyText2Char">
    <w:name w:val="Body Text 2 Char"/>
    <w:link w:val="BodyText2"/>
    <w:semiHidden/>
    <w:rsid w:val="00D3543B"/>
    <w:rPr>
      <w:rFonts w:ascii="Arial" w:hAnsi="Arial"/>
      <w:szCs w:val="24"/>
    </w:rPr>
  </w:style>
  <w:style w:type="paragraph" w:styleId="BodyTextFirstIndent">
    <w:name w:val="Body Text First Indent"/>
    <w:basedOn w:val="BodyText"/>
    <w:link w:val="BodyTextFirstIndentChar"/>
    <w:semiHidden/>
    <w:rsid w:val="004C1487"/>
    <w:pPr>
      <w:suppressAutoHyphens w:val="0"/>
      <w:spacing w:before="240" w:after="120" w:line="240" w:lineRule="auto"/>
      <w:ind w:firstLine="210"/>
    </w:pPr>
    <w:rPr>
      <w:sz w:val="22"/>
      <w:szCs w:val="24"/>
    </w:rPr>
  </w:style>
  <w:style w:type="character" w:customStyle="1" w:styleId="BodyTextFirstIndentChar">
    <w:name w:val="Body Text First Indent Char"/>
    <w:link w:val="BodyTextFirstIndent"/>
    <w:semiHidden/>
    <w:rsid w:val="00D3543B"/>
    <w:rPr>
      <w:rFonts w:ascii="Arial" w:hAnsi="Arial"/>
      <w:sz w:val="22"/>
      <w:szCs w:val="24"/>
    </w:rPr>
  </w:style>
  <w:style w:type="paragraph" w:styleId="BodyTextIndent">
    <w:name w:val="Body Text Indent"/>
    <w:basedOn w:val="Normal"/>
    <w:link w:val="BodyTextIndentChar"/>
    <w:semiHidden/>
    <w:rsid w:val="004C1487"/>
    <w:pPr>
      <w:spacing w:after="120"/>
      <w:ind w:left="283"/>
    </w:pPr>
  </w:style>
  <w:style w:type="character" w:customStyle="1" w:styleId="BodyTextIndentChar">
    <w:name w:val="Body Text Indent Char"/>
    <w:link w:val="BodyTextIndent"/>
    <w:semiHidden/>
    <w:rsid w:val="00D3543B"/>
    <w:rPr>
      <w:rFonts w:ascii="Arial" w:hAnsi="Arial"/>
      <w:sz w:val="22"/>
      <w:szCs w:val="24"/>
    </w:rPr>
  </w:style>
  <w:style w:type="paragraph" w:styleId="BodyTextFirstIndent2">
    <w:name w:val="Body Text First Indent 2"/>
    <w:basedOn w:val="BodyTextIndent"/>
    <w:link w:val="BodyTextFirstIndent2Char"/>
    <w:semiHidden/>
    <w:rsid w:val="004C1487"/>
    <w:pPr>
      <w:ind w:firstLine="210"/>
    </w:pPr>
  </w:style>
  <w:style w:type="character" w:customStyle="1" w:styleId="BodyTextFirstIndent2Char">
    <w:name w:val="Body Text First Indent 2 Char"/>
    <w:link w:val="BodyTextFirstIndent2"/>
    <w:semiHidden/>
    <w:rsid w:val="00D3543B"/>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CF7D5B"/>
    <w:rPr>
      <w:rFonts w:ascii="Arial" w:hAnsi="Arial" w:cs="Arial"/>
      <w:b/>
      <w:bCs/>
      <w:szCs w:val="22"/>
    </w:rPr>
  </w:style>
  <w:style w:type="paragraph" w:styleId="List5">
    <w:name w:val="List 5"/>
    <w:basedOn w:val="Normal"/>
    <w:semiHidden/>
    <w:rsid w:val="004C1487"/>
    <w:pPr>
      <w:ind w:left="1415" w:hanging="283"/>
      <w:contextualSpacing/>
    </w:pPr>
  </w:style>
  <w:style w:type="paragraph" w:styleId="ListBullet3">
    <w:name w:val="List Bullet 3"/>
    <w:basedOn w:val="Normal"/>
    <w:rsid w:val="00E5051C"/>
    <w:pPr>
      <w:numPr>
        <w:numId w:val="5"/>
      </w:numPr>
      <w:spacing w:before="40" w:after="40" w:line="288" w:lineRule="auto"/>
      <w:ind w:left="567" w:hanging="227"/>
    </w:pPr>
    <w:rPr>
      <w:sz w:val="20"/>
      <w:szCs w:val="22"/>
    </w:rPr>
  </w:style>
  <w:style w:type="paragraph" w:customStyle="1" w:styleId="ColorfulShading-Accent13">
    <w:name w:val="Colorful Shading - Accent 13"/>
    <w:hidden/>
    <w:uiPriority w:val="99"/>
    <w:rsid w:val="000E6FF4"/>
    <w:rPr>
      <w:rFonts w:ascii="Arial" w:hAnsi="Arial"/>
      <w:sz w:val="22"/>
      <w:szCs w:val="24"/>
    </w:rPr>
  </w:style>
  <w:style w:type="paragraph" w:styleId="Revision">
    <w:name w:val="Revision"/>
    <w:hidden/>
    <w:uiPriority w:val="99"/>
    <w:rsid w:val="006F3C79"/>
    <w:rPr>
      <w:rFonts w:ascii="Arial" w:hAnsi="Arial"/>
      <w:sz w:val="22"/>
      <w:szCs w:val="24"/>
    </w:rPr>
  </w:style>
  <w:style w:type="character" w:customStyle="1" w:styleId="TableTextChar">
    <w:name w:val="Table Text Char"/>
    <w:link w:val="TableText"/>
    <w:locked/>
    <w:rsid w:val="00777079"/>
    <w:rPr>
      <w:rFonts w:ascii="Arial" w:hAnsi="Arial"/>
    </w:rPr>
  </w:style>
  <w:style w:type="paragraph" w:styleId="ListBullet4">
    <w:name w:val="List Bullet 4"/>
    <w:basedOn w:val="Normal"/>
    <w:rsid w:val="00E5051C"/>
    <w:pPr>
      <w:numPr>
        <w:numId w:val="11"/>
      </w:numPr>
      <w:tabs>
        <w:tab w:val="left" w:pos="794"/>
      </w:tabs>
      <w:spacing w:before="40" w:after="40" w:line="288" w:lineRule="auto"/>
      <w:contextualSpacing/>
    </w:pPr>
    <w:rPr>
      <w:sz w:val="20"/>
    </w:rPr>
  </w:style>
  <w:style w:type="paragraph" w:styleId="ListContinue">
    <w:name w:val="List Continue"/>
    <w:basedOn w:val="Normal"/>
    <w:rsid w:val="005373E6"/>
    <w:pPr>
      <w:spacing w:before="40" w:after="40" w:line="288" w:lineRule="auto"/>
      <w:ind w:left="340"/>
      <w:contextualSpacing/>
    </w:pPr>
    <w:rPr>
      <w:sz w:val="20"/>
    </w:rPr>
  </w:style>
  <w:style w:type="character" w:customStyle="1" w:styleId="Heading7Char">
    <w:name w:val="Heading 7 Char"/>
    <w:basedOn w:val="DefaultParagraphFont"/>
    <w:link w:val="Heading7"/>
    <w:semiHidden/>
    <w:rsid w:val="001F7C74"/>
    <w:rPr>
      <w:rFonts w:asciiTheme="majorHAnsi" w:eastAsiaTheme="majorEastAsia" w:hAnsiTheme="majorHAnsi" w:cstheme="majorBidi"/>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2350">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763577977">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 w:id="1923292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mer.vic.gov.au/" TargetMode="External"/><Relationship Id="rId18" Type="http://schemas.openxmlformats.org/officeDocument/2006/relationships/hyperlink" Target="https://www.oldertenants.org.au/" TargetMode="External"/><Relationship Id="rId26" Type="http://schemas.openxmlformats.org/officeDocument/2006/relationships/hyperlink" Target="mailto:referrals@liv.asn.au" TargetMode="External"/><Relationship Id="rId3" Type="http://schemas.openxmlformats.org/officeDocument/2006/relationships/numbering" Target="numbering.xml"/><Relationship Id="rId21" Type="http://schemas.openxmlformats.org/officeDocument/2006/relationships/hyperlink" Target="mailto:secretary@rrvv.org.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onsumer.vic.gov.au/rvgoodpractice" TargetMode="External"/><Relationship Id="rId17" Type="http://schemas.openxmlformats.org/officeDocument/2006/relationships/hyperlink" Target="https://www.consumer.vic.gov.au/" TargetMode="External"/><Relationship Id="rId25" Type="http://schemas.openxmlformats.org/officeDocument/2006/relationships/hyperlink" Target="https://www.vcat.vic.gov.a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onsumer.vic.gov.au/" TargetMode="External"/><Relationship Id="rId20" Type="http://schemas.openxmlformats.org/officeDocument/2006/relationships/hyperlink" Target="http://rrvv.org.au/" TargetMode="External"/><Relationship Id="rId29" Type="http://schemas.openxmlformats.org/officeDocument/2006/relationships/hyperlink" Target="https://www.facebook.com/ConsumerAffairsVictori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vic.gov.au/" TargetMode="External"/><Relationship Id="rId24" Type="http://schemas.openxmlformats.org/officeDocument/2006/relationships/hyperlink" Target="https://www.disputes.vic.gov.a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nsumer.vic.gov.au/rvgoodpractice" TargetMode="External"/><Relationship Id="rId23" Type="http://schemas.openxmlformats.org/officeDocument/2006/relationships/hyperlink" Target="mailto:askcota@cotavic.org.au" TargetMode="External"/><Relationship Id="rId28" Type="http://schemas.openxmlformats.org/officeDocument/2006/relationships/hyperlink" Target="https://www.consumer.vic.gov.au/" TargetMode="External"/><Relationship Id="rId10" Type="http://schemas.openxmlformats.org/officeDocument/2006/relationships/hyperlink" Target="http://creativecommons.org/licenses/by/3.0/au" TargetMode="External"/><Relationship Id="rId19" Type="http://schemas.openxmlformats.org/officeDocument/2006/relationships/hyperlink" Target="mailto:haag@oldertenants.org.au" TargetMode="External"/><Relationship Id="rId31" Type="http://schemas.openxmlformats.org/officeDocument/2006/relationships/hyperlink" Target="http://www.youtube.com/consumervi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nsumer.vic.gov.au/rvgoodpractice" TargetMode="External"/><Relationship Id="rId22" Type="http://schemas.openxmlformats.org/officeDocument/2006/relationships/hyperlink" Target="http://cotavic.org.au/info/siv" TargetMode="External"/><Relationship Id="rId27" Type="http://schemas.openxmlformats.org/officeDocument/2006/relationships/hyperlink" Target="http://www.consumer.vic.gov.au" TargetMode="External"/><Relationship Id="rId30" Type="http://schemas.openxmlformats.org/officeDocument/2006/relationships/hyperlink" Target="https://twitter.com/consumer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7C053-4038-465F-9A8D-AAC9BA56429F}">
  <ds:schemaRefs>
    <ds:schemaRef ds:uri="http://schemas.openxmlformats.org/officeDocument/2006/bibliography"/>
  </ds:schemaRefs>
</ds:datastoreItem>
</file>

<file path=customXml/itemProps2.xml><?xml version="1.0" encoding="utf-8"?>
<ds:datastoreItem xmlns:ds="http://schemas.openxmlformats.org/officeDocument/2006/customXml" ds:itemID="{8B253BE1-3AF0-4E40-BBE5-C6E34001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Retirement villages: good practice to address key issues – a guide for residents</vt:lpstr>
    </vt:vector>
  </TitlesOfParts>
  <Company>Department of Justice and Regulation</Company>
  <LinksUpToDate>false</LinksUpToDate>
  <CharactersWithSpaces>36335</CharactersWithSpaces>
  <SharedDoc>false</SharedDoc>
  <HyperlinkBase/>
  <HLinks>
    <vt:vector size="348" baseType="variant">
      <vt:variant>
        <vt:i4>3211309</vt:i4>
      </vt:variant>
      <vt:variant>
        <vt:i4>276</vt:i4>
      </vt:variant>
      <vt:variant>
        <vt:i4>0</vt:i4>
      </vt:variant>
      <vt:variant>
        <vt:i4>5</vt:i4>
      </vt:variant>
      <vt:variant>
        <vt:lpwstr>http://www.youtube.com/consumervic</vt:lpwstr>
      </vt:variant>
      <vt:variant>
        <vt:lpwstr/>
      </vt:variant>
      <vt:variant>
        <vt:i4>7536702</vt:i4>
      </vt:variant>
      <vt:variant>
        <vt:i4>273</vt:i4>
      </vt:variant>
      <vt:variant>
        <vt:i4>0</vt:i4>
      </vt:variant>
      <vt:variant>
        <vt:i4>5</vt:i4>
      </vt:variant>
      <vt:variant>
        <vt:lpwstr>https://twitter.com/consumervic</vt:lpwstr>
      </vt:variant>
      <vt:variant>
        <vt:lpwstr/>
      </vt:variant>
      <vt:variant>
        <vt:i4>4718659</vt:i4>
      </vt:variant>
      <vt:variant>
        <vt:i4>270</vt:i4>
      </vt:variant>
      <vt:variant>
        <vt:i4>0</vt:i4>
      </vt:variant>
      <vt:variant>
        <vt:i4>5</vt:i4>
      </vt:variant>
      <vt:variant>
        <vt:lpwstr>https://www.facebook.com/ConsumerAffairsVictoria</vt:lpwstr>
      </vt:variant>
      <vt:variant>
        <vt:lpwstr/>
      </vt:variant>
      <vt:variant>
        <vt:i4>65536</vt:i4>
      </vt:variant>
      <vt:variant>
        <vt:i4>266</vt:i4>
      </vt:variant>
      <vt:variant>
        <vt:i4>0</vt:i4>
      </vt:variant>
      <vt:variant>
        <vt:i4>5</vt:i4>
      </vt:variant>
      <vt:variant>
        <vt:lpwstr>https://www.consumer.vic.gov.au/</vt:lpwstr>
      </vt:variant>
      <vt:variant>
        <vt:lpwstr/>
      </vt:variant>
      <vt:variant>
        <vt:i4>7012406</vt:i4>
      </vt:variant>
      <vt:variant>
        <vt:i4>264</vt:i4>
      </vt:variant>
      <vt:variant>
        <vt:i4>0</vt:i4>
      </vt:variant>
      <vt:variant>
        <vt:i4>5</vt:i4>
      </vt:variant>
      <vt:variant>
        <vt:lpwstr>http://www.consumer.vic.gov.au/</vt:lpwstr>
      </vt:variant>
      <vt:variant>
        <vt:lpwstr/>
      </vt:variant>
      <vt:variant>
        <vt:i4>7209016</vt:i4>
      </vt:variant>
      <vt:variant>
        <vt:i4>261</vt:i4>
      </vt:variant>
      <vt:variant>
        <vt:i4>0</vt:i4>
      </vt:variant>
      <vt:variant>
        <vt:i4>5</vt:i4>
      </vt:variant>
      <vt:variant>
        <vt:lpwstr>http://www.liv.asn.au/referral</vt:lpwstr>
      </vt:variant>
      <vt:variant>
        <vt:lpwstr/>
      </vt:variant>
      <vt:variant>
        <vt:i4>6357026</vt:i4>
      </vt:variant>
      <vt:variant>
        <vt:i4>258</vt:i4>
      </vt:variant>
      <vt:variant>
        <vt:i4>0</vt:i4>
      </vt:variant>
      <vt:variant>
        <vt:i4>5</vt:i4>
      </vt:variant>
      <vt:variant>
        <vt:lpwstr>http://www.vcat.vic.gov.au/</vt:lpwstr>
      </vt:variant>
      <vt:variant>
        <vt:lpwstr/>
      </vt:variant>
      <vt:variant>
        <vt:i4>7405611</vt:i4>
      </vt:variant>
      <vt:variant>
        <vt:i4>255</vt:i4>
      </vt:variant>
      <vt:variant>
        <vt:i4>0</vt:i4>
      </vt:variant>
      <vt:variant>
        <vt:i4>5</vt:i4>
      </vt:variant>
      <vt:variant>
        <vt:lpwstr>http://www.disputes.vic.gov.au/</vt:lpwstr>
      </vt:variant>
      <vt:variant>
        <vt:lpwstr/>
      </vt:variant>
      <vt:variant>
        <vt:i4>852091</vt:i4>
      </vt:variant>
      <vt:variant>
        <vt:i4>252</vt:i4>
      </vt:variant>
      <vt:variant>
        <vt:i4>0</vt:i4>
      </vt:variant>
      <vt:variant>
        <vt:i4>5</vt:i4>
      </vt:variant>
      <vt:variant>
        <vt:lpwstr>mailto:askcota@cotavic.org.au</vt:lpwstr>
      </vt:variant>
      <vt:variant>
        <vt:lpwstr/>
      </vt:variant>
      <vt:variant>
        <vt:i4>3145762</vt:i4>
      </vt:variant>
      <vt:variant>
        <vt:i4>249</vt:i4>
      </vt:variant>
      <vt:variant>
        <vt:i4>0</vt:i4>
      </vt:variant>
      <vt:variant>
        <vt:i4>5</vt:i4>
      </vt:variant>
      <vt:variant>
        <vt:lpwstr>http://www.cotavic.org.au/information/seniors-information-victoria/</vt:lpwstr>
      </vt:variant>
      <vt:variant>
        <vt:lpwstr/>
      </vt:variant>
      <vt:variant>
        <vt:i4>7864380</vt:i4>
      </vt:variant>
      <vt:variant>
        <vt:i4>246</vt:i4>
      </vt:variant>
      <vt:variant>
        <vt:i4>0</vt:i4>
      </vt:variant>
      <vt:variant>
        <vt:i4>5</vt:i4>
      </vt:variant>
      <vt:variant>
        <vt:lpwstr>http://www.rva.com.au/</vt:lpwstr>
      </vt:variant>
      <vt:variant>
        <vt:lpwstr/>
      </vt:variant>
      <vt:variant>
        <vt:i4>6488135</vt:i4>
      </vt:variant>
      <vt:variant>
        <vt:i4>243</vt:i4>
      </vt:variant>
      <vt:variant>
        <vt:i4>0</vt:i4>
      </vt:variant>
      <vt:variant>
        <vt:i4>5</vt:i4>
      </vt:variant>
      <vt:variant>
        <vt:lpwstr>mailto:rrvv@gmail.com</vt:lpwstr>
      </vt:variant>
      <vt:variant>
        <vt:lpwstr/>
      </vt:variant>
      <vt:variant>
        <vt:i4>2621501</vt:i4>
      </vt:variant>
      <vt:variant>
        <vt:i4>240</vt:i4>
      </vt:variant>
      <vt:variant>
        <vt:i4>0</vt:i4>
      </vt:variant>
      <vt:variant>
        <vt:i4>5</vt:i4>
      </vt:variant>
      <vt:variant>
        <vt:lpwstr>http://www.rrvv.org.au/</vt:lpwstr>
      </vt:variant>
      <vt:variant>
        <vt:lpwstr/>
      </vt:variant>
      <vt:variant>
        <vt:i4>262194</vt:i4>
      </vt:variant>
      <vt:variant>
        <vt:i4>237</vt:i4>
      </vt:variant>
      <vt:variant>
        <vt:i4>0</vt:i4>
      </vt:variant>
      <vt:variant>
        <vt:i4>5</vt:i4>
      </vt:variant>
      <vt:variant>
        <vt:lpwstr>mailto:info@vic.lasa.asn.au</vt:lpwstr>
      </vt:variant>
      <vt:variant>
        <vt:lpwstr/>
      </vt:variant>
      <vt:variant>
        <vt:i4>2555936</vt:i4>
      </vt:variant>
      <vt:variant>
        <vt:i4>234</vt:i4>
      </vt:variant>
      <vt:variant>
        <vt:i4>0</vt:i4>
      </vt:variant>
      <vt:variant>
        <vt:i4>5</vt:i4>
      </vt:variant>
      <vt:variant>
        <vt:lpwstr>http://vic.lasa.asn.au/</vt:lpwstr>
      </vt:variant>
      <vt:variant>
        <vt:lpwstr/>
      </vt:variant>
      <vt:variant>
        <vt:i4>4980791</vt:i4>
      </vt:variant>
      <vt:variant>
        <vt:i4>231</vt:i4>
      </vt:variant>
      <vt:variant>
        <vt:i4>0</vt:i4>
      </vt:variant>
      <vt:variant>
        <vt:i4>5</vt:i4>
      </vt:variant>
      <vt:variant>
        <vt:lpwstr>mailto:haag@oldertenants.org.au</vt:lpwstr>
      </vt:variant>
      <vt:variant>
        <vt:lpwstr/>
      </vt:variant>
      <vt:variant>
        <vt:i4>2424887</vt:i4>
      </vt:variant>
      <vt:variant>
        <vt:i4>228</vt:i4>
      </vt:variant>
      <vt:variant>
        <vt:i4>0</vt:i4>
      </vt:variant>
      <vt:variant>
        <vt:i4>5</vt:i4>
      </vt:variant>
      <vt:variant>
        <vt:lpwstr>http://www.oldertenants.org.au/</vt:lpwstr>
      </vt:variant>
      <vt:variant>
        <vt:lpwstr/>
      </vt:variant>
      <vt:variant>
        <vt:i4>65536</vt:i4>
      </vt:variant>
      <vt:variant>
        <vt:i4>225</vt:i4>
      </vt:variant>
      <vt:variant>
        <vt:i4>0</vt:i4>
      </vt:variant>
      <vt:variant>
        <vt:i4>5</vt:i4>
      </vt:variant>
      <vt:variant>
        <vt:lpwstr>https://www.consumer.vic.gov.au/</vt:lpwstr>
      </vt:variant>
      <vt:variant>
        <vt:lpwstr/>
      </vt:variant>
      <vt:variant>
        <vt:i4>65536</vt:i4>
      </vt:variant>
      <vt:variant>
        <vt:i4>222</vt:i4>
      </vt:variant>
      <vt:variant>
        <vt:i4>0</vt:i4>
      </vt:variant>
      <vt:variant>
        <vt:i4>5</vt:i4>
      </vt:variant>
      <vt:variant>
        <vt:lpwstr>https://www.consumer.vic.gov.au/</vt:lpwstr>
      </vt:variant>
      <vt:variant>
        <vt:lpwstr/>
      </vt:variant>
      <vt:variant>
        <vt:i4>8126544</vt:i4>
      </vt:variant>
      <vt:variant>
        <vt:i4>216</vt:i4>
      </vt:variant>
      <vt:variant>
        <vt:i4>0</vt:i4>
      </vt:variant>
      <vt:variant>
        <vt:i4>5</vt:i4>
      </vt:variant>
      <vt:variant>
        <vt:lpwstr/>
      </vt:variant>
      <vt:variant>
        <vt:lpwstr>_Protocol_6:_Ongoing</vt:lpwstr>
      </vt:variant>
      <vt:variant>
        <vt:i4>917548</vt:i4>
      </vt:variant>
      <vt:variant>
        <vt:i4>210</vt:i4>
      </vt:variant>
      <vt:variant>
        <vt:i4>0</vt:i4>
      </vt:variant>
      <vt:variant>
        <vt:i4>5</vt:i4>
      </vt:variant>
      <vt:variant>
        <vt:lpwstr/>
      </vt:variant>
      <vt:variant>
        <vt:lpwstr>_Protocol_5:_Marketing</vt:lpwstr>
      </vt:variant>
      <vt:variant>
        <vt:i4>917548</vt:i4>
      </vt:variant>
      <vt:variant>
        <vt:i4>207</vt:i4>
      </vt:variant>
      <vt:variant>
        <vt:i4>0</vt:i4>
      </vt:variant>
      <vt:variant>
        <vt:i4>5</vt:i4>
      </vt:variant>
      <vt:variant>
        <vt:lpwstr/>
      </vt:variant>
      <vt:variant>
        <vt:lpwstr>_Protocol_5:_Marketing</vt:lpwstr>
      </vt:variant>
      <vt:variant>
        <vt:i4>5046287</vt:i4>
      </vt:variant>
      <vt:variant>
        <vt:i4>201</vt:i4>
      </vt:variant>
      <vt:variant>
        <vt:i4>0</vt:i4>
      </vt:variant>
      <vt:variant>
        <vt:i4>5</vt:i4>
      </vt:variant>
      <vt:variant>
        <vt:lpwstr/>
      </vt:variant>
      <vt:variant>
        <vt:lpwstr>_Protocol_6:_Ongoing_1</vt:lpwstr>
      </vt:variant>
      <vt:variant>
        <vt:i4>786492</vt:i4>
      </vt:variant>
      <vt:variant>
        <vt:i4>195</vt:i4>
      </vt:variant>
      <vt:variant>
        <vt:i4>0</vt:i4>
      </vt:variant>
      <vt:variant>
        <vt:i4>5</vt:i4>
      </vt:variant>
      <vt:variant>
        <vt:lpwstr/>
      </vt:variant>
      <vt:variant>
        <vt:lpwstr>_Protocol_7:_Refurbishment</vt:lpwstr>
      </vt:variant>
      <vt:variant>
        <vt:i4>6684754</vt:i4>
      </vt:variant>
      <vt:variant>
        <vt:i4>189</vt:i4>
      </vt:variant>
      <vt:variant>
        <vt:i4>0</vt:i4>
      </vt:variant>
      <vt:variant>
        <vt:i4>5</vt:i4>
      </vt:variant>
      <vt:variant>
        <vt:lpwstr/>
      </vt:variant>
      <vt:variant>
        <vt:lpwstr>_Consumer_Affairs_Victoria</vt:lpwstr>
      </vt:variant>
      <vt:variant>
        <vt:i4>65536</vt:i4>
      </vt:variant>
      <vt:variant>
        <vt:i4>186</vt:i4>
      </vt:variant>
      <vt:variant>
        <vt:i4>0</vt:i4>
      </vt:variant>
      <vt:variant>
        <vt:i4>5</vt:i4>
      </vt:variant>
      <vt:variant>
        <vt:lpwstr>https://www.consumer.vic.gov.au/</vt:lpwstr>
      </vt:variant>
      <vt:variant>
        <vt:lpwstr/>
      </vt:variant>
      <vt:variant>
        <vt:i4>327753</vt:i4>
      </vt:variant>
      <vt:variant>
        <vt:i4>183</vt:i4>
      </vt:variant>
      <vt:variant>
        <vt:i4>0</vt:i4>
      </vt:variant>
      <vt:variant>
        <vt:i4>5</vt:i4>
      </vt:variant>
      <vt:variant>
        <vt:lpwstr>http://creativecommons.org/licenses/by/3.0/au</vt:lpwstr>
      </vt:variant>
      <vt:variant>
        <vt:lpwstr/>
      </vt:variant>
      <vt:variant>
        <vt:i4>1703995</vt:i4>
      </vt:variant>
      <vt:variant>
        <vt:i4>176</vt:i4>
      </vt:variant>
      <vt:variant>
        <vt:i4>0</vt:i4>
      </vt:variant>
      <vt:variant>
        <vt:i4>5</vt:i4>
      </vt:variant>
      <vt:variant>
        <vt:lpwstr/>
      </vt:variant>
      <vt:variant>
        <vt:lpwstr>_Toc490483734</vt:lpwstr>
      </vt:variant>
      <vt:variant>
        <vt:i4>1703995</vt:i4>
      </vt:variant>
      <vt:variant>
        <vt:i4>170</vt:i4>
      </vt:variant>
      <vt:variant>
        <vt:i4>0</vt:i4>
      </vt:variant>
      <vt:variant>
        <vt:i4>5</vt:i4>
      </vt:variant>
      <vt:variant>
        <vt:lpwstr/>
      </vt:variant>
      <vt:variant>
        <vt:lpwstr>_Toc490483733</vt:lpwstr>
      </vt:variant>
      <vt:variant>
        <vt:i4>1703995</vt:i4>
      </vt:variant>
      <vt:variant>
        <vt:i4>164</vt:i4>
      </vt:variant>
      <vt:variant>
        <vt:i4>0</vt:i4>
      </vt:variant>
      <vt:variant>
        <vt:i4>5</vt:i4>
      </vt:variant>
      <vt:variant>
        <vt:lpwstr/>
      </vt:variant>
      <vt:variant>
        <vt:lpwstr>_Toc490483732</vt:lpwstr>
      </vt:variant>
      <vt:variant>
        <vt:i4>1703995</vt:i4>
      </vt:variant>
      <vt:variant>
        <vt:i4>158</vt:i4>
      </vt:variant>
      <vt:variant>
        <vt:i4>0</vt:i4>
      </vt:variant>
      <vt:variant>
        <vt:i4>5</vt:i4>
      </vt:variant>
      <vt:variant>
        <vt:lpwstr/>
      </vt:variant>
      <vt:variant>
        <vt:lpwstr>_Toc490483731</vt:lpwstr>
      </vt:variant>
      <vt:variant>
        <vt:i4>1703995</vt:i4>
      </vt:variant>
      <vt:variant>
        <vt:i4>152</vt:i4>
      </vt:variant>
      <vt:variant>
        <vt:i4>0</vt:i4>
      </vt:variant>
      <vt:variant>
        <vt:i4>5</vt:i4>
      </vt:variant>
      <vt:variant>
        <vt:lpwstr/>
      </vt:variant>
      <vt:variant>
        <vt:lpwstr>_Toc490483730</vt:lpwstr>
      </vt:variant>
      <vt:variant>
        <vt:i4>1769531</vt:i4>
      </vt:variant>
      <vt:variant>
        <vt:i4>146</vt:i4>
      </vt:variant>
      <vt:variant>
        <vt:i4>0</vt:i4>
      </vt:variant>
      <vt:variant>
        <vt:i4>5</vt:i4>
      </vt:variant>
      <vt:variant>
        <vt:lpwstr/>
      </vt:variant>
      <vt:variant>
        <vt:lpwstr>_Toc490483729</vt:lpwstr>
      </vt:variant>
      <vt:variant>
        <vt:i4>1769531</vt:i4>
      </vt:variant>
      <vt:variant>
        <vt:i4>140</vt:i4>
      </vt:variant>
      <vt:variant>
        <vt:i4>0</vt:i4>
      </vt:variant>
      <vt:variant>
        <vt:i4>5</vt:i4>
      </vt:variant>
      <vt:variant>
        <vt:lpwstr/>
      </vt:variant>
      <vt:variant>
        <vt:lpwstr>_Toc490483728</vt:lpwstr>
      </vt:variant>
      <vt:variant>
        <vt:i4>1769531</vt:i4>
      </vt:variant>
      <vt:variant>
        <vt:i4>134</vt:i4>
      </vt:variant>
      <vt:variant>
        <vt:i4>0</vt:i4>
      </vt:variant>
      <vt:variant>
        <vt:i4>5</vt:i4>
      </vt:variant>
      <vt:variant>
        <vt:lpwstr/>
      </vt:variant>
      <vt:variant>
        <vt:lpwstr>_Toc490483727</vt:lpwstr>
      </vt:variant>
      <vt:variant>
        <vt:i4>1769531</vt:i4>
      </vt:variant>
      <vt:variant>
        <vt:i4>128</vt:i4>
      </vt:variant>
      <vt:variant>
        <vt:i4>0</vt:i4>
      </vt:variant>
      <vt:variant>
        <vt:i4>5</vt:i4>
      </vt:variant>
      <vt:variant>
        <vt:lpwstr/>
      </vt:variant>
      <vt:variant>
        <vt:lpwstr>_Toc490483726</vt:lpwstr>
      </vt:variant>
      <vt:variant>
        <vt:i4>1769531</vt:i4>
      </vt:variant>
      <vt:variant>
        <vt:i4>122</vt:i4>
      </vt:variant>
      <vt:variant>
        <vt:i4>0</vt:i4>
      </vt:variant>
      <vt:variant>
        <vt:i4>5</vt:i4>
      </vt:variant>
      <vt:variant>
        <vt:lpwstr/>
      </vt:variant>
      <vt:variant>
        <vt:lpwstr>_Toc490483725</vt:lpwstr>
      </vt:variant>
      <vt:variant>
        <vt:i4>1769531</vt:i4>
      </vt:variant>
      <vt:variant>
        <vt:i4>116</vt:i4>
      </vt:variant>
      <vt:variant>
        <vt:i4>0</vt:i4>
      </vt:variant>
      <vt:variant>
        <vt:i4>5</vt:i4>
      </vt:variant>
      <vt:variant>
        <vt:lpwstr/>
      </vt:variant>
      <vt:variant>
        <vt:lpwstr>_Toc490483724</vt:lpwstr>
      </vt:variant>
      <vt:variant>
        <vt:i4>1769531</vt:i4>
      </vt:variant>
      <vt:variant>
        <vt:i4>110</vt:i4>
      </vt:variant>
      <vt:variant>
        <vt:i4>0</vt:i4>
      </vt:variant>
      <vt:variant>
        <vt:i4>5</vt:i4>
      </vt:variant>
      <vt:variant>
        <vt:lpwstr/>
      </vt:variant>
      <vt:variant>
        <vt:lpwstr>_Toc490483723</vt:lpwstr>
      </vt:variant>
      <vt:variant>
        <vt:i4>1769531</vt:i4>
      </vt:variant>
      <vt:variant>
        <vt:i4>104</vt:i4>
      </vt:variant>
      <vt:variant>
        <vt:i4>0</vt:i4>
      </vt:variant>
      <vt:variant>
        <vt:i4>5</vt:i4>
      </vt:variant>
      <vt:variant>
        <vt:lpwstr/>
      </vt:variant>
      <vt:variant>
        <vt:lpwstr>_Toc490483722</vt:lpwstr>
      </vt:variant>
      <vt:variant>
        <vt:i4>1769531</vt:i4>
      </vt:variant>
      <vt:variant>
        <vt:i4>98</vt:i4>
      </vt:variant>
      <vt:variant>
        <vt:i4>0</vt:i4>
      </vt:variant>
      <vt:variant>
        <vt:i4>5</vt:i4>
      </vt:variant>
      <vt:variant>
        <vt:lpwstr/>
      </vt:variant>
      <vt:variant>
        <vt:lpwstr>_Toc490483721</vt:lpwstr>
      </vt:variant>
      <vt:variant>
        <vt:i4>1769531</vt:i4>
      </vt:variant>
      <vt:variant>
        <vt:i4>92</vt:i4>
      </vt:variant>
      <vt:variant>
        <vt:i4>0</vt:i4>
      </vt:variant>
      <vt:variant>
        <vt:i4>5</vt:i4>
      </vt:variant>
      <vt:variant>
        <vt:lpwstr/>
      </vt:variant>
      <vt:variant>
        <vt:lpwstr>_Toc490483720</vt:lpwstr>
      </vt:variant>
      <vt:variant>
        <vt:i4>1572923</vt:i4>
      </vt:variant>
      <vt:variant>
        <vt:i4>86</vt:i4>
      </vt:variant>
      <vt:variant>
        <vt:i4>0</vt:i4>
      </vt:variant>
      <vt:variant>
        <vt:i4>5</vt:i4>
      </vt:variant>
      <vt:variant>
        <vt:lpwstr/>
      </vt:variant>
      <vt:variant>
        <vt:lpwstr>_Toc490483719</vt:lpwstr>
      </vt:variant>
      <vt:variant>
        <vt:i4>1572923</vt:i4>
      </vt:variant>
      <vt:variant>
        <vt:i4>80</vt:i4>
      </vt:variant>
      <vt:variant>
        <vt:i4>0</vt:i4>
      </vt:variant>
      <vt:variant>
        <vt:i4>5</vt:i4>
      </vt:variant>
      <vt:variant>
        <vt:lpwstr/>
      </vt:variant>
      <vt:variant>
        <vt:lpwstr>_Toc490483718</vt:lpwstr>
      </vt:variant>
      <vt:variant>
        <vt:i4>1572923</vt:i4>
      </vt:variant>
      <vt:variant>
        <vt:i4>74</vt:i4>
      </vt:variant>
      <vt:variant>
        <vt:i4>0</vt:i4>
      </vt:variant>
      <vt:variant>
        <vt:i4>5</vt:i4>
      </vt:variant>
      <vt:variant>
        <vt:lpwstr/>
      </vt:variant>
      <vt:variant>
        <vt:lpwstr>_Toc490483717</vt:lpwstr>
      </vt:variant>
      <vt:variant>
        <vt:i4>1572923</vt:i4>
      </vt:variant>
      <vt:variant>
        <vt:i4>68</vt:i4>
      </vt:variant>
      <vt:variant>
        <vt:i4>0</vt:i4>
      </vt:variant>
      <vt:variant>
        <vt:i4>5</vt:i4>
      </vt:variant>
      <vt:variant>
        <vt:lpwstr/>
      </vt:variant>
      <vt:variant>
        <vt:lpwstr>_Toc490483716</vt:lpwstr>
      </vt:variant>
      <vt:variant>
        <vt:i4>1572923</vt:i4>
      </vt:variant>
      <vt:variant>
        <vt:i4>62</vt:i4>
      </vt:variant>
      <vt:variant>
        <vt:i4>0</vt:i4>
      </vt:variant>
      <vt:variant>
        <vt:i4>5</vt:i4>
      </vt:variant>
      <vt:variant>
        <vt:lpwstr/>
      </vt:variant>
      <vt:variant>
        <vt:lpwstr>_Toc490483715</vt:lpwstr>
      </vt:variant>
      <vt:variant>
        <vt:i4>1572923</vt:i4>
      </vt:variant>
      <vt:variant>
        <vt:i4>56</vt:i4>
      </vt:variant>
      <vt:variant>
        <vt:i4>0</vt:i4>
      </vt:variant>
      <vt:variant>
        <vt:i4>5</vt:i4>
      </vt:variant>
      <vt:variant>
        <vt:lpwstr/>
      </vt:variant>
      <vt:variant>
        <vt:lpwstr>_Toc490483714</vt:lpwstr>
      </vt:variant>
      <vt:variant>
        <vt:i4>1572923</vt:i4>
      </vt:variant>
      <vt:variant>
        <vt:i4>50</vt:i4>
      </vt:variant>
      <vt:variant>
        <vt:i4>0</vt:i4>
      </vt:variant>
      <vt:variant>
        <vt:i4>5</vt:i4>
      </vt:variant>
      <vt:variant>
        <vt:lpwstr/>
      </vt:variant>
      <vt:variant>
        <vt:lpwstr>_Toc490483713</vt:lpwstr>
      </vt:variant>
      <vt:variant>
        <vt:i4>1572923</vt:i4>
      </vt:variant>
      <vt:variant>
        <vt:i4>44</vt:i4>
      </vt:variant>
      <vt:variant>
        <vt:i4>0</vt:i4>
      </vt:variant>
      <vt:variant>
        <vt:i4>5</vt:i4>
      </vt:variant>
      <vt:variant>
        <vt:lpwstr/>
      </vt:variant>
      <vt:variant>
        <vt:lpwstr>_Toc490483712</vt:lpwstr>
      </vt:variant>
      <vt:variant>
        <vt:i4>1572923</vt:i4>
      </vt:variant>
      <vt:variant>
        <vt:i4>38</vt:i4>
      </vt:variant>
      <vt:variant>
        <vt:i4>0</vt:i4>
      </vt:variant>
      <vt:variant>
        <vt:i4>5</vt:i4>
      </vt:variant>
      <vt:variant>
        <vt:lpwstr/>
      </vt:variant>
      <vt:variant>
        <vt:lpwstr>_Toc490483711</vt:lpwstr>
      </vt:variant>
      <vt:variant>
        <vt:i4>1572923</vt:i4>
      </vt:variant>
      <vt:variant>
        <vt:i4>32</vt:i4>
      </vt:variant>
      <vt:variant>
        <vt:i4>0</vt:i4>
      </vt:variant>
      <vt:variant>
        <vt:i4>5</vt:i4>
      </vt:variant>
      <vt:variant>
        <vt:lpwstr/>
      </vt:variant>
      <vt:variant>
        <vt:lpwstr>_Toc490483710</vt:lpwstr>
      </vt:variant>
      <vt:variant>
        <vt:i4>1638459</vt:i4>
      </vt:variant>
      <vt:variant>
        <vt:i4>26</vt:i4>
      </vt:variant>
      <vt:variant>
        <vt:i4>0</vt:i4>
      </vt:variant>
      <vt:variant>
        <vt:i4>5</vt:i4>
      </vt:variant>
      <vt:variant>
        <vt:lpwstr/>
      </vt:variant>
      <vt:variant>
        <vt:lpwstr>_Toc490483709</vt:lpwstr>
      </vt:variant>
      <vt:variant>
        <vt:i4>1638459</vt:i4>
      </vt:variant>
      <vt:variant>
        <vt:i4>20</vt:i4>
      </vt:variant>
      <vt:variant>
        <vt:i4>0</vt:i4>
      </vt:variant>
      <vt:variant>
        <vt:i4>5</vt:i4>
      </vt:variant>
      <vt:variant>
        <vt:lpwstr/>
      </vt:variant>
      <vt:variant>
        <vt:lpwstr>_Toc490483708</vt:lpwstr>
      </vt:variant>
      <vt:variant>
        <vt:i4>1638459</vt:i4>
      </vt:variant>
      <vt:variant>
        <vt:i4>14</vt:i4>
      </vt:variant>
      <vt:variant>
        <vt:i4>0</vt:i4>
      </vt:variant>
      <vt:variant>
        <vt:i4>5</vt:i4>
      </vt:variant>
      <vt:variant>
        <vt:lpwstr/>
      </vt:variant>
      <vt:variant>
        <vt:lpwstr>_Toc490483707</vt:lpwstr>
      </vt:variant>
      <vt:variant>
        <vt:i4>1638459</vt:i4>
      </vt:variant>
      <vt:variant>
        <vt:i4>8</vt:i4>
      </vt:variant>
      <vt:variant>
        <vt:i4>0</vt:i4>
      </vt:variant>
      <vt:variant>
        <vt:i4>5</vt:i4>
      </vt:variant>
      <vt:variant>
        <vt:lpwstr/>
      </vt:variant>
      <vt:variant>
        <vt:lpwstr>_Toc490483706</vt:lpwstr>
      </vt:variant>
      <vt:variant>
        <vt:i4>1638459</vt:i4>
      </vt:variant>
      <vt:variant>
        <vt:i4>2</vt:i4>
      </vt:variant>
      <vt:variant>
        <vt:i4>0</vt:i4>
      </vt:variant>
      <vt:variant>
        <vt:i4>5</vt:i4>
      </vt:variant>
      <vt:variant>
        <vt:lpwstr/>
      </vt:variant>
      <vt:variant>
        <vt:lpwstr>_Toc490483705</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good practice to address key issues – a guide for residents</dc:title>
  <dc:subject>Retirement villages</dc:subject>
  <dc:creator>Consumer Affairs Victoria</dc:creator>
  <cp:lastModifiedBy>James Hannan (DJR)</cp:lastModifiedBy>
  <cp:revision>3</cp:revision>
  <cp:lastPrinted>2018-11-26T04:37:00Z</cp:lastPrinted>
  <dcterms:created xsi:type="dcterms:W3CDTF">2018-11-26T03:14:00Z</dcterms:created>
  <dcterms:modified xsi:type="dcterms:W3CDTF">2018-11-26T04:37:00Z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