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43" w:rsidRDefault="000A7543" w:rsidP="005A229E">
      <w:pPr>
        <w:spacing w:after="0" w:line="240" w:lineRule="auto"/>
      </w:pPr>
    </w:p>
    <w:p w:rsidR="005A229E" w:rsidRDefault="005A229E" w:rsidP="005A229E">
      <w:pPr>
        <w:spacing w:after="0" w:line="240" w:lineRule="auto"/>
      </w:pPr>
      <w:r>
        <w:t>Consumer Affairs Victoria</w:t>
      </w:r>
      <w:r>
        <w:tab/>
      </w:r>
      <w:r>
        <w:tab/>
      </w:r>
      <w:r>
        <w:tab/>
      </w:r>
      <w:r>
        <w:tab/>
      </w:r>
      <w:r>
        <w:tab/>
        <w:t>Mrs Karin Mackay</w:t>
      </w:r>
    </w:p>
    <w:p w:rsidR="005A229E" w:rsidRDefault="005A229E" w:rsidP="005A229E">
      <w:pPr>
        <w:spacing w:after="0" w:line="240" w:lineRule="auto"/>
      </w:pPr>
      <w:r>
        <w:t>Consumer Property Law Review</w:t>
      </w:r>
      <w:r>
        <w:tab/>
      </w:r>
      <w:r>
        <w:tab/>
      </w:r>
      <w:r>
        <w:tab/>
      </w:r>
      <w:r>
        <w:tab/>
      </w:r>
      <w:r>
        <w:tab/>
        <w:t xml:space="preserve">Australian Property Buyers Pty Ltd </w:t>
      </w:r>
    </w:p>
    <w:p w:rsidR="005A229E" w:rsidRDefault="005A229E" w:rsidP="005A229E">
      <w:pPr>
        <w:spacing w:after="0" w:line="240" w:lineRule="auto"/>
      </w:pPr>
      <w:r>
        <w:t>Policy &amp; Legislation Branch</w:t>
      </w:r>
      <w:r>
        <w:tab/>
      </w:r>
      <w:r>
        <w:tab/>
      </w:r>
      <w:r>
        <w:tab/>
      </w:r>
      <w:r>
        <w:tab/>
      </w:r>
      <w:r>
        <w:tab/>
        <w:t>Suite 1, First Floor</w:t>
      </w:r>
    </w:p>
    <w:p w:rsidR="005A229E" w:rsidRDefault="005A229E" w:rsidP="005A229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214 Graham Street </w:t>
      </w:r>
    </w:p>
    <w:p w:rsidR="005A229E" w:rsidRDefault="005A229E" w:rsidP="005A229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 Melbourne Victoria 3207</w:t>
      </w:r>
    </w:p>
    <w:p w:rsidR="005A229E" w:rsidRDefault="005A229E" w:rsidP="005A229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No: +61 3 9645 3418</w:t>
      </w:r>
    </w:p>
    <w:p w:rsidR="005A229E" w:rsidRDefault="005A229E" w:rsidP="005A229E">
      <w:pPr>
        <w:spacing w:after="0" w:line="240" w:lineRule="auto"/>
      </w:pPr>
      <w:r>
        <w:t>6</w:t>
      </w:r>
      <w:r w:rsidRPr="005A229E">
        <w:rPr>
          <w:vertAlign w:val="superscript"/>
        </w:rPr>
        <w:t>th</w:t>
      </w:r>
      <w:r>
        <w:t xml:space="preserve"> January 2016</w:t>
      </w:r>
      <w:r>
        <w:tab/>
      </w:r>
      <w:r>
        <w:tab/>
      </w:r>
      <w:r>
        <w:tab/>
      </w:r>
      <w:r>
        <w:tab/>
      </w:r>
      <w:r>
        <w:tab/>
      </w:r>
      <w:r>
        <w:tab/>
        <w:t>License/s:  067399L/067384L</w:t>
      </w:r>
    </w:p>
    <w:p w:rsidR="005A229E" w:rsidRDefault="005A229E" w:rsidP="005A229E">
      <w:pPr>
        <w:spacing w:after="0" w:line="240" w:lineRule="auto"/>
      </w:pPr>
    </w:p>
    <w:p w:rsidR="00011E64" w:rsidRDefault="005A229E" w:rsidP="005A229E">
      <w:pPr>
        <w:spacing w:after="0" w:line="240" w:lineRule="auto"/>
      </w:pPr>
      <w:r>
        <w:t>Dear Minister,</w:t>
      </w:r>
    </w:p>
    <w:p w:rsidR="005A229E" w:rsidRDefault="00011E64" w:rsidP="005A229E">
      <w:pPr>
        <w:spacing w:after="0" w:line="240" w:lineRule="auto"/>
      </w:pPr>
      <w:r>
        <w:t xml:space="preserve">There are </w:t>
      </w:r>
      <w:r w:rsidR="00C050B5">
        <w:t>a few</w:t>
      </w:r>
      <w:r>
        <w:t xml:space="preserve"> areas I would like you to consider in the updating the Sale of land Act and the Owners Corporation Act.</w:t>
      </w:r>
    </w:p>
    <w:p w:rsidR="00011E64" w:rsidRDefault="00011E64" w:rsidP="005A229E">
      <w:pPr>
        <w:spacing w:after="0" w:line="240" w:lineRule="auto"/>
      </w:pPr>
    </w:p>
    <w:p w:rsidR="00011E64" w:rsidRPr="00011E64" w:rsidRDefault="00011E64" w:rsidP="005A229E">
      <w:pPr>
        <w:spacing w:after="0" w:line="240" w:lineRule="auto"/>
        <w:rPr>
          <w:b/>
          <w:u w:val="single"/>
        </w:rPr>
      </w:pPr>
      <w:r w:rsidRPr="00011E64">
        <w:rPr>
          <w:b/>
          <w:u w:val="single"/>
        </w:rPr>
        <w:t>Sale of Land Act:</w:t>
      </w:r>
    </w:p>
    <w:p w:rsidR="005A229E" w:rsidRDefault="005A229E" w:rsidP="005A229E">
      <w:pPr>
        <w:spacing w:after="0" w:line="240" w:lineRule="auto"/>
      </w:pPr>
    </w:p>
    <w:p w:rsidR="00011E64" w:rsidRDefault="00011E64" w:rsidP="004B4EFC">
      <w:pPr>
        <w:pStyle w:val="ListParagraph"/>
        <w:numPr>
          <w:ilvl w:val="0"/>
          <w:numId w:val="1"/>
        </w:numPr>
        <w:spacing w:after="240" w:line="240" w:lineRule="auto"/>
        <w:ind w:left="714" w:hanging="357"/>
      </w:pPr>
      <w:r w:rsidRPr="00011E64">
        <w:t xml:space="preserve">Currently </w:t>
      </w:r>
      <w:r>
        <w:t xml:space="preserve">there are no regulations for developers of apartment blocks and very large townhouse developments locking in the purchasers to an Owners Corporation </w:t>
      </w:r>
      <w:r w:rsidR="00D10EFD">
        <w:t xml:space="preserve">and imbedded networks </w:t>
      </w:r>
      <w:r>
        <w:t>for many years at exorbitant fees. I would like to propose the following:</w:t>
      </w:r>
    </w:p>
    <w:p w:rsidR="00D10EFD" w:rsidRDefault="00D10EFD" w:rsidP="00D10EFD">
      <w:pPr>
        <w:pStyle w:val="ListParagraph"/>
        <w:spacing w:after="240" w:line="240" w:lineRule="auto"/>
        <w:ind w:left="714"/>
      </w:pPr>
    </w:p>
    <w:p w:rsidR="004B4EFC" w:rsidRDefault="00011E64" w:rsidP="004B4EFC">
      <w:pPr>
        <w:pStyle w:val="ListParagraph"/>
        <w:numPr>
          <w:ilvl w:val="1"/>
          <w:numId w:val="1"/>
        </w:numPr>
        <w:spacing w:after="120" w:line="240" w:lineRule="auto"/>
      </w:pPr>
      <w:r w:rsidRPr="004B4EFC">
        <w:rPr>
          <w:b/>
          <w:u w:val="single"/>
        </w:rPr>
        <w:t>Sale of “off the Plan” projects which require an Owners Corporation</w:t>
      </w:r>
      <w:r>
        <w:t xml:space="preserve">. </w:t>
      </w:r>
    </w:p>
    <w:p w:rsidR="00D10EFD" w:rsidRDefault="00D10EFD" w:rsidP="00D10EFD">
      <w:pPr>
        <w:pStyle w:val="ListParagraph"/>
        <w:spacing w:after="120" w:line="240" w:lineRule="auto"/>
        <w:ind w:left="1440"/>
      </w:pPr>
    </w:p>
    <w:p w:rsidR="00011E64" w:rsidRDefault="00011E64" w:rsidP="004B4EFC">
      <w:pPr>
        <w:pStyle w:val="ListParagraph"/>
        <w:numPr>
          <w:ilvl w:val="2"/>
          <w:numId w:val="1"/>
        </w:numPr>
        <w:spacing w:after="120" w:line="240" w:lineRule="auto"/>
      </w:pPr>
      <w:r>
        <w:t>The developers can only lock in the appointed Owners Corporation for 1 year.</w:t>
      </w:r>
    </w:p>
    <w:p w:rsidR="004B4EFC" w:rsidRPr="004B4EFC" w:rsidRDefault="004B4EFC" w:rsidP="004B4EFC">
      <w:pPr>
        <w:pStyle w:val="ListParagraph"/>
        <w:numPr>
          <w:ilvl w:val="2"/>
          <w:numId w:val="1"/>
        </w:numPr>
        <w:spacing w:after="120" w:line="240" w:lineRule="auto"/>
      </w:pPr>
      <w:r w:rsidRPr="004B4EFC">
        <w:t>The developer must not own the Owners Corporation for the development</w:t>
      </w:r>
    </w:p>
    <w:p w:rsidR="004B4EFC" w:rsidRDefault="004B4EFC" w:rsidP="004B4EFC">
      <w:pPr>
        <w:pStyle w:val="ListParagraph"/>
        <w:numPr>
          <w:ilvl w:val="2"/>
          <w:numId w:val="1"/>
        </w:numPr>
        <w:spacing w:after="120" w:line="240" w:lineRule="auto"/>
      </w:pPr>
      <w:r w:rsidRPr="004B4EFC">
        <w:t xml:space="preserve">They must provide </w:t>
      </w:r>
      <w:r>
        <w:t xml:space="preserve">documented evidence of obtaining the 3 “best” quotes for fees </w:t>
      </w:r>
      <w:r w:rsidR="00D10EFD">
        <w:t xml:space="preserve">of the O/C </w:t>
      </w:r>
      <w:r>
        <w:t>in the Section 32.</w:t>
      </w:r>
    </w:p>
    <w:p w:rsidR="004B4EFC" w:rsidRDefault="004B4EFC" w:rsidP="004B4EFC">
      <w:pPr>
        <w:pStyle w:val="ListParagraph"/>
        <w:numPr>
          <w:ilvl w:val="2"/>
          <w:numId w:val="1"/>
        </w:numPr>
        <w:spacing w:after="120" w:line="240" w:lineRule="auto"/>
      </w:pPr>
      <w:r>
        <w:t>They must provide what the Owners Corporation fees will be in the Section 32</w:t>
      </w:r>
    </w:p>
    <w:p w:rsidR="004B4EFC" w:rsidRDefault="004B4EFC" w:rsidP="004B4EFC">
      <w:pPr>
        <w:pStyle w:val="ListParagraph"/>
        <w:numPr>
          <w:ilvl w:val="2"/>
          <w:numId w:val="1"/>
        </w:numPr>
        <w:spacing w:after="120" w:line="240" w:lineRule="auto"/>
      </w:pPr>
      <w:r>
        <w:t>They are not allowed to state in any advertising anything different to what the actual fees will be</w:t>
      </w:r>
    </w:p>
    <w:p w:rsidR="004B4EFC" w:rsidRDefault="004B4EFC" w:rsidP="004B4EFC">
      <w:pPr>
        <w:pStyle w:val="ListParagraph"/>
        <w:spacing w:after="120" w:line="240" w:lineRule="auto"/>
        <w:ind w:left="2160"/>
      </w:pPr>
    </w:p>
    <w:p w:rsidR="004B4EFC" w:rsidRDefault="00D10EFD" w:rsidP="004B4EFC">
      <w:pPr>
        <w:pStyle w:val="ListParagraph"/>
        <w:numPr>
          <w:ilvl w:val="1"/>
          <w:numId w:val="1"/>
        </w:num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Sale of “Off the Plan” projects with </w:t>
      </w:r>
      <w:r w:rsidR="004B4EFC" w:rsidRPr="004B4EFC">
        <w:rPr>
          <w:b/>
          <w:u w:val="single"/>
        </w:rPr>
        <w:t>Imbedded Network Contracts completed by the developer</w:t>
      </w:r>
      <w:r w:rsidR="004B4EFC">
        <w:rPr>
          <w:b/>
          <w:u w:val="single"/>
        </w:rPr>
        <w:t xml:space="preserve">  </w:t>
      </w:r>
    </w:p>
    <w:p w:rsidR="00D10EFD" w:rsidRPr="00D10EFD" w:rsidRDefault="00D10EFD" w:rsidP="00D10EFD">
      <w:pPr>
        <w:pStyle w:val="ListParagraph"/>
        <w:spacing w:after="120" w:line="240" w:lineRule="auto"/>
        <w:ind w:left="1440"/>
        <w:rPr>
          <w:u w:val="single"/>
        </w:rPr>
      </w:pPr>
    </w:p>
    <w:p w:rsidR="004B4EFC" w:rsidRPr="00D10EFD" w:rsidRDefault="004B4EFC" w:rsidP="004B4EFC">
      <w:pPr>
        <w:pStyle w:val="ListParagraph"/>
        <w:numPr>
          <w:ilvl w:val="2"/>
          <w:numId w:val="1"/>
        </w:numPr>
        <w:spacing w:after="120" w:line="240" w:lineRule="auto"/>
        <w:rPr>
          <w:b/>
          <w:u w:val="single"/>
        </w:rPr>
      </w:pPr>
      <w:r w:rsidRPr="00D10EFD">
        <w:t>The developer is not allowed to enter into a contract with any Utility</w:t>
      </w:r>
      <w:r>
        <w:t xml:space="preserve"> Companies including NBN</w:t>
      </w:r>
      <w:r w:rsidR="00D10EFD">
        <w:t xml:space="preserve"> unless it can be proven that the purchasers won’t be disadvantaged in the cost of the service and that the developer isn’t receiving a commission which is passed on to the purchaser</w:t>
      </w:r>
    </w:p>
    <w:p w:rsidR="00D10EFD" w:rsidRDefault="00D10EFD" w:rsidP="00D10EFD">
      <w:pPr>
        <w:pStyle w:val="ListParagraph"/>
        <w:spacing w:after="120" w:line="240" w:lineRule="auto"/>
        <w:ind w:left="1440"/>
        <w:rPr>
          <w:b/>
          <w:u w:val="single"/>
        </w:rPr>
      </w:pPr>
    </w:p>
    <w:p w:rsidR="00D10EFD" w:rsidRPr="00D10EFD" w:rsidRDefault="00D10EFD" w:rsidP="00D10EFD">
      <w:pPr>
        <w:pStyle w:val="ListParagraph"/>
        <w:numPr>
          <w:ilvl w:val="1"/>
          <w:numId w:val="1"/>
        </w:numPr>
        <w:spacing w:after="120" w:line="240" w:lineRule="auto"/>
        <w:rPr>
          <w:b/>
          <w:u w:val="single"/>
        </w:rPr>
      </w:pPr>
      <w:r>
        <w:rPr>
          <w:b/>
          <w:u w:val="single"/>
        </w:rPr>
        <w:t>Sale of “Off the Plan”  projects apartment size and fit out cannot be changed</w:t>
      </w:r>
    </w:p>
    <w:p w:rsidR="00D10EFD" w:rsidRPr="00D10EFD" w:rsidRDefault="00D10EFD" w:rsidP="00D10EFD">
      <w:pPr>
        <w:pStyle w:val="ListParagraph"/>
        <w:spacing w:after="120" w:line="240" w:lineRule="auto"/>
        <w:ind w:left="1440"/>
      </w:pPr>
    </w:p>
    <w:p w:rsidR="00D10EFD" w:rsidRDefault="00D10EFD" w:rsidP="00D10EFD">
      <w:pPr>
        <w:pStyle w:val="ListParagraph"/>
        <w:numPr>
          <w:ilvl w:val="2"/>
          <w:numId w:val="1"/>
        </w:numPr>
        <w:spacing w:after="120" w:line="240" w:lineRule="auto"/>
      </w:pPr>
      <w:r w:rsidRPr="00D10EFD">
        <w:t>The size and fit o</w:t>
      </w:r>
      <w:r>
        <w:t>ut</w:t>
      </w:r>
      <w:r w:rsidRPr="00D10EFD">
        <w:t xml:space="preserve"> of off the p</w:t>
      </w:r>
      <w:r>
        <w:t>lan apartments cannot be changed without the purchasers permission</w:t>
      </w:r>
    </w:p>
    <w:p w:rsidR="00D10EFD" w:rsidRDefault="00D10EFD" w:rsidP="00D10EFD">
      <w:pPr>
        <w:pStyle w:val="ListParagraph"/>
        <w:numPr>
          <w:ilvl w:val="2"/>
          <w:numId w:val="1"/>
        </w:numPr>
        <w:spacing w:after="120" w:line="240" w:lineRule="auto"/>
      </w:pPr>
      <w:r>
        <w:t xml:space="preserve">If size and fit out is less than what the purchaser agreed to in the contract </w:t>
      </w:r>
      <w:r w:rsidR="000A7543">
        <w:t xml:space="preserve">of sale, the developer is obliged to re-negotiate the contract price lower or allow the purchaser to rescind the contract. </w:t>
      </w:r>
    </w:p>
    <w:p w:rsidR="000A7543" w:rsidRDefault="000A7543" w:rsidP="00D10EFD">
      <w:pPr>
        <w:pStyle w:val="ListParagraph"/>
        <w:numPr>
          <w:ilvl w:val="2"/>
          <w:numId w:val="1"/>
        </w:numPr>
        <w:spacing w:after="120" w:line="240" w:lineRule="auto"/>
      </w:pPr>
      <w:r>
        <w:t>The developer must notify the purchaser off the changes by the time construction commences.</w:t>
      </w:r>
    </w:p>
    <w:p w:rsidR="000A7543" w:rsidRPr="00027266" w:rsidRDefault="00027266" w:rsidP="000A7543">
      <w:pPr>
        <w:pStyle w:val="ListParagraph"/>
        <w:numPr>
          <w:ilvl w:val="1"/>
          <w:numId w:val="1"/>
        </w:numPr>
        <w:spacing w:after="120" w:line="240" w:lineRule="auto"/>
      </w:pPr>
      <w:r w:rsidRPr="00027266">
        <w:rPr>
          <w:b/>
          <w:u w:val="single"/>
        </w:rPr>
        <w:t xml:space="preserve">Purchase Price of an “Off the Plan” </w:t>
      </w:r>
      <w:r>
        <w:rPr>
          <w:b/>
          <w:u w:val="single"/>
        </w:rPr>
        <w:t>Development</w:t>
      </w:r>
    </w:p>
    <w:p w:rsidR="00027266" w:rsidRDefault="00027266" w:rsidP="00027266">
      <w:pPr>
        <w:pStyle w:val="ListParagraph"/>
        <w:spacing w:after="120" w:line="240" w:lineRule="auto"/>
        <w:ind w:left="1440"/>
      </w:pPr>
    </w:p>
    <w:p w:rsidR="00027266" w:rsidRDefault="00027266" w:rsidP="00027266">
      <w:pPr>
        <w:pStyle w:val="ListParagraph"/>
        <w:numPr>
          <w:ilvl w:val="2"/>
          <w:numId w:val="1"/>
        </w:numPr>
        <w:spacing w:after="120" w:line="240" w:lineRule="auto"/>
      </w:pPr>
      <w:r>
        <w:t xml:space="preserve">Developers must provide comparable sale prices of “like” properties as part of the contract of sale. </w:t>
      </w:r>
      <w:bookmarkStart w:id="0" w:name="_GoBack"/>
      <w:bookmarkEnd w:id="0"/>
    </w:p>
    <w:p w:rsidR="00027266" w:rsidRDefault="00027266" w:rsidP="00027266">
      <w:pPr>
        <w:pStyle w:val="ListParagraph"/>
        <w:numPr>
          <w:ilvl w:val="2"/>
          <w:numId w:val="1"/>
        </w:numPr>
        <w:spacing w:after="120" w:line="240" w:lineRule="auto"/>
      </w:pPr>
      <w:r>
        <w:t>Their pricing must be within 2.5% of the valuation price at settlement</w:t>
      </w:r>
    </w:p>
    <w:p w:rsidR="000A7543" w:rsidRDefault="000A7543" w:rsidP="000A7543">
      <w:pPr>
        <w:pStyle w:val="ListParagraph"/>
        <w:numPr>
          <w:ilvl w:val="0"/>
          <w:numId w:val="1"/>
        </w:numPr>
        <w:spacing w:after="120" w:line="240" w:lineRule="auto"/>
        <w:rPr>
          <w:b/>
          <w:u w:val="single"/>
        </w:rPr>
      </w:pPr>
      <w:r w:rsidRPr="000A7543">
        <w:rPr>
          <w:b/>
          <w:u w:val="single"/>
        </w:rPr>
        <w:t>Owners Corporation Act</w:t>
      </w:r>
      <w:r>
        <w:rPr>
          <w:b/>
          <w:u w:val="single"/>
        </w:rPr>
        <w:t>:</w:t>
      </w:r>
      <w:r w:rsidR="0049164F">
        <w:rPr>
          <w:b/>
          <w:u w:val="single"/>
        </w:rPr>
        <w:t xml:space="preserve"> </w:t>
      </w:r>
    </w:p>
    <w:p w:rsidR="0049164F" w:rsidRPr="0049164F" w:rsidRDefault="0049164F" w:rsidP="0049164F">
      <w:pPr>
        <w:pStyle w:val="ListParagraph"/>
        <w:spacing w:after="120" w:line="240" w:lineRule="auto"/>
        <w:ind w:left="1440"/>
        <w:rPr>
          <w:b/>
          <w:u w:val="single"/>
        </w:rPr>
      </w:pPr>
    </w:p>
    <w:p w:rsidR="00027266" w:rsidRPr="00027266" w:rsidRDefault="0049164F" w:rsidP="004B4EFC">
      <w:pPr>
        <w:pStyle w:val="ListParagraph"/>
        <w:numPr>
          <w:ilvl w:val="1"/>
          <w:numId w:val="1"/>
        </w:numPr>
        <w:spacing w:after="120" w:line="240" w:lineRule="auto"/>
        <w:ind w:left="2160"/>
        <w:rPr>
          <w:b/>
          <w:u w:val="single"/>
        </w:rPr>
      </w:pPr>
      <w:r>
        <w:t>Owners Corporations are only allowed to sign a service contract for a maximum of 1 year on new developments.</w:t>
      </w:r>
    </w:p>
    <w:p w:rsidR="004B4EFC" w:rsidRPr="00027266" w:rsidRDefault="0049164F" w:rsidP="004B4EFC">
      <w:pPr>
        <w:pStyle w:val="ListParagraph"/>
        <w:numPr>
          <w:ilvl w:val="1"/>
          <w:numId w:val="1"/>
        </w:numPr>
        <w:spacing w:after="120" w:line="240" w:lineRule="auto"/>
        <w:ind w:left="2160"/>
        <w:rPr>
          <w:b/>
          <w:u w:val="single"/>
        </w:rPr>
      </w:pPr>
      <w:r>
        <w:t xml:space="preserve">When obtaining insurance quotes they must provide 3 quotes which include what commission they earn from </w:t>
      </w:r>
      <w:r w:rsidR="00C050B5">
        <w:t>each</w:t>
      </w:r>
      <w:r>
        <w:t xml:space="preserve"> insurer.</w:t>
      </w:r>
    </w:p>
    <w:sectPr w:rsidR="004B4EFC" w:rsidRPr="00027266" w:rsidSect="00491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087"/>
    <w:multiLevelType w:val="hybridMultilevel"/>
    <w:tmpl w:val="83E42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9E"/>
    <w:rsid w:val="00011E64"/>
    <w:rsid w:val="00027266"/>
    <w:rsid w:val="00096537"/>
    <w:rsid w:val="000A7543"/>
    <w:rsid w:val="0049164F"/>
    <w:rsid w:val="004B4EFC"/>
    <w:rsid w:val="0050314C"/>
    <w:rsid w:val="005A229E"/>
    <w:rsid w:val="00722B57"/>
    <w:rsid w:val="00C050B5"/>
    <w:rsid w:val="00D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Mackay</dc:creator>
  <cp:lastModifiedBy>Karin Mackay</cp:lastModifiedBy>
  <cp:revision>3</cp:revision>
  <dcterms:created xsi:type="dcterms:W3CDTF">2016-01-06T02:32:00Z</dcterms:created>
  <dcterms:modified xsi:type="dcterms:W3CDTF">2016-01-06T04:27:00Z</dcterms:modified>
</cp:coreProperties>
</file>