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BFE" w:rsidRPr="005D66F6" w:rsidRDefault="00AC3BFE" w:rsidP="00AC3BFE">
      <w:pPr>
        <w:spacing w:after="0"/>
        <w:jc w:val="right"/>
        <w:rPr>
          <w:sz w:val="24"/>
          <w:szCs w:val="24"/>
        </w:rPr>
      </w:pPr>
      <w:bookmarkStart w:id="0" w:name="_GoBack"/>
      <w:bookmarkEnd w:id="0"/>
      <w:r w:rsidRPr="005D66F6">
        <w:rPr>
          <w:sz w:val="24"/>
          <w:szCs w:val="24"/>
        </w:rPr>
        <w:t>903/102 Wells Street</w:t>
      </w:r>
    </w:p>
    <w:p w:rsidR="00AC3BFE" w:rsidRPr="005D66F6" w:rsidRDefault="00AC3BFE" w:rsidP="00AC3BFE">
      <w:pPr>
        <w:jc w:val="right"/>
        <w:rPr>
          <w:sz w:val="24"/>
          <w:szCs w:val="24"/>
        </w:rPr>
      </w:pPr>
      <w:r w:rsidRPr="005D66F6">
        <w:rPr>
          <w:sz w:val="24"/>
          <w:szCs w:val="24"/>
        </w:rPr>
        <w:t>Southbank VIC 3006</w:t>
      </w:r>
    </w:p>
    <w:p w:rsidR="00AC3BFE" w:rsidRPr="005D66F6" w:rsidRDefault="00C43DC9" w:rsidP="00AC3BFE">
      <w:pPr>
        <w:rPr>
          <w:sz w:val="24"/>
          <w:szCs w:val="24"/>
        </w:rPr>
      </w:pPr>
      <w:r>
        <w:rPr>
          <w:sz w:val="24"/>
          <w:szCs w:val="24"/>
        </w:rPr>
        <w:t>10</w:t>
      </w:r>
      <w:r w:rsidR="00AC3BFE" w:rsidRPr="005D66F6">
        <w:rPr>
          <w:sz w:val="24"/>
          <w:szCs w:val="24"/>
        </w:rPr>
        <w:t xml:space="preserve"> </w:t>
      </w:r>
      <w:r w:rsidR="000E153E">
        <w:rPr>
          <w:sz w:val="24"/>
          <w:szCs w:val="24"/>
        </w:rPr>
        <w:t>March 2016</w:t>
      </w:r>
    </w:p>
    <w:p w:rsidR="00AC3BFE" w:rsidRPr="005D66F6" w:rsidRDefault="00AC3BFE" w:rsidP="00AC3BFE">
      <w:pPr>
        <w:rPr>
          <w:sz w:val="24"/>
          <w:szCs w:val="24"/>
        </w:rPr>
      </w:pPr>
    </w:p>
    <w:p w:rsidR="00AC3BFE" w:rsidRPr="005D66F6" w:rsidRDefault="004441D9" w:rsidP="00AC3BFE">
      <w:pPr>
        <w:spacing w:after="0"/>
        <w:rPr>
          <w:sz w:val="24"/>
          <w:szCs w:val="24"/>
        </w:rPr>
      </w:pPr>
      <w:r w:rsidRPr="004441D9">
        <w:rPr>
          <w:sz w:val="24"/>
          <w:szCs w:val="24"/>
        </w:rPr>
        <w:t xml:space="preserve">Consumer Property Acts </w:t>
      </w:r>
      <w:r w:rsidR="00AC3BFE" w:rsidRPr="005D66F6">
        <w:rPr>
          <w:sz w:val="24"/>
          <w:szCs w:val="24"/>
        </w:rPr>
        <w:t>Review</w:t>
      </w:r>
    </w:p>
    <w:p w:rsidR="00AC3BFE" w:rsidRPr="005D66F6" w:rsidRDefault="004441D9" w:rsidP="00AC3BFE">
      <w:pPr>
        <w:spacing w:after="0"/>
        <w:rPr>
          <w:sz w:val="24"/>
          <w:szCs w:val="24"/>
        </w:rPr>
      </w:pPr>
      <w:r w:rsidRPr="005D66F6">
        <w:rPr>
          <w:sz w:val="24"/>
          <w:szCs w:val="24"/>
        </w:rPr>
        <w:t>Policy</w:t>
      </w:r>
      <w:r>
        <w:rPr>
          <w:sz w:val="24"/>
          <w:szCs w:val="24"/>
        </w:rPr>
        <w:t xml:space="preserve"> and Legislation Branch</w:t>
      </w:r>
    </w:p>
    <w:p w:rsidR="00AC3BFE" w:rsidRPr="005D66F6" w:rsidRDefault="00AC3BFE" w:rsidP="00AC3BFE">
      <w:pPr>
        <w:spacing w:after="0"/>
        <w:rPr>
          <w:sz w:val="24"/>
          <w:szCs w:val="24"/>
        </w:rPr>
      </w:pPr>
      <w:r w:rsidRPr="005D66F6">
        <w:rPr>
          <w:sz w:val="24"/>
          <w:szCs w:val="24"/>
        </w:rPr>
        <w:t>Consumer Affairs Victoria</w:t>
      </w:r>
    </w:p>
    <w:p w:rsidR="00AC3BFE" w:rsidRPr="005D66F6" w:rsidRDefault="00AC3BFE" w:rsidP="00AC3BFE">
      <w:pPr>
        <w:spacing w:after="0"/>
        <w:rPr>
          <w:sz w:val="24"/>
          <w:szCs w:val="24"/>
        </w:rPr>
      </w:pPr>
      <w:r w:rsidRPr="005D66F6">
        <w:rPr>
          <w:sz w:val="24"/>
          <w:szCs w:val="24"/>
        </w:rPr>
        <w:t>GPO Box 123</w:t>
      </w:r>
    </w:p>
    <w:p w:rsidR="00AC3BFE" w:rsidRPr="005D66F6" w:rsidRDefault="00AC3BFE" w:rsidP="00AC3BFE">
      <w:pPr>
        <w:rPr>
          <w:sz w:val="24"/>
          <w:szCs w:val="24"/>
        </w:rPr>
      </w:pPr>
      <w:r w:rsidRPr="005D66F6">
        <w:rPr>
          <w:sz w:val="24"/>
          <w:szCs w:val="24"/>
        </w:rPr>
        <w:t>Melbourne VIC 3001</w:t>
      </w:r>
    </w:p>
    <w:p w:rsidR="00AC3BFE" w:rsidRPr="005D66F6" w:rsidRDefault="00AC3BFE" w:rsidP="00AC3BFE">
      <w:pPr>
        <w:rPr>
          <w:sz w:val="24"/>
          <w:szCs w:val="24"/>
        </w:rPr>
      </w:pPr>
    </w:p>
    <w:p w:rsidR="00AC3BFE" w:rsidRPr="005D66F6" w:rsidRDefault="00AC3BFE" w:rsidP="00AC3BFE">
      <w:pPr>
        <w:rPr>
          <w:sz w:val="24"/>
          <w:szCs w:val="24"/>
        </w:rPr>
      </w:pPr>
      <w:r w:rsidRPr="005D66F6">
        <w:rPr>
          <w:sz w:val="24"/>
          <w:szCs w:val="24"/>
        </w:rPr>
        <w:t>Dear CAV,</w:t>
      </w:r>
    </w:p>
    <w:p w:rsidR="00AC3BFE" w:rsidRPr="005D66F6" w:rsidRDefault="000E153E" w:rsidP="00AC3BFE">
      <w:pPr>
        <w:pStyle w:val="Heading1"/>
        <w:jc w:val="center"/>
        <w:rPr>
          <w:rFonts w:asciiTheme="minorHAnsi" w:hAnsiTheme="minorHAnsi"/>
          <w:sz w:val="32"/>
          <w:szCs w:val="24"/>
        </w:rPr>
      </w:pPr>
      <w:r>
        <w:rPr>
          <w:rFonts w:asciiTheme="minorHAnsi" w:hAnsiTheme="minorHAnsi"/>
          <w:sz w:val="32"/>
          <w:szCs w:val="24"/>
        </w:rPr>
        <w:t>Consumer Property Acts Review – Owners Corporation Act 2006</w:t>
      </w:r>
    </w:p>
    <w:p w:rsidR="00AC3BFE" w:rsidRPr="005D66F6" w:rsidRDefault="00AC3BFE" w:rsidP="00AC3BFE">
      <w:pPr>
        <w:rPr>
          <w:sz w:val="24"/>
          <w:szCs w:val="24"/>
        </w:rPr>
      </w:pPr>
    </w:p>
    <w:p w:rsidR="00AC3BFE" w:rsidRPr="005D66F6" w:rsidRDefault="00AC3BFE" w:rsidP="00AC3BFE">
      <w:pPr>
        <w:rPr>
          <w:sz w:val="24"/>
          <w:szCs w:val="24"/>
        </w:rPr>
      </w:pPr>
      <w:r w:rsidRPr="005D66F6">
        <w:rPr>
          <w:sz w:val="24"/>
          <w:szCs w:val="24"/>
        </w:rPr>
        <w:t>This is a personal submission</w:t>
      </w:r>
      <w:r w:rsidR="006E4B42" w:rsidRPr="005D66F6">
        <w:rPr>
          <w:sz w:val="24"/>
          <w:szCs w:val="24"/>
        </w:rPr>
        <w:t xml:space="preserve">. </w:t>
      </w:r>
      <w:r w:rsidR="006D5FB3">
        <w:rPr>
          <w:sz w:val="24"/>
          <w:szCs w:val="24"/>
        </w:rPr>
        <w:t>The</w:t>
      </w:r>
      <w:r w:rsidR="000E153E">
        <w:rPr>
          <w:sz w:val="24"/>
          <w:szCs w:val="24"/>
        </w:rPr>
        <w:t xml:space="preserve"> scope is the </w:t>
      </w:r>
      <w:r w:rsidR="000E153E" w:rsidRPr="000E153E">
        <w:rPr>
          <w:i/>
          <w:sz w:val="24"/>
          <w:szCs w:val="24"/>
        </w:rPr>
        <w:t>Owners Corporation Act 2006</w:t>
      </w:r>
      <w:r w:rsidR="000E153E">
        <w:rPr>
          <w:sz w:val="24"/>
          <w:szCs w:val="24"/>
        </w:rPr>
        <w:t xml:space="preserve"> only. It is </w:t>
      </w:r>
      <w:r w:rsidRPr="005D66F6">
        <w:rPr>
          <w:sz w:val="24"/>
          <w:szCs w:val="24"/>
        </w:rPr>
        <w:t xml:space="preserve">made on the basis of my experience as the </w:t>
      </w:r>
      <w:r w:rsidR="00567315" w:rsidRPr="005D66F6">
        <w:rPr>
          <w:sz w:val="24"/>
          <w:szCs w:val="24"/>
        </w:rPr>
        <w:t>owner of multiple strata</w:t>
      </w:r>
      <w:r w:rsidR="00BD672C" w:rsidRPr="005D66F6">
        <w:rPr>
          <w:sz w:val="24"/>
          <w:szCs w:val="24"/>
        </w:rPr>
        <w:t xml:space="preserve"> title l</w:t>
      </w:r>
      <w:r w:rsidR="00FA0C3B" w:rsidRPr="005D66F6">
        <w:rPr>
          <w:sz w:val="24"/>
          <w:szCs w:val="24"/>
        </w:rPr>
        <w:t xml:space="preserve">ots, and </w:t>
      </w:r>
      <w:r w:rsidR="00D64E0D" w:rsidRPr="005D66F6">
        <w:rPr>
          <w:sz w:val="24"/>
          <w:szCs w:val="24"/>
        </w:rPr>
        <w:t xml:space="preserve">my </w:t>
      </w:r>
      <w:r w:rsidR="00567315" w:rsidRPr="005D66F6">
        <w:rPr>
          <w:sz w:val="24"/>
          <w:szCs w:val="24"/>
        </w:rPr>
        <w:t xml:space="preserve">involvement </w:t>
      </w:r>
      <w:r w:rsidR="00C67AF7" w:rsidRPr="005D66F6">
        <w:rPr>
          <w:sz w:val="24"/>
          <w:szCs w:val="24"/>
        </w:rPr>
        <w:t xml:space="preserve">with an </w:t>
      </w:r>
      <w:r w:rsidRPr="005D66F6">
        <w:rPr>
          <w:sz w:val="24"/>
          <w:szCs w:val="24"/>
        </w:rPr>
        <w:t>Owners Corporation</w:t>
      </w:r>
      <w:r w:rsidR="00FA0C3B" w:rsidRPr="005D66F6">
        <w:rPr>
          <w:sz w:val="24"/>
          <w:szCs w:val="24"/>
        </w:rPr>
        <w:t xml:space="preserve"> Committee</w:t>
      </w:r>
      <w:r w:rsidR="00BD672C" w:rsidRPr="005D66F6">
        <w:rPr>
          <w:sz w:val="24"/>
          <w:szCs w:val="24"/>
        </w:rPr>
        <w:t xml:space="preserve"> for</w:t>
      </w:r>
      <w:r w:rsidR="00C67AF7" w:rsidRPr="005D66F6">
        <w:rPr>
          <w:sz w:val="24"/>
          <w:szCs w:val="24"/>
        </w:rPr>
        <w:t xml:space="preserve"> a residential strata</w:t>
      </w:r>
      <w:r w:rsidR="00BD672C" w:rsidRPr="005D66F6">
        <w:rPr>
          <w:sz w:val="24"/>
          <w:szCs w:val="24"/>
        </w:rPr>
        <w:t xml:space="preserve"> </w:t>
      </w:r>
      <w:r w:rsidR="00C67AF7" w:rsidRPr="005D66F6">
        <w:rPr>
          <w:sz w:val="24"/>
          <w:szCs w:val="24"/>
        </w:rPr>
        <w:t>development</w:t>
      </w:r>
      <w:r w:rsidRPr="005D66F6">
        <w:rPr>
          <w:sz w:val="24"/>
          <w:szCs w:val="24"/>
        </w:rPr>
        <w:t>.</w:t>
      </w:r>
    </w:p>
    <w:p w:rsidR="00AC3BFE" w:rsidRPr="005D66F6" w:rsidRDefault="00AC3BFE" w:rsidP="00AC3BFE">
      <w:pPr>
        <w:rPr>
          <w:sz w:val="24"/>
          <w:szCs w:val="24"/>
        </w:rPr>
      </w:pPr>
      <w:r w:rsidRPr="005D66F6">
        <w:rPr>
          <w:sz w:val="24"/>
          <w:szCs w:val="24"/>
        </w:rPr>
        <w:t xml:space="preserve">I hope this </w:t>
      </w:r>
      <w:r w:rsidR="004779C1" w:rsidRPr="005D66F6">
        <w:rPr>
          <w:sz w:val="24"/>
          <w:szCs w:val="24"/>
        </w:rPr>
        <w:t xml:space="preserve">submission </w:t>
      </w:r>
      <w:r w:rsidRPr="005D66F6">
        <w:rPr>
          <w:sz w:val="24"/>
          <w:szCs w:val="24"/>
        </w:rPr>
        <w:t>provide</w:t>
      </w:r>
      <w:r w:rsidR="004779C1" w:rsidRPr="005D66F6">
        <w:rPr>
          <w:sz w:val="24"/>
          <w:szCs w:val="24"/>
        </w:rPr>
        <w:t>s</w:t>
      </w:r>
      <w:r w:rsidRPr="005D66F6">
        <w:rPr>
          <w:sz w:val="24"/>
          <w:szCs w:val="24"/>
        </w:rPr>
        <w:t xml:space="preserve"> information which is of use to the Department</w:t>
      </w:r>
      <w:r w:rsidR="004779C1" w:rsidRPr="005D66F6">
        <w:rPr>
          <w:sz w:val="24"/>
          <w:szCs w:val="24"/>
        </w:rPr>
        <w:t>’s review</w:t>
      </w:r>
      <w:r w:rsidRPr="005D66F6">
        <w:rPr>
          <w:sz w:val="24"/>
          <w:szCs w:val="24"/>
        </w:rPr>
        <w:t>.</w:t>
      </w:r>
    </w:p>
    <w:p w:rsidR="00AC3BFE" w:rsidRPr="005D66F6" w:rsidRDefault="00AC3BFE" w:rsidP="004779C1">
      <w:pPr>
        <w:spacing w:after="0"/>
        <w:rPr>
          <w:sz w:val="24"/>
          <w:szCs w:val="24"/>
        </w:rPr>
      </w:pPr>
      <w:r w:rsidRPr="005D66F6">
        <w:rPr>
          <w:sz w:val="24"/>
          <w:szCs w:val="24"/>
        </w:rPr>
        <w:t xml:space="preserve">Should you have any follow-up queries, I can contacted </w:t>
      </w:r>
    </w:p>
    <w:p w:rsidR="00AC3BFE" w:rsidRPr="005D66F6" w:rsidRDefault="00AC3BFE" w:rsidP="00DC7D4B">
      <w:pPr>
        <w:pStyle w:val="ListParagraph"/>
        <w:numPr>
          <w:ilvl w:val="0"/>
          <w:numId w:val="5"/>
        </w:numPr>
        <w:rPr>
          <w:sz w:val="24"/>
          <w:szCs w:val="24"/>
        </w:rPr>
      </w:pPr>
      <w:r w:rsidRPr="005D66F6">
        <w:rPr>
          <w:sz w:val="24"/>
          <w:szCs w:val="24"/>
        </w:rPr>
        <w:t>at the above address, or</w:t>
      </w:r>
    </w:p>
    <w:p w:rsidR="00AC3BFE" w:rsidRPr="005D66F6" w:rsidRDefault="00AC3BFE" w:rsidP="00DC7D4B">
      <w:pPr>
        <w:pStyle w:val="ListParagraph"/>
        <w:numPr>
          <w:ilvl w:val="0"/>
          <w:numId w:val="5"/>
        </w:numPr>
        <w:rPr>
          <w:sz w:val="24"/>
          <w:szCs w:val="24"/>
        </w:rPr>
      </w:pPr>
      <w:r w:rsidRPr="005D66F6">
        <w:rPr>
          <w:sz w:val="24"/>
          <w:szCs w:val="24"/>
        </w:rPr>
        <w:t xml:space="preserve">by email on </w:t>
      </w:r>
      <w:hyperlink r:id="rId8" w:history="1">
        <w:r w:rsidRPr="005D66F6">
          <w:rPr>
            <w:rStyle w:val="Hyperlink"/>
            <w:rFonts w:asciiTheme="minorHAnsi" w:hAnsiTheme="minorHAnsi"/>
            <w:szCs w:val="24"/>
          </w:rPr>
          <w:t>lambertr@bigpond.net.au</w:t>
        </w:r>
      </w:hyperlink>
      <w:r w:rsidRPr="005D66F6">
        <w:rPr>
          <w:sz w:val="24"/>
          <w:szCs w:val="24"/>
        </w:rPr>
        <w:t>, or</w:t>
      </w:r>
    </w:p>
    <w:p w:rsidR="00AC3BFE" w:rsidRPr="005D66F6" w:rsidRDefault="004779C1" w:rsidP="00DC7D4B">
      <w:pPr>
        <w:pStyle w:val="ListParagraph"/>
        <w:numPr>
          <w:ilvl w:val="0"/>
          <w:numId w:val="5"/>
        </w:numPr>
        <w:rPr>
          <w:sz w:val="24"/>
          <w:szCs w:val="24"/>
        </w:rPr>
      </w:pPr>
      <w:r w:rsidRPr="005D66F6">
        <w:rPr>
          <w:sz w:val="24"/>
          <w:szCs w:val="24"/>
        </w:rPr>
        <w:t>by telephone on 0407 992 447.</w:t>
      </w:r>
    </w:p>
    <w:p w:rsidR="00AC3BFE" w:rsidRPr="005D66F6" w:rsidRDefault="004779C1" w:rsidP="00AC3BFE">
      <w:pPr>
        <w:rPr>
          <w:sz w:val="24"/>
          <w:szCs w:val="24"/>
        </w:rPr>
      </w:pPr>
      <w:r w:rsidRPr="005D66F6">
        <w:rPr>
          <w:sz w:val="24"/>
          <w:szCs w:val="24"/>
        </w:rPr>
        <w:t>Yours sincerely,</w:t>
      </w:r>
    </w:p>
    <w:p w:rsidR="004779C1" w:rsidRPr="005D66F6" w:rsidRDefault="004779C1" w:rsidP="00AC3BFE">
      <w:pPr>
        <w:rPr>
          <w:sz w:val="24"/>
          <w:szCs w:val="24"/>
        </w:rPr>
      </w:pPr>
    </w:p>
    <w:p w:rsidR="004779C1" w:rsidRPr="005D66F6" w:rsidRDefault="004779C1" w:rsidP="00AC3BFE">
      <w:pPr>
        <w:rPr>
          <w:sz w:val="24"/>
          <w:szCs w:val="24"/>
        </w:rPr>
      </w:pPr>
    </w:p>
    <w:p w:rsidR="004779C1" w:rsidRPr="005D66F6" w:rsidRDefault="004779C1" w:rsidP="00AC3BFE">
      <w:pPr>
        <w:rPr>
          <w:sz w:val="24"/>
          <w:szCs w:val="24"/>
        </w:rPr>
      </w:pPr>
    </w:p>
    <w:p w:rsidR="004779C1" w:rsidRPr="005D66F6" w:rsidRDefault="004779C1" w:rsidP="00AC3BFE">
      <w:pPr>
        <w:rPr>
          <w:sz w:val="24"/>
          <w:szCs w:val="24"/>
        </w:rPr>
      </w:pPr>
      <w:r w:rsidRPr="005D66F6">
        <w:rPr>
          <w:sz w:val="24"/>
          <w:szCs w:val="24"/>
        </w:rPr>
        <w:t>Rod Lambert</w:t>
      </w:r>
    </w:p>
    <w:p w:rsidR="00AC3BFE" w:rsidRDefault="00AC3BFE" w:rsidP="00AC3BFE"/>
    <w:p w:rsidR="00AC3BFE" w:rsidRDefault="00AC3BFE" w:rsidP="00AC3BFE">
      <w:pPr>
        <w:sectPr w:rsidR="00AC3BFE">
          <w:footerReference w:type="default" r:id="rId9"/>
          <w:pgSz w:w="11906" w:h="16838"/>
          <w:pgMar w:top="1440" w:right="1440" w:bottom="1440" w:left="1440" w:header="708" w:footer="708" w:gutter="0"/>
          <w:cols w:space="708"/>
          <w:docGrid w:linePitch="360"/>
        </w:sectPr>
      </w:pPr>
    </w:p>
    <w:p w:rsidR="000E153E" w:rsidRDefault="001471EB" w:rsidP="00AC3BFE">
      <w:pPr>
        <w:pStyle w:val="Heading1"/>
      </w:pPr>
      <w:r>
        <w:lastRenderedPageBreak/>
        <w:t>Part B – Conduct of owners corporation managers</w:t>
      </w:r>
    </w:p>
    <w:p w:rsidR="001471EB" w:rsidRDefault="006D5FB3" w:rsidP="006D5FB3">
      <w:r>
        <w:t>Issues Paper No 1, Part B, states in its introduction: “In 2013-14, CAV conducted a public review of the regulation of owners corporation managers… This Part re-presents issues regarding the conduct of owners corporation managers and seeks feedback on whether those issues have changed since 2013-14. Views are also sought on whether new issues have emerged since that time that require examination…”</w:t>
      </w:r>
    </w:p>
    <w:p w:rsidR="006D5FB3" w:rsidRDefault="006D5FB3" w:rsidP="006D5FB3">
      <w:r>
        <w:t xml:space="preserve">The issues have </w:t>
      </w:r>
      <w:r w:rsidRPr="006D5FB3">
        <w:rPr>
          <w:b/>
        </w:rPr>
        <w:t>not</w:t>
      </w:r>
      <w:r>
        <w:t xml:space="preserve"> changed since 2013-14, as no amendments to the Act or Regulations have been implemented. Attachment 1 provides a copy of the submission made in 2013-14</w:t>
      </w:r>
      <w:r w:rsidR="000E6008">
        <w:t>, and all of the issues described are still relevant today.</w:t>
      </w:r>
    </w:p>
    <w:p w:rsidR="000E6008" w:rsidRDefault="000E6008" w:rsidP="000E6008">
      <w:pPr>
        <w:pStyle w:val="Heading2"/>
      </w:pPr>
      <w:r>
        <w:t>Registration and unsuitable managers</w:t>
      </w:r>
    </w:p>
    <w:p w:rsidR="000E6008" w:rsidRDefault="000E6008" w:rsidP="000E6008">
      <w:pPr>
        <w:ind w:left="720" w:hanging="720"/>
        <w:rPr>
          <w:b/>
        </w:rPr>
      </w:pPr>
      <w:r w:rsidRPr="000E6008">
        <w:rPr>
          <w:b/>
        </w:rPr>
        <w:t>64</w:t>
      </w:r>
      <w:r w:rsidRPr="000E6008">
        <w:rPr>
          <w:b/>
        </w:rPr>
        <w:tab/>
        <w:t>Are there benefits in aligning the eligibility requirements for an owners corporation manager to the extent practical with those of estate agents?</w:t>
      </w:r>
    </w:p>
    <w:p w:rsidR="004441D9" w:rsidRDefault="004721F9" w:rsidP="004721F9">
      <w:r>
        <w:t>Yes</w:t>
      </w:r>
      <w:r w:rsidR="004441D9">
        <w:t xml:space="preserve"> and No:</w:t>
      </w:r>
      <w:r>
        <w:t xml:space="preserve"> </w:t>
      </w:r>
    </w:p>
    <w:p w:rsidR="004721F9" w:rsidRDefault="004721F9" w:rsidP="004721F9">
      <w:r>
        <w:t>There is a need for a</w:t>
      </w:r>
      <w:r w:rsidRPr="004721F9">
        <w:t xml:space="preserve"> mechanism in the </w:t>
      </w:r>
      <w:r w:rsidRPr="004721F9">
        <w:rPr>
          <w:i/>
        </w:rPr>
        <w:t>Owners Corporations Act</w:t>
      </w:r>
      <w:r w:rsidRPr="004721F9">
        <w:t xml:space="preserve"> to disqualify applicants or cancel registrants where the relevant person has committed a criminal offence that would make them unsuitable for the financial and administrative responsibilities of a</w:t>
      </w:r>
      <w:r w:rsidR="004441D9">
        <w:t xml:space="preserve">n </w:t>
      </w:r>
      <w:r w:rsidR="004441D9">
        <w:t xml:space="preserve">owners corporation </w:t>
      </w:r>
      <w:r w:rsidR="004441D9">
        <w:t>(OC)</w:t>
      </w:r>
      <w:r w:rsidRPr="004721F9">
        <w:t xml:space="preserve"> manager</w:t>
      </w:r>
      <w:r>
        <w:t>.</w:t>
      </w:r>
    </w:p>
    <w:p w:rsidR="004441D9" w:rsidRPr="000E6008" w:rsidRDefault="004441D9" w:rsidP="004721F9">
      <w:r>
        <w:t xml:space="preserve">However, </w:t>
      </w:r>
      <w:r>
        <w:t>I believe OC managers should be separately licensed and that the probity and professional requirements for owners corporations managers should be more stringe</w:t>
      </w:r>
      <w:r>
        <w:t>nt than those of estate agents.</w:t>
      </w:r>
    </w:p>
    <w:p w:rsidR="000E6008" w:rsidRDefault="000E6008" w:rsidP="000E6008">
      <w:pPr>
        <w:ind w:left="720" w:hanging="720"/>
        <w:rPr>
          <w:b/>
        </w:rPr>
      </w:pPr>
      <w:r w:rsidRPr="000E6008">
        <w:rPr>
          <w:b/>
        </w:rPr>
        <w:t>65</w:t>
      </w:r>
      <w:r w:rsidRPr="000E6008">
        <w:rPr>
          <w:b/>
        </w:rPr>
        <w:tab/>
        <w:t>What are your views on whether owners corporation managers should be separately licensed or be part of an estate agent’s licence?</w:t>
      </w:r>
    </w:p>
    <w:p w:rsidR="00256A9F" w:rsidRDefault="00256A9F" w:rsidP="004721F9">
      <w:r>
        <w:t>See comments after the answer to Q.37 in Attachment 1.</w:t>
      </w:r>
    </w:p>
    <w:p w:rsidR="00465649" w:rsidRDefault="00465649" w:rsidP="004721F9">
      <w:r>
        <w:t>As with AFS licensing, individuals (including employees acting as OC managers for larger company OC managers) should be licenced as OC managers, rather than</w:t>
      </w:r>
      <w:r w:rsidR="005039C6">
        <w:t xml:space="preserve"> the current approach of</w:t>
      </w:r>
      <w:r>
        <w:t xml:space="preserve"> just registering </w:t>
      </w:r>
      <w:r w:rsidR="004441D9">
        <w:t xml:space="preserve">OC management </w:t>
      </w:r>
      <w:r>
        <w:t>companies. As part of this, individual OC managers should successful</w:t>
      </w:r>
      <w:r w:rsidR="005039C6">
        <w:t>ly pass a</w:t>
      </w:r>
      <w:r>
        <w:t xml:space="preserve"> Police Check before being authorised to act in the OC manager role.</w:t>
      </w:r>
    </w:p>
    <w:p w:rsidR="004721F9" w:rsidRDefault="004721F9" w:rsidP="00B35730">
      <w:pPr>
        <w:spacing w:after="0"/>
      </w:pPr>
      <w:r>
        <w:t>Professional skill</w:t>
      </w:r>
      <w:r w:rsidR="00B35730">
        <w:t xml:space="preserve"> requirement</w:t>
      </w:r>
      <w:r>
        <w:t xml:space="preserve">s </w:t>
      </w:r>
      <w:r w:rsidR="00B35730">
        <w:t xml:space="preserve">which may be </w:t>
      </w:r>
      <w:r>
        <w:t xml:space="preserve">required by </w:t>
      </w:r>
      <w:r w:rsidR="00B35730">
        <w:t>OC</w:t>
      </w:r>
      <w:r>
        <w:t xml:space="preserve"> man</w:t>
      </w:r>
      <w:r w:rsidR="00B35730">
        <w:t>a</w:t>
      </w:r>
      <w:r>
        <w:t>gers that may not be</w:t>
      </w:r>
      <w:r w:rsidR="00B35730">
        <w:t xml:space="preserve"> necessarily</w:t>
      </w:r>
      <w:r>
        <w:t xml:space="preserve"> required by estate agents include:</w:t>
      </w:r>
    </w:p>
    <w:p w:rsidR="00B35730" w:rsidRDefault="00B35730" w:rsidP="00B35730">
      <w:pPr>
        <w:pStyle w:val="ListParagraph"/>
        <w:numPr>
          <w:ilvl w:val="0"/>
          <w:numId w:val="12"/>
        </w:numPr>
      </w:pPr>
      <w:r>
        <w:t xml:space="preserve">financial accounting, including GST accounting and BAS preparation for larger OCs, </w:t>
      </w:r>
    </w:p>
    <w:p w:rsidR="00465649" w:rsidRDefault="00465649" w:rsidP="00B35730">
      <w:pPr>
        <w:pStyle w:val="ListParagraph"/>
        <w:numPr>
          <w:ilvl w:val="0"/>
          <w:numId w:val="12"/>
        </w:numPr>
      </w:pPr>
      <w:r>
        <w:t>management of maintenance plans and maintenance fund accounts,</w:t>
      </w:r>
    </w:p>
    <w:p w:rsidR="00B35730" w:rsidRDefault="00465649" w:rsidP="00B35730">
      <w:pPr>
        <w:pStyle w:val="ListParagraph"/>
        <w:numPr>
          <w:ilvl w:val="0"/>
          <w:numId w:val="12"/>
        </w:numPr>
      </w:pPr>
      <w:r>
        <w:t xml:space="preserve">preparing annual budgets, and managing operating accounts, including </w:t>
      </w:r>
      <w:r w:rsidR="00B35730">
        <w:t>bank account reconciliation,</w:t>
      </w:r>
    </w:p>
    <w:p w:rsidR="00B35730" w:rsidRDefault="00B35730" w:rsidP="00B35730">
      <w:pPr>
        <w:pStyle w:val="ListParagraph"/>
        <w:numPr>
          <w:ilvl w:val="0"/>
          <w:numId w:val="12"/>
        </w:numPr>
      </w:pPr>
      <w:r>
        <w:t>maintaining OC-specific documentation, including the roll of Owners names and addresses, the Registers of the OCs, issuing OC certificates, and similar matters,</w:t>
      </w:r>
    </w:p>
    <w:p w:rsidR="00B35730" w:rsidRDefault="00B35730" w:rsidP="00B35730">
      <w:pPr>
        <w:pStyle w:val="ListParagraph"/>
        <w:numPr>
          <w:ilvl w:val="0"/>
          <w:numId w:val="12"/>
        </w:numPr>
      </w:pPr>
      <w:r>
        <w:t>management of the use of the common seal, including logging usage in a Common Seal Register, and providing the Register for inspection at each OC Committee meeting,</w:t>
      </w:r>
    </w:p>
    <w:p w:rsidR="00B35730" w:rsidRDefault="00B35730" w:rsidP="00B35730">
      <w:pPr>
        <w:pStyle w:val="ListParagraph"/>
        <w:numPr>
          <w:ilvl w:val="0"/>
          <w:numId w:val="12"/>
        </w:numPr>
      </w:pPr>
      <w:r>
        <w:lastRenderedPageBreak/>
        <w:t xml:space="preserve">keeping the records of the OC including </w:t>
      </w:r>
      <w:r w:rsidR="00465649">
        <w:t xml:space="preserve">notices, </w:t>
      </w:r>
      <w:r>
        <w:t>minutes and postal ballots</w:t>
      </w:r>
      <w:r w:rsidR="00465649">
        <w:t>,</w:t>
      </w:r>
    </w:p>
    <w:p w:rsidR="00B35730" w:rsidRDefault="00B35730" w:rsidP="00B35730">
      <w:pPr>
        <w:pStyle w:val="ListParagraph"/>
        <w:numPr>
          <w:ilvl w:val="0"/>
          <w:numId w:val="12"/>
        </w:numPr>
      </w:pPr>
      <w:r>
        <w:t>ensuring the requirements for Annual and Special General Meetings are met,</w:t>
      </w:r>
      <w:r w:rsidR="00465649">
        <w:t xml:space="preserve"> and</w:t>
      </w:r>
    </w:p>
    <w:p w:rsidR="00465649" w:rsidRPr="000E6008" w:rsidRDefault="00465649" w:rsidP="00B35730">
      <w:pPr>
        <w:pStyle w:val="ListParagraph"/>
        <w:numPr>
          <w:ilvl w:val="0"/>
          <w:numId w:val="12"/>
        </w:numPr>
      </w:pPr>
      <w:r>
        <w:t xml:space="preserve">providing advice and guidance on the </w:t>
      </w:r>
      <w:r w:rsidRPr="00B22028">
        <w:rPr>
          <w:i/>
        </w:rPr>
        <w:t>Owners Corporations Act</w:t>
      </w:r>
      <w:r>
        <w:t xml:space="preserve">, </w:t>
      </w:r>
      <w:r w:rsidRPr="00B22028">
        <w:rPr>
          <w:i/>
        </w:rPr>
        <w:t>Owners Corporation Regulations</w:t>
      </w:r>
      <w:r>
        <w:t>, OC</w:t>
      </w:r>
      <w:r w:rsidR="00B22028">
        <w:t>’</w:t>
      </w:r>
      <w:r>
        <w:t xml:space="preserve">s </w:t>
      </w:r>
      <w:r w:rsidRPr="00B22028">
        <w:rPr>
          <w:i/>
        </w:rPr>
        <w:t>Rules</w:t>
      </w:r>
      <w:r>
        <w:t>, and similar legal requirements.</w:t>
      </w:r>
    </w:p>
    <w:p w:rsidR="000E6008" w:rsidRDefault="000E6008" w:rsidP="00465649">
      <w:pPr>
        <w:keepNext/>
        <w:ind w:left="720" w:hanging="720"/>
        <w:rPr>
          <w:b/>
        </w:rPr>
      </w:pPr>
      <w:r w:rsidRPr="000E6008">
        <w:rPr>
          <w:b/>
        </w:rPr>
        <w:t>66</w:t>
      </w:r>
      <w:r w:rsidRPr="000E6008">
        <w:rPr>
          <w:b/>
        </w:rPr>
        <w:tab/>
        <w:t>Is it appropriate to extend the current regulatory criteria to include serious criminal offences?</w:t>
      </w:r>
    </w:p>
    <w:p w:rsidR="00465649" w:rsidRPr="000E6008" w:rsidRDefault="00B22028" w:rsidP="00465649">
      <w:r>
        <w:t>Yes. (See response to Q.65 above.)</w:t>
      </w:r>
    </w:p>
    <w:p w:rsidR="000E6008" w:rsidRDefault="000E6008" w:rsidP="000E6008">
      <w:pPr>
        <w:ind w:left="720" w:hanging="720"/>
        <w:rPr>
          <w:b/>
        </w:rPr>
      </w:pPr>
      <w:r w:rsidRPr="000E6008">
        <w:rPr>
          <w:b/>
        </w:rPr>
        <w:t>67</w:t>
      </w:r>
      <w:r w:rsidRPr="000E6008">
        <w:rPr>
          <w:b/>
        </w:rPr>
        <w:tab/>
        <w:t>What would be the benefits and costs of placing requirements on owners corporation managers to hold professional indemnity insurance as a condition of practise?</w:t>
      </w:r>
    </w:p>
    <w:p w:rsidR="000B3DDD" w:rsidRDefault="000B3DDD" w:rsidP="000B3DDD">
      <w:r>
        <w:t xml:space="preserve">The benefits of </w:t>
      </w:r>
      <w:r w:rsidR="004441D9">
        <w:t xml:space="preserve">requiring </w:t>
      </w:r>
      <w:r w:rsidR="004441D9">
        <w:t>OC managers</w:t>
      </w:r>
      <w:r w:rsidR="004441D9">
        <w:t xml:space="preserve"> </w:t>
      </w:r>
      <w:r w:rsidR="005D4EA9">
        <w:t>to</w:t>
      </w:r>
      <w:r w:rsidR="004441D9">
        <w:t xml:space="preserve"> hold </w:t>
      </w:r>
      <w:r>
        <w:t>professional indemnity insur</w:t>
      </w:r>
      <w:r w:rsidR="004441D9">
        <w:t>ance</w:t>
      </w:r>
      <w:r>
        <w:t xml:space="preserve">, at least as far as OC </w:t>
      </w:r>
      <w:r w:rsidR="004441D9">
        <w:t xml:space="preserve">management </w:t>
      </w:r>
      <w:r>
        <w:t xml:space="preserve">clients are concerned, are obvious. However, </w:t>
      </w:r>
      <w:r w:rsidR="00750447">
        <w:t>whether</w:t>
      </w:r>
      <w:r>
        <w:t xml:space="preserve"> the amount of </w:t>
      </w:r>
      <w:r w:rsidR="00750447">
        <w:t>professional</w:t>
      </w:r>
      <w:r>
        <w:t xml:space="preserve"> indemnity cover is </w:t>
      </w:r>
      <w:r w:rsidR="00750447">
        <w:t>adequate</w:t>
      </w:r>
      <w:r>
        <w:t xml:space="preserve"> is doubtful in some cases. (See the answer to Q.29 in Attachment 1.)</w:t>
      </w:r>
    </w:p>
    <w:p w:rsidR="000B3DDD" w:rsidRDefault="000B3DDD" w:rsidP="000B3DDD">
      <w:r>
        <w:t xml:space="preserve">Our OC Manager is understood to manage about 100 building complexes, some of which have multiple OCs. If the $1.5 million prescribed cover is intended to represent a ‘per OC’ figure, our OC Manager would need well over $150 million in cover. It actually has only $15 million in cover, which it believes is enough. However, there is no real assurance that it is sufficient, and the OC Manager has a financial incentive to minimise cover in order to reduce premiums. A more specific requirement for OC Managers who manage multiple OCs is required. </w:t>
      </w:r>
    </w:p>
    <w:p w:rsidR="00155E7B" w:rsidRDefault="00155E7B" w:rsidP="00155E7B">
      <w:pPr>
        <w:pStyle w:val="Heading2"/>
      </w:pPr>
      <w:r>
        <w:t>Conflicts of interest and other duties in procuring goods and services</w:t>
      </w:r>
    </w:p>
    <w:p w:rsidR="004441D9" w:rsidRDefault="004E41DC" w:rsidP="004441D9">
      <w:r>
        <w:t xml:space="preserve">Examples of kinds of conflicts of interest that can arise </w:t>
      </w:r>
      <w:r>
        <w:t xml:space="preserve">from structural arrangements in property management </w:t>
      </w:r>
      <w:r>
        <w:t>are</w:t>
      </w:r>
      <w:r>
        <w:t xml:space="preserve"> provided in the</w:t>
      </w:r>
      <w:r w:rsidR="007A5784">
        <w:t xml:space="preserve"> introduction under </w:t>
      </w:r>
      <w:r w:rsidR="007A5784" w:rsidRPr="007A5784">
        <w:rPr>
          <w:i/>
        </w:rPr>
        <w:t>Managers’ conflicts of interest</w:t>
      </w:r>
      <w:r w:rsidR="007A5784">
        <w:t xml:space="preserve"> in Attachment 1.</w:t>
      </w:r>
      <w:r w:rsidR="004441D9">
        <w:t xml:space="preserve"> </w:t>
      </w:r>
    </w:p>
    <w:p w:rsidR="004441D9" w:rsidRDefault="004441D9" w:rsidP="004441D9">
      <w:pPr>
        <w:spacing w:after="0"/>
      </w:pPr>
      <w:r>
        <w:t>Th</w:t>
      </w:r>
      <w:r>
        <w:t xml:space="preserve">ere are </w:t>
      </w:r>
      <w:r w:rsidR="004E41DC">
        <w:t xml:space="preserve">also </w:t>
      </w:r>
      <w:r>
        <w:t xml:space="preserve">clear conflicts of interest embedded in the standard SCA (Vic) contract, as </w:t>
      </w:r>
      <w:r w:rsidR="004E41DC">
        <w:t>shown</w:t>
      </w:r>
      <w:r>
        <w:t xml:space="preserve"> in </w:t>
      </w:r>
    </w:p>
    <w:p w:rsidR="004441D9" w:rsidRDefault="004441D9" w:rsidP="004441D9">
      <w:pPr>
        <w:pStyle w:val="ListParagraph"/>
        <w:numPr>
          <w:ilvl w:val="0"/>
          <w:numId w:val="12"/>
        </w:numPr>
      </w:pPr>
      <w:r>
        <w:t>the answer to Q.17</w:t>
      </w:r>
      <w:r>
        <w:t xml:space="preserve"> in Attachment 1</w:t>
      </w:r>
      <w:r>
        <w:t xml:space="preserve">, which effectively makes the OC liable for the poor insurance negotiating skills of the insurance company, and </w:t>
      </w:r>
    </w:p>
    <w:p w:rsidR="004441D9" w:rsidRDefault="004441D9" w:rsidP="004441D9">
      <w:pPr>
        <w:pStyle w:val="ListParagraph"/>
        <w:numPr>
          <w:ilvl w:val="0"/>
          <w:numId w:val="12"/>
        </w:numPr>
      </w:pPr>
      <w:r>
        <w:t xml:space="preserve">in the OHS comments after the answer to Q.13 </w:t>
      </w:r>
      <w:r>
        <w:t>in Attachment 1</w:t>
      </w:r>
      <w:r>
        <w:t>, which makes the OC liable for any deficiencies in the OC Manager’s contractor management.</w:t>
      </w:r>
    </w:p>
    <w:p w:rsidR="000E6008" w:rsidRDefault="000E6008" w:rsidP="000E6008">
      <w:pPr>
        <w:ind w:left="720" w:hanging="720"/>
        <w:rPr>
          <w:b/>
        </w:rPr>
      </w:pPr>
      <w:r w:rsidRPr="000E6008">
        <w:rPr>
          <w:b/>
        </w:rPr>
        <w:t>68</w:t>
      </w:r>
      <w:r w:rsidRPr="000E6008">
        <w:rPr>
          <w:b/>
        </w:rPr>
        <w:tab/>
        <w:t>In your experience what is the current practice of owners corporation managers in relation to disclosure of commissions?</w:t>
      </w:r>
    </w:p>
    <w:p w:rsidR="000B3DDD" w:rsidRPr="000E6008" w:rsidRDefault="000B3DDD" w:rsidP="000B3DDD">
      <w:r>
        <w:t>I do not believe our OC manager discloses the commissions it earns</w:t>
      </w:r>
      <w:r w:rsidR="00155E7B">
        <w:t xml:space="preserve"> at all – either for insurance or any other matter</w:t>
      </w:r>
      <w:r>
        <w:t xml:space="preserve">. </w:t>
      </w:r>
      <w:r w:rsidR="00155E7B">
        <w:t xml:space="preserve">For example, </w:t>
      </w:r>
      <w:r>
        <w:t xml:space="preserve">they have refused to provide details of the benefits they receive from </w:t>
      </w:r>
      <w:r w:rsidR="00155E7B">
        <w:t>enrolling our OC</w:t>
      </w:r>
      <w:r w:rsidR="007A5784">
        <w:t>s</w:t>
      </w:r>
      <w:r w:rsidR="00155E7B">
        <w:t xml:space="preserve"> under</w:t>
      </w:r>
      <w:r>
        <w:t xml:space="preserve"> </w:t>
      </w:r>
      <w:r w:rsidR="00155E7B" w:rsidRPr="00155E7B">
        <w:t>StrataPay payment services</w:t>
      </w:r>
      <w:r w:rsidR="00155E7B">
        <w:t>,</w:t>
      </w:r>
      <w:r w:rsidR="00155E7B" w:rsidRPr="00155E7B">
        <w:t xml:space="preserve"> </w:t>
      </w:r>
      <w:r w:rsidR="00155E7B">
        <w:t>opening StrataCash accounts, etc.</w:t>
      </w:r>
    </w:p>
    <w:p w:rsidR="000E6008" w:rsidRDefault="000E6008" w:rsidP="000E6008">
      <w:pPr>
        <w:ind w:left="720" w:hanging="720"/>
        <w:rPr>
          <w:b/>
        </w:rPr>
      </w:pPr>
      <w:r w:rsidRPr="000E6008">
        <w:rPr>
          <w:b/>
        </w:rPr>
        <w:t>69</w:t>
      </w:r>
      <w:r w:rsidRPr="000E6008">
        <w:rPr>
          <w:b/>
        </w:rPr>
        <w:tab/>
        <w:t>Do commissions and discounts have an adverse impact on premiums for insurance, and if so, how does this manifest?</w:t>
      </w:r>
    </w:p>
    <w:p w:rsidR="00155E7B" w:rsidRPr="000E6008" w:rsidRDefault="00155E7B" w:rsidP="00155E7B">
      <w:r>
        <w:t xml:space="preserve">OC managers need to derive an acceptable profit margin from their total operations. </w:t>
      </w:r>
      <w:r w:rsidR="007A5784">
        <w:t xml:space="preserve">As mentioned in the </w:t>
      </w:r>
      <w:r w:rsidR="007A5784" w:rsidRPr="007A5784">
        <w:rPr>
          <w:i/>
        </w:rPr>
        <w:t>Issues Paper</w:t>
      </w:r>
      <w:r w:rsidR="007A5784">
        <w:t>, f</w:t>
      </w:r>
      <w:r>
        <w:t>or any given margin, if m</w:t>
      </w:r>
      <w:r w:rsidRPr="00155E7B">
        <w:t>anagers deriv</w:t>
      </w:r>
      <w:r>
        <w:t>e income from</w:t>
      </w:r>
      <w:r w:rsidRPr="00155E7B">
        <w:t xml:space="preserve"> insurance commissions on insurance premiums paid on behalf of </w:t>
      </w:r>
      <w:r>
        <w:t>OCs, this should mean lower fees for other services provided to the OCs</w:t>
      </w:r>
      <w:r w:rsidRPr="00155E7B">
        <w:t xml:space="preserve">. </w:t>
      </w:r>
      <w:r>
        <w:t>Whether this is true in reality is debateable.</w:t>
      </w:r>
    </w:p>
    <w:p w:rsidR="000E6008" w:rsidRDefault="000E6008" w:rsidP="000E6008">
      <w:pPr>
        <w:ind w:left="720" w:hanging="720"/>
        <w:rPr>
          <w:b/>
        </w:rPr>
      </w:pPr>
      <w:r w:rsidRPr="000E6008">
        <w:rPr>
          <w:b/>
        </w:rPr>
        <w:lastRenderedPageBreak/>
        <w:t>70</w:t>
      </w:r>
      <w:r w:rsidRPr="000E6008">
        <w:rPr>
          <w:b/>
        </w:rPr>
        <w:tab/>
        <w:t>What are the non-regulatory approaches that could be considered to ensure commissions and other payments do not distort the market?</w:t>
      </w:r>
    </w:p>
    <w:p w:rsidR="007A5784" w:rsidRDefault="007A5784" w:rsidP="007A5784">
      <w:r>
        <w:t>I do not believe I am qualified to respond to this question competently.</w:t>
      </w:r>
    </w:p>
    <w:p w:rsidR="007A5784" w:rsidRPr="007A5784" w:rsidRDefault="007A5784" w:rsidP="007A5784">
      <w:pPr>
        <w:pStyle w:val="Heading2"/>
      </w:pPr>
      <w:r>
        <w:t>Unfair terms in management contracts</w:t>
      </w:r>
    </w:p>
    <w:p w:rsidR="000E6008" w:rsidRDefault="000E6008" w:rsidP="000E6008">
      <w:pPr>
        <w:ind w:left="720" w:hanging="720"/>
        <w:rPr>
          <w:b/>
        </w:rPr>
      </w:pPr>
      <w:r w:rsidRPr="000E6008">
        <w:rPr>
          <w:b/>
        </w:rPr>
        <w:t>71</w:t>
      </w:r>
      <w:r w:rsidRPr="000E6008">
        <w:rPr>
          <w:b/>
        </w:rPr>
        <w:tab/>
        <w:t>What are the main concerns about unfair contract terms in management contracts?</w:t>
      </w:r>
    </w:p>
    <w:p w:rsidR="007A5784" w:rsidRDefault="007A5784" w:rsidP="001830AE">
      <w:pPr>
        <w:spacing w:after="0"/>
      </w:pPr>
      <w:r>
        <w:t xml:space="preserve">The main concerns about unfair contract terms go well beyond the two types of </w:t>
      </w:r>
      <w:r w:rsidR="00E55586">
        <w:t>concerns</w:t>
      </w:r>
      <w:r>
        <w:t xml:space="preserve"> described in the </w:t>
      </w:r>
      <w:r w:rsidRPr="00E55586">
        <w:rPr>
          <w:i/>
        </w:rPr>
        <w:t>Issues Paper</w:t>
      </w:r>
      <w:r>
        <w:t xml:space="preserve"> - see answers to Q.5-13 in Attachment 1, and the additional comments after the response to Q.13</w:t>
      </w:r>
      <w:r w:rsidR="004E41DC">
        <w:t>. They include</w:t>
      </w:r>
    </w:p>
    <w:p w:rsidR="004E41DC" w:rsidRDefault="004E41DC" w:rsidP="001830AE">
      <w:pPr>
        <w:pStyle w:val="ListParagraph"/>
        <w:numPr>
          <w:ilvl w:val="0"/>
          <w:numId w:val="12"/>
        </w:numPr>
      </w:pPr>
      <w:r>
        <w:t>terms that allow an owners corporation manager to renew the contract at</w:t>
      </w:r>
      <w:r>
        <w:t xml:space="preserve"> its option</w:t>
      </w:r>
      <w:r w:rsidR="001830AE">
        <w:t>,</w:t>
      </w:r>
    </w:p>
    <w:p w:rsidR="004E41DC" w:rsidRDefault="004E41DC" w:rsidP="001830AE">
      <w:pPr>
        <w:pStyle w:val="ListParagraph"/>
        <w:numPr>
          <w:ilvl w:val="0"/>
          <w:numId w:val="12"/>
        </w:numPr>
      </w:pPr>
      <w:r>
        <w:t>automatic renewals for a further term, where the owners corporation does not serve a non-renewal notice</w:t>
      </w:r>
      <w:r w:rsidR="001830AE">
        <w:t>,</w:t>
      </w:r>
    </w:p>
    <w:p w:rsidR="004E41DC" w:rsidRDefault="004E41DC" w:rsidP="001830AE">
      <w:pPr>
        <w:pStyle w:val="ListParagraph"/>
        <w:numPr>
          <w:ilvl w:val="0"/>
          <w:numId w:val="12"/>
        </w:numPr>
      </w:pPr>
      <w:r>
        <w:t>a</w:t>
      </w:r>
      <w:r>
        <w:t xml:space="preserve">utomatic renewal combined with the standard SCA clause that, unless otherwise agreed, fees will be increase annually by the increase in the AWOTE index or 5% whichever is the greater, can result </w:t>
      </w:r>
      <w:r w:rsidR="001830AE">
        <w:t>in excessive increases in fees,</w:t>
      </w:r>
    </w:p>
    <w:p w:rsidR="004E41DC" w:rsidRDefault="004E41DC" w:rsidP="001830AE">
      <w:pPr>
        <w:pStyle w:val="ListParagraph"/>
        <w:numPr>
          <w:ilvl w:val="0"/>
          <w:numId w:val="12"/>
        </w:numPr>
      </w:pPr>
      <w:r>
        <w:t>a</w:t>
      </w:r>
      <w:r>
        <w:t xml:space="preserve">utomatic renewals when combined with </w:t>
      </w:r>
      <w:r>
        <w:t>inappropriate</w:t>
      </w:r>
      <w:r>
        <w:t xml:space="preserve"> scheduling of an AGM which is required </w:t>
      </w:r>
      <w:r>
        <w:t>under the contract for renewal,</w:t>
      </w:r>
    </w:p>
    <w:p w:rsidR="004E41DC" w:rsidRDefault="004E41DC" w:rsidP="001830AE">
      <w:pPr>
        <w:pStyle w:val="ListParagraph"/>
        <w:numPr>
          <w:ilvl w:val="0"/>
          <w:numId w:val="12"/>
        </w:numPr>
      </w:pPr>
      <w:r>
        <w:t>terms that require an excessive period of notice for the early termi</w:t>
      </w:r>
      <w:r>
        <w:t>nation of a management contract</w:t>
      </w:r>
      <w:r w:rsidR="001830AE">
        <w:t>,</w:t>
      </w:r>
    </w:p>
    <w:p w:rsidR="004E41DC" w:rsidRDefault="001830AE" w:rsidP="001830AE">
      <w:pPr>
        <w:pStyle w:val="ListParagraph"/>
        <w:numPr>
          <w:ilvl w:val="0"/>
          <w:numId w:val="12"/>
        </w:numPr>
      </w:pPr>
      <w:r>
        <w:t>t</w:t>
      </w:r>
      <w:r w:rsidR="004E41DC">
        <w:t>erms that require an excessive period of notice for the early termination should be prohibited. A reasona</w:t>
      </w:r>
      <w:r>
        <w:t>ble period of notice is 28 days,</w:t>
      </w:r>
    </w:p>
    <w:p w:rsidR="004E41DC" w:rsidRDefault="004E41DC" w:rsidP="001830AE">
      <w:pPr>
        <w:pStyle w:val="ListParagraph"/>
        <w:numPr>
          <w:ilvl w:val="0"/>
          <w:numId w:val="12"/>
        </w:numPr>
      </w:pPr>
      <w:r>
        <w:t xml:space="preserve">terms that require </w:t>
      </w:r>
      <w:r>
        <w:t xml:space="preserve">an unreasonable </w:t>
      </w:r>
      <w:r>
        <w:t xml:space="preserve">pre-determined amount to be paid to the manager on </w:t>
      </w:r>
      <w:r w:rsidR="001830AE">
        <w:t>termination, and</w:t>
      </w:r>
    </w:p>
    <w:p w:rsidR="001830AE" w:rsidRDefault="001830AE" w:rsidP="001830AE">
      <w:pPr>
        <w:pStyle w:val="ListParagraph"/>
        <w:numPr>
          <w:ilvl w:val="0"/>
          <w:numId w:val="12"/>
        </w:numPr>
      </w:pPr>
      <w:r>
        <w:t>t</w:t>
      </w:r>
      <w:r>
        <w:t xml:space="preserve">he standard </w:t>
      </w:r>
      <w:r>
        <w:t xml:space="preserve">SCA (Vic) </w:t>
      </w:r>
      <w:r>
        <w:t xml:space="preserve">contract terms </w:t>
      </w:r>
      <w:r>
        <w:t>relating to OHS compliance and contractor management.</w:t>
      </w:r>
    </w:p>
    <w:p w:rsidR="000E6008" w:rsidRDefault="000E6008" w:rsidP="000E6008">
      <w:pPr>
        <w:ind w:left="720" w:hanging="720"/>
        <w:rPr>
          <w:b/>
        </w:rPr>
      </w:pPr>
      <w:r w:rsidRPr="000E6008">
        <w:rPr>
          <w:b/>
        </w:rPr>
        <w:t>72</w:t>
      </w:r>
      <w:r w:rsidRPr="000E6008">
        <w:rPr>
          <w:b/>
        </w:rPr>
        <w:tab/>
        <w:t>Are there other types of unfair terms that should be considered? If so, what are they and how common are they? Why might they be unfair?</w:t>
      </w:r>
    </w:p>
    <w:p w:rsidR="00E55586" w:rsidRDefault="00E55586" w:rsidP="000E6008">
      <w:pPr>
        <w:ind w:left="720" w:hanging="720"/>
      </w:pPr>
      <w:r>
        <w:t>See answer to Q.71 above, and the descriptions of unfair terms in Attachment 1.</w:t>
      </w:r>
    </w:p>
    <w:p w:rsidR="00E55586" w:rsidRPr="00E55586" w:rsidRDefault="00E55586" w:rsidP="00E55586">
      <w:pPr>
        <w:pStyle w:val="Heading2"/>
      </w:pPr>
      <w:r>
        <w:t>Ending long-term management contracts</w:t>
      </w:r>
    </w:p>
    <w:p w:rsidR="000E6008" w:rsidRDefault="000E6008" w:rsidP="000E6008">
      <w:pPr>
        <w:ind w:left="720" w:hanging="720"/>
        <w:rPr>
          <w:b/>
        </w:rPr>
      </w:pPr>
      <w:r w:rsidRPr="000E6008">
        <w:rPr>
          <w:b/>
        </w:rPr>
        <w:t>73</w:t>
      </w:r>
      <w:r w:rsidRPr="000E6008">
        <w:rPr>
          <w:b/>
        </w:rPr>
        <w:tab/>
        <w:t>Should any distinction be drawn between the required contractual terms for initial and subsequent management contracts? If so, why? How would such a distinction be drawn?</w:t>
      </w:r>
    </w:p>
    <w:p w:rsidR="00605FF7" w:rsidRPr="000E6008" w:rsidRDefault="00605FF7" w:rsidP="00605FF7">
      <w:r>
        <w:t>See answer to Q.1 in Attachment 1.</w:t>
      </w:r>
    </w:p>
    <w:p w:rsidR="000E6008" w:rsidRDefault="000E6008" w:rsidP="000E6008">
      <w:pPr>
        <w:ind w:left="720" w:hanging="720"/>
        <w:rPr>
          <w:b/>
        </w:rPr>
      </w:pPr>
      <w:r w:rsidRPr="000E6008">
        <w:rPr>
          <w:b/>
        </w:rPr>
        <w:t>74</w:t>
      </w:r>
      <w:r w:rsidRPr="000E6008">
        <w:rPr>
          <w:b/>
        </w:rPr>
        <w:tab/>
        <w:t>What is your view as to contractual terms for the renewal of management contracts? For example, should there be any rules about terms such as automatic renewals or renewals at the prerogative of the manager only?</w:t>
      </w:r>
    </w:p>
    <w:p w:rsidR="00605FF7" w:rsidRPr="000E6008" w:rsidRDefault="00605FF7" w:rsidP="00605FF7">
      <w:r>
        <w:t xml:space="preserve">See answers to </w:t>
      </w:r>
      <w:r w:rsidR="00256A9F">
        <w:t xml:space="preserve">Q.71 above, and answers to </w:t>
      </w:r>
      <w:r>
        <w:t>Q.5-6 in Attachment 1.</w:t>
      </w:r>
    </w:p>
    <w:p w:rsidR="000E6008" w:rsidRDefault="000E6008" w:rsidP="001830AE">
      <w:pPr>
        <w:keepNext/>
        <w:ind w:left="720" w:hanging="720"/>
        <w:rPr>
          <w:b/>
        </w:rPr>
      </w:pPr>
      <w:r w:rsidRPr="000E6008">
        <w:rPr>
          <w:b/>
        </w:rPr>
        <w:lastRenderedPageBreak/>
        <w:t>75</w:t>
      </w:r>
      <w:r w:rsidRPr="000E6008">
        <w:rPr>
          <w:b/>
        </w:rPr>
        <w:tab/>
        <w:t>Are there other issues that require a regulatory response relating to long-term management contracts?</w:t>
      </w:r>
    </w:p>
    <w:p w:rsidR="00605FF7" w:rsidRDefault="00605FF7" w:rsidP="00605FF7">
      <w:r>
        <w:t>Yes. I believe contract terms of greater than three years should be prohibited.</w:t>
      </w:r>
      <w:r w:rsidR="001E5DC3">
        <w:t xml:space="preserve"> The requirement to renew the contract should trigger appropriate due diligence by the OC Committee, and may generate beneficial outcomes such as improvements in services to the OC.</w:t>
      </w:r>
      <w:r w:rsidR="001830AE">
        <w:t xml:space="preserve"> This should occur at least once every three years.</w:t>
      </w:r>
    </w:p>
    <w:p w:rsidR="001E5DC3" w:rsidRPr="000E6008" w:rsidRDefault="001E5DC3" w:rsidP="001E5DC3">
      <w:pPr>
        <w:pStyle w:val="Heading2"/>
      </w:pPr>
      <w:r>
        <w:t>Managers conduct around voting</w:t>
      </w:r>
    </w:p>
    <w:p w:rsidR="000E6008" w:rsidRDefault="000E6008" w:rsidP="000E6008">
      <w:pPr>
        <w:ind w:left="720" w:hanging="720"/>
        <w:rPr>
          <w:b/>
        </w:rPr>
      </w:pPr>
      <w:r w:rsidRPr="000E6008">
        <w:rPr>
          <w:b/>
        </w:rPr>
        <w:t>76</w:t>
      </w:r>
      <w:r w:rsidRPr="000E6008">
        <w:rPr>
          <w:b/>
        </w:rPr>
        <w:tab/>
        <w:t>How can concerns about managers’ influence on voting be addressed?</w:t>
      </w:r>
    </w:p>
    <w:p w:rsidR="001E5DC3" w:rsidRDefault="001E5DC3" w:rsidP="001E5DC3">
      <w:r>
        <w:t>One obvious solution may be to prohibit owners from allocating proxies to OC managers. Whether this may result in</w:t>
      </w:r>
      <w:r w:rsidR="00256A9F">
        <w:t xml:space="preserve"> perverse outcomes is uncertain – see answers to Q.24-25 of Attachment 1.</w:t>
      </w:r>
    </w:p>
    <w:p w:rsidR="001E5DC3" w:rsidRPr="000E6008" w:rsidRDefault="001E5DC3" w:rsidP="001E5DC3">
      <w:pPr>
        <w:pStyle w:val="Heading2"/>
      </w:pPr>
      <w:r>
        <w:t>Financial transparency</w:t>
      </w:r>
    </w:p>
    <w:p w:rsidR="000E6008" w:rsidRDefault="000E6008" w:rsidP="000E6008">
      <w:pPr>
        <w:ind w:left="720" w:hanging="720"/>
        <w:rPr>
          <w:b/>
        </w:rPr>
      </w:pPr>
      <w:r w:rsidRPr="000E6008">
        <w:rPr>
          <w:b/>
        </w:rPr>
        <w:t>77</w:t>
      </w:r>
      <w:r w:rsidRPr="000E6008">
        <w:rPr>
          <w:b/>
        </w:rPr>
        <w:tab/>
        <w:t>How can concerns about fraudulent financial conduct be addressed? Would it be preferable in the context of financial transparency and accountability to require separate owners corporation funds to be kept in separate accounts?</w:t>
      </w:r>
    </w:p>
    <w:p w:rsidR="001E5DC3" w:rsidRDefault="001E5DC3" w:rsidP="001E5DC3">
      <w:r>
        <w:t>Yes, separate owners corporation funds should be kept in separate accounts. Arguably, separate accounts should also be used for operating funds and maintenance funds within a single OC.</w:t>
      </w:r>
    </w:p>
    <w:p w:rsidR="001E5DC3" w:rsidRDefault="00812991" w:rsidP="00F809B9">
      <w:pPr>
        <w:spacing w:after="0"/>
      </w:pPr>
      <w:r w:rsidRPr="00812991">
        <w:t>How</w:t>
      </w:r>
      <w:r>
        <w:t>ever it will require a great deal more than separation of accounts to address</w:t>
      </w:r>
      <w:r w:rsidRPr="00812991">
        <w:t xml:space="preserve"> concerns about fraudulent financial conduct</w:t>
      </w:r>
      <w:r>
        <w:t xml:space="preserve"> - see</w:t>
      </w:r>
      <w:r w:rsidR="001E5DC3">
        <w:t xml:space="preserve"> the responses to Q.32-33 of Attachment 1.</w:t>
      </w:r>
      <w:r w:rsidR="001830AE">
        <w:t xml:space="preserve"> Concerns</w:t>
      </w:r>
      <w:r w:rsidR="00F809B9">
        <w:t xml:space="preserve"> include</w:t>
      </w:r>
    </w:p>
    <w:p w:rsidR="001830AE" w:rsidRDefault="00F809B9" w:rsidP="00F809B9">
      <w:pPr>
        <w:pStyle w:val="ListParagraph"/>
        <w:numPr>
          <w:ilvl w:val="0"/>
          <w:numId w:val="12"/>
        </w:numPr>
      </w:pPr>
      <w:r>
        <w:t>t</w:t>
      </w:r>
      <w:r w:rsidR="001830AE">
        <w:t>he use of cash accounting rather than accrual accounting</w:t>
      </w:r>
      <w:r>
        <w:t>,</w:t>
      </w:r>
    </w:p>
    <w:p w:rsidR="001830AE" w:rsidRDefault="00F809B9" w:rsidP="00F809B9">
      <w:pPr>
        <w:pStyle w:val="ListParagraph"/>
        <w:numPr>
          <w:ilvl w:val="0"/>
          <w:numId w:val="12"/>
        </w:numPr>
      </w:pPr>
      <w:r>
        <w:t>t</w:t>
      </w:r>
      <w:r w:rsidR="001830AE">
        <w:t>he failure to track fixed assets, and depreciate them,</w:t>
      </w:r>
      <w:r>
        <w:t xml:space="preserve"> and</w:t>
      </w:r>
    </w:p>
    <w:p w:rsidR="001830AE" w:rsidRDefault="00F809B9" w:rsidP="00F809B9">
      <w:pPr>
        <w:pStyle w:val="ListParagraph"/>
        <w:numPr>
          <w:ilvl w:val="0"/>
          <w:numId w:val="12"/>
        </w:numPr>
      </w:pPr>
      <w:r>
        <w:t>the lack of</w:t>
      </w:r>
      <w:r w:rsidR="001830AE">
        <w:t xml:space="preserve"> financial standards s</w:t>
      </w:r>
      <w:r>
        <w:t>pecified in the OC Regulations, which means that n</w:t>
      </w:r>
      <w:r w:rsidR="001830AE">
        <w:t xml:space="preserve">o financial standards of any kind </w:t>
      </w:r>
      <w:r>
        <w:t>are</w:t>
      </w:r>
      <w:r w:rsidR="001830AE">
        <w:t xml:space="preserve"> applied to the preparation of </w:t>
      </w:r>
      <w:r>
        <w:t>OC</w:t>
      </w:r>
      <w:r w:rsidR="001830AE">
        <w:t xml:space="preserve"> financial report</w:t>
      </w:r>
      <w:r>
        <w:t>s</w:t>
      </w:r>
      <w:r w:rsidR="001830AE">
        <w:t>.</w:t>
      </w:r>
    </w:p>
    <w:p w:rsidR="001830AE" w:rsidRPr="000E6008" w:rsidRDefault="001830AE" w:rsidP="001E5DC3">
      <w:r>
        <w:t>Beyond this, our OC provides accounts which do not include GST i.e. t</w:t>
      </w:r>
      <w:r w:rsidRPr="001830AE">
        <w:t>here is a whole area of OC financials that the Committee is not tracking</w:t>
      </w:r>
      <w:r>
        <w:t>. There</w:t>
      </w:r>
      <w:r w:rsidRPr="001830AE">
        <w:t xml:space="preserve"> is no reconciliation of the GST collected by </w:t>
      </w:r>
      <w:r>
        <w:t xml:space="preserve">the </w:t>
      </w:r>
      <w:r w:rsidRPr="001830AE">
        <w:t xml:space="preserve">OC, the GST paid to contractors by </w:t>
      </w:r>
      <w:r>
        <w:t xml:space="preserve">the </w:t>
      </w:r>
      <w:r w:rsidRPr="001830AE">
        <w:t>OC, and the net outcome and any payment to the ATO by OC.</w:t>
      </w:r>
      <w:r>
        <w:t xml:space="preserve"> BAS documentation is not provided to the Committee to enable monitoring of these issues.</w:t>
      </w:r>
    </w:p>
    <w:p w:rsidR="000E6008" w:rsidRDefault="000E6008" w:rsidP="000E6008">
      <w:pPr>
        <w:ind w:left="720" w:hanging="720"/>
        <w:rPr>
          <w:b/>
        </w:rPr>
      </w:pPr>
      <w:r w:rsidRPr="000E6008">
        <w:rPr>
          <w:b/>
        </w:rPr>
        <w:t>78</w:t>
      </w:r>
      <w:r w:rsidRPr="000E6008">
        <w:rPr>
          <w:b/>
        </w:rPr>
        <w:tab/>
        <w:t>What proportion of managers still use pooled accounts, and what would be the realistic costs and time required to transition to the use of separate accounts? Where possible, include the basis for these estimates.</w:t>
      </w:r>
    </w:p>
    <w:p w:rsidR="00750447" w:rsidRDefault="00256A9F" w:rsidP="00750447">
      <w:r>
        <w:t xml:space="preserve">See answer to Q.27 in Attachment 1. Beyond this, </w:t>
      </w:r>
      <w:r w:rsidR="00750447">
        <w:t>I do not have sufficient information to respond to this question competently.</w:t>
      </w:r>
    </w:p>
    <w:p w:rsidR="00AC3BFE" w:rsidRDefault="000E153E" w:rsidP="006D5FB3">
      <w:pPr>
        <w:pStyle w:val="Heading1"/>
        <w:pageBreakBefore/>
      </w:pPr>
      <w:r>
        <w:lastRenderedPageBreak/>
        <w:t xml:space="preserve">Attachment 1: </w:t>
      </w:r>
      <w:r w:rsidR="00AC3BFE">
        <w:t xml:space="preserve">Responses to </w:t>
      </w:r>
      <w:r w:rsidR="00781261">
        <w:t xml:space="preserve">2013-14 </w:t>
      </w:r>
      <w:r w:rsidR="00AC3BFE">
        <w:t>Consultation Questions</w:t>
      </w:r>
      <w:r w:rsidR="00605FF7">
        <w:t xml:space="preserve"> </w:t>
      </w:r>
    </w:p>
    <w:p w:rsidR="00017262" w:rsidRPr="00017262" w:rsidRDefault="00017262" w:rsidP="00017262">
      <w:pPr>
        <w:pStyle w:val="Heading2"/>
      </w:pPr>
      <w:r>
        <w:t>Management contracts</w:t>
      </w:r>
    </w:p>
    <w:p w:rsidR="00AC3BFE" w:rsidRPr="00120FE9" w:rsidRDefault="00AC3BFE" w:rsidP="00291486">
      <w:pPr>
        <w:pStyle w:val="ListNumber"/>
        <w:numPr>
          <w:ilvl w:val="0"/>
          <w:numId w:val="2"/>
        </w:numPr>
        <w:spacing w:before="200"/>
        <w:ind w:left="357" w:hanging="357"/>
        <w:rPr>
          <w:b/>
        </w:rPr>
      </w:pPr>
      <w:r w:rsidRPr="00120FE9">
        <w:rPr>
          <w:b/>
        </w:rPr>
        <w:t>Should there be more specific provisions in the Owners Corporations Act regarding the appropriate length of management contracts?</w:t>
      </w:r>
    </w:p>
    <w:p w:rsidR="004779C1" w:rsidRDefault="00024207" w:rsidP="00372DD7">
      <w:pPr>
        <w:pStyle w:val="ListNumber"/>
        <w:numPr>
          <w:ilvl w:val="0"/>
          <w:numId w:val="0"/>
        </w:numPr>
        <w:ind w:left="426"/>
      </w:pPr>
      <w:r>
        <w:t xml:space="preserve">Yes, there should be more specific provisions in the Act (or through the Act, in the Regulations) </w:t>
      </w:r>
      <w:r w:rsidR="00372DD7">
        <w:t>regarding the length of management contracts.</w:t>
      </w:r>
    </w:p>
    <w:p w:rsidR="00372DD7" w:rsidRDefault="005D66F6" w:rsidP="00372DD7">
      <w:pPr>
        <w:pStyle w:val="ListNumber"/>
        <w:numPr>
          <w:ilvl w:val="0"/>
          <w:numId w:val="0"/>
        </w:numPr>
        <w:ind w:left="426"/>
      </w:pPr>
      <w:r>
        <w:t>T</w:t>
      </w:r>
      <w:r w:rsidR="006C7DEE">
        <w:t>here is a need for a</w:t>
      </w:r>
      <w:r>
        <w:t>n</w:t>
      </w:r>
      <w:r w:rsidR="006C7DEE">
        <w:t xml:space="preserve"> </w:t>
      </w:r>
      <w:r w:rsidR="00024207">
        <w:t>OC Manager to negotiate term</w:t>
      </w:r>
      <w:r w:rsidR="006C7DEE">
        <w:t>s</w:t>
      </w:r>
      <w:r w:rsidR="00024207">
        <w:t xml:space="preserve"> which will provide a return on </w:t>
      </w:r>
      <w:r w:rsidR="00372DD7">
        <w:t>its</w:t>
      </w:r>
      <w:r w:rsidR="00024207">
        <w:t xml:space="preserve"> investment in establishing services for an OC</w:t>
      </w:r>
      <w:r>
        <w:t xml:space="preserve">, as referenced by comments about ‘the first few years’ in the </w:t>
      </w:r>
      <w:r w:rsidRPr="005D66F6">
        <w:rPr>
          <w:i/>
        </w:rPr>
        <w:t>Issues Paper</w:t>
      </w:r>
      <w:r w:rsidR="00024207">
        <w:t xml:space="preserve">. </w:t>
      </w:r>
      <w:r w:rsidR="008202EE">
        <w:t>Even for established OC M</w:t>
      </w:r>
      <w:r>
        <w:t>anagers, t</w:t>
      </w:r>
      <w:r w:rsidR="00024207">
        <w:t xml:space="preserve">his may </w:t>
      </w:r>
      <w:r w:rsidR="00372DD7">
        <w:t>include</w:t>
      </w:r>
    </w:p>
    <w:p w:rsidR="00372DD7" w:rsidRDefault="00024207" w:rsidP="00DC7D4B">
      <w:pPr>
        <w:pStyle w:val="ListNumber"/>
        <w:numPr>
          <w:ilvl w:val="0"/>
          <w:numId w:val="6"/>
        </w:numPr>
        <w:tabs>
          <w:tab w:val="left" w:pos="851"/>
        </w:tabs>
        <w:ind w:left="851"/>
      </w:pPr>
      <w:r>
        <w:t xml:space="preserve">hiring additional </w:t>
      </w:r>
      <w:r w:rsidR="00372DD7">
        <w:t xml:space="preserve">OC management and/or clerical </w:t>
      </w:r>
      <w:r>
        <w:t xml:space="preserve">staff, </w:t>
      </w:r>
    </w:p>
    <w:p w:rsidR="00372DD7" w:rsidRDefault="00024207" w:rsidP="00DC7D4B">
      <w:pPr>
        <w:pStyle w:val="ListNumber"/>
        <w:numPr>
          <w:ilvl w:val="0"/>
          <w:numId w:val="6"/>
        </w:numPr>
        <w:tabs>
          <w:tab w:val="left" w:pos="851"/>
        </w:tabs>
        <w:ind w:left="851"/>
      </w:pPr>
      <w:r>
        <w:t>the administrative cost of setting up facilities</w:t>
      </w:r>
      <w:r w:rsidR="00372DD7">
        <w:t xml:space="preserve"> to service the OC e.g. in entering the OC’s details in </w:t>
      </w:r>
      <w:r>
        <w:t xml:space="preserve">OC management software, </w:t>
      </w:r>
      <w:r w:rsidR="00372DD7">
        <w:t>setting up</w:t>
      </w:r>
      <w:r>
        <w:t xml:space="preserve"> financial accounts, </w:t>
      </w:r>
      <w:r w:rsidR="00372DD7">
        <w:t>setting up web site accounts for owners, etc.,</w:t>
      </w:r>
    </w:p>
    <w:p w:rsidR="00024207" w:rsidRDefault="00024207" w:rsidP="00DC7D4B">
      <w:pPr>
        <w:pStyle w:val="ListNumber"/>
        <w:numPr>
          <w:ilvl w:val="0"/>
          <w:numId w:val="6"/>
        </w:numPr>
        <w:tabs>
          <w:tab w:val="left" w:pos="851"/>
        </w:tabs>
        <w:ind w:left="851"/>
      </w:pPr>
      <w:r>
        <w:t xml:space="preserve">engaging external contractors e.g. for Essential/Fire Services inspections, </w:t>
      </w:r>
      <w:r w:rsidR="00372DD7">
        <w:t>security monitoring, and</w:t>
      </w:r>
    </w:p>
    <w:p w:rsidR="00372DD7" w:rsidRDefault="00372DD7" w:rsidP="00DC7D4B">
      <w:pPr>
        <w:pStyle w:val="ListNumber"/>
        <w:numPr>
          <w:ilvl w:val="0"/>
          <w:numId w:val="6"/>
        </w:numPr>
        <w:tabs>
          <w:tab w:val="left" w:pos="851"/>
        </w:tabs>
        <w:ind w:left="851"/>
      </w:pPr>
      <w:r>
        <w:t>similar activities.</w:t>
      </w:r>
    </w:p>
    <w:p w:rsidR="005C2AE8" w:rsidRDefault="001620B4" w:rsidP="002B0D37">
      <w:pPr>
        <w:pStyle w:val="ListNumber"/>
        <w:numPr>
          <w:ilvl w:val="0"/>
          <w:numId w:val="0"/>
        </w:numPr>
        <w:ind w:left="426"/>
      </w:pPr>
      <w:r>
        <w:t>However, t</w:t>
      </w:r>
      <w:r w:rsidR="00372DD7">
        <w:t xml:space="preserve">here are significant imbalances </w:t>
      </w:r>
      <w:r w:rsidR="00451261">
        <w:t>with</w:t>
      </w:r>
      <w:r w:rsidR="00372DD7">
        <w:t xml:space="preserve">in the relationship between the OC (including the OC Committee) and the OC Manager. </w:t>
      </w:r>
      <w:r w:rsidR="005C2AE8">
        <w:t>While recognising that many OCs/Committees may not have the knowledge and skills to capitalise on the opportunity, requiring them to complete due diligence on the OC Manager on a regular basis, through the mechanism of contract renewal, is a desirable outcome.</w:t>
      </w:r>
    </w:p>
    <w:p w:rsidR="005C2AE8" w:rsidRPr="00125DDD" w:rsidRDefault="00965BE7" w:rsidP="00372DD7">
      <w:pPr>
        <w:pStyle w:val="ListNumber"/>
        <w:numPr>
          <w:ilvl w:val="0"/>
          <w:numId w:val="0"/>
        </w:numPr>
        <w:ind w:left="426"/>
      </w:pPr>
      <w:r>
        <w:t>A</w:t>
      </w:r>
      <w:r w:rsidR="005C2AE8">
        <w:t xml:space="preserve"> maximum term of three years may be reasonable for the first term, and possibly annual renewal thereafter. In all cases appropriate terms for termination for cause or convenience, including reasonable notice, should be included in the contract.</w:t>
      </w:r>
    </w:p>
    <w:p w:rsidR="00AC3BFE" w:rsidRPr="00120FE9" w:rsidRDefault="00AC3BFE" w:rsidP="00291486">
      <w:pPr>
        <w:pStyle w:val="ListNumber"/>
        <w:numPr>
          <w:ilvl w:val="0"/>
          <w:numId w:val="2"/>
        </w:numPr>
        <w:spacing w:before="200"/>
        <w:ind w:left="357" w:hanging="357"/>
        <w:rPr>
          <w:b/>
        </w:rPr>
      </w:pPr>
      <w:r w:rsidRPr="00120FE9">
        <w:rPr>
          <w:b/>
        </w:rPr>
        <w:t>If so, should management contracts entered into by the developer expire at the first annual general meeting?</w:t>
      </w:r>
    </w:p>
    <w:p w:rsidR="004779C1" w:rsidRDefault="00451261" w:rsidP="00451261">
      <w:pPr>
        <w:pStyle w:val="ListNumber"/>
        <w:numPr>
          <w:ilvl w:val="0"/>
          <w:numId w:val="0"/>
        </w:numPr>
        <w:ind w:left="426"/>
      </w:pPr>
      <w:r>
        <w:t>s.66 requires the first AGM to be held within 6 months of the registration of the plan of subdivision. I would think 6 months is too short a period. One to three years may be a better initial period (see answer to Q.1 above.)</w:t>
      </w:r>
    </w:p>
    <w:p w:rsidR="00966CDD" w:rsidRPr="00125DDD" w:rsidRDefault="00966CDD" w:rsidP="00451261">
      <w:pPr>
        <w:pStyle w:val="ListNumber"/>
        <w:numPr>
          <w:ilvl w:val="0"/>
          <w:numId w:val="0"/>
        </w:numPr>
        <w:ind w:left="426"/>
      </w:pPr>
      <w:r>
        <w:t>Even if the first contract were to expire at the first AGM, it is likely that developer will still have the votes to renew the contract in any case i.e. expiry at the first AGM is likely to be ineffective as a control.</w:t>
      </w:r>
    </w:p>
    <w:p w:rsidR="00AC3BFE" w:rsidRPr="00120FE9" w:rsidRDefault="00AC3BFE" w:rsidP="00291486">
      <w:pPr>
        <w:pStyle w:val="ListNumber"/>
        <w:numPr>
          <w:ilvl w:val="0"/>
          <w:numId w:val="2"/>
        </w:numPr>
        <w:spacing w:before="200"/>
        <w:ind w:left="357" w:hanging="357"/>
        <w:rPr>
          <w:b/>
        </w:rPr>
      </w:pPr>
      <w:r w:rsidRPr="00120FE9">
        <w:rPr>
          <w:b/>
        </w:rPr>
        <w:t xml:space="preserve">Should subsequent management contracts have a maximum length? If so, what should that be? </w:t>
      </w:r>
    </w:p>
    <w:p w:rsidR="004779C1" w:rsidRPr="00125DDD" w:rsidRDefault="008920EB" w:rsidP="005C2AE8">
      <w:pPr>
        <w:pStyle w:val="ListNumber"/>
        <w:numPr>
          <w:ilvl w:val="0"/>
          <w:numId w:val="0"/>
        </w:numPr>
        <w:ind w:left="426"/>
      </w:pPr>
      <w:r>
        <w:t>I</w:t>
      </w:r>
      <w:r w:rsidR="00451261">
        <w:t xml:space="preserve"> would </w:t>
      </w:r>
      <w:r>
        <w:t>suggest</w:t>
      </w:r>
      <w:r w:rsidR="00451261">
        <w:t xml:space="preserve"> annual renewal after the first contract term (which could be up to three years - see answer to Q.1 above.)</w:t>
      </w:r>
    </w:p>
    <w:p w:rsidR="00AC3BFE" w:rsidRPr="00120FE9" w:rsidRDefault="00AC3BFE" w:rsidP="00291486">
      <w:pPr>
        <w:pStyle w:val="ListNumber"/>
        <w:numPr>
          <w:ilvl w:val="0"/>
          <w:numId w:val="2"/>
        </w:numPr>
        <w:spacing w:before="200"/>
        <w:ind w:left="357" w:hanging="357"/>
        <w:rPr>
          <w:b/>
        </w:rPr>
      </w:pPr>
      <w:r w:rsidRPr="00120FE9">
        <w:rPr>
          <w:b/>
        </w:rPr>
        <w:lastRenderedPageBreak/>
        <w:t>Should the length of subsequent management contracts differ for large and small owners corporations? If so, how should ‘large’ and ‘small’ owners corporations be differentiated?</w:t>
      </w:r>
    </w:p>
    <w:p w:rsidR="002C49C5" w:rsidRDefault="002C49C5" w:rsidP="005C2AE8">
      <w:pPr>
        <w:pStyle w:val="ListNumber"/>
        <w:numPr>
          <w:ilvl w:val="0"/>
          <w:numId w:val="0"/>
        </w:numPr>
        <w:ind w:left="426"/>
      </w:pPr>
      <w:r>
        <w:t xml:space="preserve">No, the </w:t>
      </w:r>
      <w:r w:rsidRPr="002C49C5">
        <w:t xml:space="preserve">length of management contracts </w:t>
      </w:r>
      <w:r>
        <w:t xml:space="preserve">should not </w:t>
      </w:r>
      <w:r w:rsidRPr="002C49C5">
        <w:t xml:space="preserve">differ for large and small </w:t>
      </w:r>
      <w:r>
        <w:t>OCs.</w:t>
      </w:r>
    </w:p>
    <w:p w:rsidR="002C49C5" w:rsidRDefault="002C49C5" w:rsidP="005C2AE8">
      <w:pPr>
        <w:pStyle w:val="ListNumber"/>
        <w:numPr>
          <w:ilvl w:val="0"/>
          <w:numId w:val="0"/>
        </w:numPr>
        <w:ind w:left="426"/>
      </w:pPr>
      <w:r>
        <w:t xml:space="preserve">The issue is not the length of contract, but what the OC does in response to the opportunity that contract renewal represents. </w:t>
      </w:r>
      <w:r w:rsidR="00966CDD">
        <w:t>Based on the level of apathy of most owners, which appears to permeate the industry, the opportunity is likely to be lost in most residential OCs.</w:t>
      </w:r>
    </w:p>
    <w:p w:rsidR="002C49C5" w:rsidRDefault="002C49C5" w:rsidP="005C2AE8">
      <w:pPr>
        <w:pStyle w:val="ListNumber"/>
        <w:numPr>
          <w:ilvl w:val="0"/>
          <w:numId w:val="0"/>
        </w:numPr>
        <w:ind w:left="426"/>
      </w:pPr>
      <w:r>
        <w:t xml:space="preserve">For residential OCs, the Committee is made up of owners from all walks of life, and once one gets beyond a two lot subdivision, I doubt whether the skills and competencies of individual owners vary </w:t>
      </w:r>
      <w:r w:rsidR="00965BE7">
        <w:t xml:space="preserve">much </w:t>
      </w:r>
      <w:r>
        <w:t>with OC size. On this basis there is no reason to differentiate contract lengths.</w:t>
      </w:r>
    </w:p>
    <w:p w:rsidR="00AC3BFE" w:rsidRPr="00120FE9" w:rsidRDefault="00AC3BFE" w:rsidP="00291486">
      <w:pPr>
        <w:pStyle w:val="ListNumber"/>
        <w:numPr>
          <w:ilvl w:val="0"/>
          <w:numId w:val="2"/>
        </w:numPr>
        <w:spacing w:before="200"/>
        <w:ind w:left="357" w:hanging="357"/>
        <w:rPr>
          <w:b/>
        </w:rPr>
      </w:pPr>
      <w:r w:rsidRPr="00120FE9">
        <w:rPr>
          <w:b/>
        </w:rPr>
        <w:t>Should contract terms that allow an owners corporation manager to renew the contract at its option be prohibited?</w:t>
      </w:r>
    </w:p>
    <w:p w:rsidR="004779C1" w:rsidRPr="00125DDD" w:rsidRDefault="007007B8" w:rsidP="005C2AE8">
      <w:pPr>
        <w:pStyle w:val="ListNumber"/>
        <w:numPr>
          <w:ilvl w:val="0"/>
          <w:numId w:val="0"/>
        </w:numPr>
        <w:ind w:left="426"/>
      </w:pPr>
      <w:r>
        <w:t>Yes, such contract terms should be prohibited. Contract renewal should remain solely in the hands of the OC.</w:t>
      </w:r>
    </w:p>
    <w:p w:rsidR="00AC3BFE" w:rsidRPr="00120FE9" w:rsidRDefault="00AC3BFE" w:rsidP="00291486">
      <w:pPr>
        <w:pStyle w:val="ListNumber"/>
        <w:numPr>
          <w:ilvl w:val="0"/>
          <w:numId w:val="2"/>
        </w:numPr>
        <w:spacing w:before="200"/>
        <w:ind w:left="357" w:hanging="357"/>
        <w:rPr>
          <w:b/>
        </w:rPr>
      </w:pPr>
      <w:r w:rsidRPr="00120FE9">
        <w:rPr>
          <w:b/>
        </w:rPr>
        <w:t xml:space="preserve">Should automatic renewals for a further term, where the owners corporation does not serve a non-renewal notice, be prohibited? If so, and if the contract expires without any agreement for renewal, should the Owners Corporations Act provide for a short-term rollover (for example, on a monthly basis)?  </w:t>
      </w:r>
    </w:p>
    <w:p w:rsidR="00033604" w:rsidRDefault="00033604" w:rsidP="005C2AE8">
      <w:pPr>
        <w:pStyle w:val="ListNumber"/>
        <w:numPr>
          <w:ilvl w:val="0"/>
          <w:numId w:val="0"/>
        </w:numPr>
        <w:ind w:left="426"/>
      </w:pPr>
      <w:r>
        <w:t xml:space="preserve">Automatic renewal is not </w:t>
      </w:r>
      <w:r w:rsidR="0098624D">
        <w:t>the</w:t>
      </w:r>
      <w:r>
        <w:t xml:space="preserve"> problem </w:t>
      </w:r>
      <w:r w:rsidR="0098624D">
        <w:t>alone</w:t>
      </w:r>
      <w:r w:rsidR="007007B8">
        <w:t xml:space="preserve">, </w:t>
      </w:r>
      <w:r w:rsidR="0098624D">
        <w:t>although it probably should</w:t>
      </w:r>
      <w:r w:rsidR="007007B8">
        <w:t xml:space="preserve"> be prohibited</w:t>
      </w:r>
      <w:r w:rsidR="0098624D">
        <w:t xml:space="preserve"> for the reasons described in the answer to Q.1</w:t>
      </w:r>
      <w:r>
        <w:t xml:space="preserve">. It is a combination of automatic renewal and other factors that lead to potential </w:t>
      </w:r>
      <w:r w:rsidR="008202EE">
        <w:t xml:space="preserve">OC </w:t>
      </w:r>
      <w:r>
        <w:t>Manager abuses. For example:</w:t>
      </w:r>
    </w:p>
    <w:p w:rsidR="00033604" w:rsidRDefault="00033604" w:rsidP="00DC7D4B">
      <w:pPr>
        <w:pStyle w:val="ListNumber"/>
        <w:numPr>
          <w:ilvl w:val="0"/>
          <w:numId w:val="6"/>
        </w:numPr>
        <w:tabs>
          <w:tab w:val="left" w:pos="851"/>
        </w:tabs>
        <w:ind w:left="851"/>
      </w:pPr>
      <w:r>
        <w:t>Automatic renewal when combined with the standard SCA clause that, u</w:t>
      </w:r>
      <w:r w:rsidRPr="00033604">
        <w:t>nless otherwise agreed</w:t>
      </w:r>
      <w:r>
        <w:t xml:space="preserve">, fees will be increase annually by </w:t>
      </w:r>
      <w:r w:rsidRPr="00033604">
        <w:t>the increase in the AWOTE index or 5% whichever is the greater</w:t>
      </w:r>
      <w:r w:rsidR="00FF64BB">
        <w:t xml:space="preserve">, can result in excessive increases in fees. If this practice hadn’t been stopped in the case of my </w:t>
      </w:r>
      <w:r w:rsidR="006C7DEE">
        <w:t>OC</w:t>
      </w:r>
      <w:r w:rsidR="00FF64BB">
        <w:t>, fees would have increased by 22.6% during a period when the CPI increased by only 12.1%.</w:t>
      </w:r>
    </w:p>
    <w:p w:rsidR="004779C1" w:rsidRDefault="00033604" w:rsidP="00DC7D4B">
      <w:pPr>
        <w:pStyle w:val="ListNumber"/>
        <w:numPr>
          <w:ilvl w:val="0"/>
          <w:numId w:val="6"/>
        </w:numPr>
        <w:tabs>
          <w:tab w:val="left" w:pos="851"/>
        </w:tabs>
        <w:ind w:left="851"/>
      </w:pPr>
      <w:r>
        <w:t xml:space="preserve">Automatic renewals when combined with the scheduling of </w:t>
      </w:r>
      <w:r w:rsidR="00460C99">
        <w:t>an</w:t>
      </w:r>
      <w:r>
        <w:t xml:space="preserve"> AGM which </w:t>
      </w:r>
      <w:r w:rsidR="00460C99">
        <w:t xml:space="preserve">is required under the contract for </w:t>
      </w:r>
      <w:r>
        <w:t>renew</w:t>
      </w:r>
      <w:r w:rsidR="00460C99">
        <w:t>al</w:t>
      </w:r>
      <w:r>
        <w:t xml:space="preserve">, can </w:t>
      </w:r>
      <w:r w:rsidR="00FF64BB">
        <w:t xml:space="preserve">also </w:t>
      </w:r>
      <w:r>
        <w:t xml:space="preserve">result in abuses. In the example below, the </w:t>
      </w:r>
      <w:r w:rsidR="007007B8">
        <w:t>c</w:t>
      </w:r>
      <w:r w:rsidRPr="002C49C5">
        <w:t xml:space="preserve">ontract </w:t>
      </w:r>
      <w:r w:rsidR="007007B8">
        <w:t>expired</w:t>
      </w:r>
      <w:r>
        <w:t xml:space="preserve"> on 29 November, so in order to give the 28 days notice required to avoid automatic renewal, the AGM would have to be held on 1 November at the latest. In reality the </w:t>
      </w:r>
      <w:r w:rsidR="008202EE">
        <w:t>OC Manager</w:t>
      </w:r>
      <w:r>
        <w:t xml:space="preserve"> scheduled the AGM in December, well after automatic renewal had already occurred.</w:t>
      </w:r>
    </w:p>
    <w:p w:rsidR="00033604" w:rsidRDefault="00033604" w:rsidP="007007B8">
      <w:pPr>
        <w:pStyle w:val="ListNumber"/>
        <w:numPr>
          <w:ilvl w:val="0"/>
          <w:numId w:val="0"/>
        </w:numPr>
        <w:jc w:val="right"/>
      </w:pPr>
      <w:r w:rsidRPr="00033604">
        <w:rPr>
          <w:noProof/>
        </w:rPr>
        <w:drawing>
          <wp:inline distT="0" distB="0" distL="0" distR="0" wp14:anchorId="4691C1F5" wp14:editId="60CAA4DA">
            <wp:extent cx="5194852" cy="812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852" cy="812250"/>
                    </a:xfrm>
                    <a:prstGeom prst="rect">
                      <a:avLst/>
                    </a:prstGeom>
                    <a:noFill/>
                    <a:ln>
                      <a:noFill/>
                    </a:ln>
                  </pic:spPr>
                </pic:pic>
              </a:graphicData>
            </a:graphic>
          </wp:inline>
        </w:drawing>
      </w:r>
    </w:p>
    <w:p w:rsidR="007007B8" w:rsidRPr="00125DDD" w:rsidRDefault="007007B8" w:rsidP="007007B8">
      <w:pPr>
        <w:pStyle w:val="ListNumber"/>
        <w:numPr>
          <w:ilvl w:val="0"/>
          <w:numId w:val="0"/>
        </w:numPr>
        <w:ind w:left="426"/>
      </w:pPr>
      <w:r>
        <w:t>If automatic renewal is prohibited, the Act should provide for a short term rollover.</w:t>
      </w:r>
    </w:p>
    <w:p w:rsidR="00B21C73" w:rsidRPr="00120FE9" w:rsidRDefault="00AC3BFE" w:rsidP="00291486">
      <w:pPr>
        <w:pStyle w:val="ListNumber"/>
        <w:numPr>
          <w:ilvl w:val="0"/>
          <w:numId w:val="2"/>
        </w:numPr>
        <w:spacing w:before="200"/>
        <w:ind w:left="357" w:hanging="357"/>
        <w:rPr>
          <w:b/>
        </w:rPr>
      </w:pPr>
      <w:r w:rsidRPr="00120FE9">
        <w:rPr>
          <w:b/>
        </w:rPr>
        <w:lastRenderedPageBreak/>
        <w:t>Should the obligation under section 68 of the Owners Corporations Act be extended to developers who maintain control of an owners corporation by holding a majority of the lot entitlements?</w:t>
      </w:r>
    </w:p>
    <w:p w:rsidR="004779C1" w:rsidRDefault="00460C99" w:rsidP="005C2AE8">
      <w:pPr>
        <w:pStyle w:val="ListNumber"/>
        <w:numPr>
          <w:ilvl w:val="0"/>
          <w:numId w:val="0"/>
        </w:numPr>
        <w:ind w:left="426"/>
      </w:pPr>
      <w:r>
        <w:t>Yes.</w:t>
      </w:r>
    </w:p>
    <w:p w:rsidR="00017262" w:rsidRDefault="00017262" w:rsidP="00017262">
      <w:pPr>
        <w:pStyle w:val="Heading2"/>
      </w:pPr>
      <w:r>
        <w:t>Unfair terms of management contracts</w:t>
      </w:r>
    </w:p>
    <w:p w:rsidR="00AC3BFE" w:rsidRPr="00120FE9" w:rsidRDefault="00AC3BFE" w:rsidP="00291486">
      <w:pPr>
        <w:pStyle w:val="ListNumber"/>
        <w:numPr>
          <w:ilvl w:val="0"/>
          <w:numId w:val="2"/>
        </w:numPr>
        <w:spacing w:before="200"/>
        <w:ind w:left="357" w:hanging="357"/>
        <w:rPr>
          <w:b/>
        </w:rPr>
      </w:pPr>
      <w:r w:rsidRPr="00120FE9">
        <w:rPr>
          <w:b/>
        </w:rPr>
        <w:t xml:space="preserve">Should contract terms that require a step not required by the Owners Corporations Act be prohibited?  </w:t>
      </w:r>
    </w:p>
    <w:p w:rsidR="004779C1" w:rsidRDefault="00460C99" w:rsidP="005C2AE8">
      <w:pPr>
        <w:pStyle w:val="ListNumber"/>
        <w:numPr>
          <w:ilvl w:val="0"/>
          <w:numId w:val="0"/>
        </w:numPr>
        <w:ind w:left="426"/>
      </w:pPr>
      <w:r>
        <w:t>Yes.</w:t>
      </w:r>
    </w:p>
    <w:p w:rsidR="00AC3BFE" w:rsidRPr="00120FE9" w:rsidRDefault="00AC3BFE" w:rsidP="00291486">
      <w:pPr>
        <w:pStyle w:val="ListNumber"/>
        <w:numPr>
          <w:ilvl w:val="0"/>
          <w:numId w:val="2"/>
        </w:numPr>
        <w:spacing w:before="200"/>
        <w:ind w:left="357" w:hanging="357"/>
        <w:rPr>
          <w:b/>
        </w:rPr>
      </w:pPr>
      <w:r w:rsidRPr="00120FE9">
        <w:rPr>
          <w:b/>
        </w:rPr>
        <w:t xml:space="preserve">Should terms that limit an owners corporation’s ability to prevent an unwanted assignment of the management contract be prohibited?  </w:t>
      </w:r>
    </w:p>
    <w:p w:rsidR="00710061" w:rsidRDefault="00710061" w:rsidP="005C2AE8">
      <w:pPr>
        <w:pStyle w:val="ListNumber"/>
        <w:numPr>
          <w:ilvl w:val="0"/>
          <w:numId w:val="0"/>
        </w:numPr>
        <w:ind w:left="426"/>
      </w:pPr>
      <w:r>
        <w:t xml:space="preserve">Yes, such terms, as currently structured, should be prohibited, as they prevent the OC Committee from exercising its statutory duty of due care and diligence. However, the terms could be restructured to allow Committees to exercise these duties. </w:t>
      </w:r>
    </w:p>
    <w:p w:rsidR="00D42392" w:rsidRDefault="00D42392" w:rsidP="005C2AE8">
      <w:pPr>
        <w:pStyle w:val="ListNumber"/>
        <w:numPr>
          <w:ilvl w:val="0"/>
          <w:numId w:val="0"/>
        </w:numPr>
        <w:ind w:left="426"/>
      </w:pPr>
      <w:r>
        <w:t xml:space="preserve">The current SCA standard contract states that </w:t>
      </w:r>
      <w:r w:rsidRPr="00D42392">
        <w:t xml:space="preserve">the </w:t>
      </w:r>
      <w:r w:rsidR="006C7DEE">
        <w:t>OC</w:t>
      </w:r>
      <w:r w:rsidRPr="00D42392">
        <w:t xml:space="preserve"> must approve the assignment</w:t>
      </w:r>
      <w:r>
        <w:t xml:space="preserve"> if the assignee</w:t>
      </w:r>
    </w:p>
    <w:p w:rsidR="00D42392" w:rsidRDefault="00D42392" w:rsidP="00DC7D4B">
      <w:pPr>
        <w:pStyle w:val="ListNumber"/>
        <w:numPr>
          <w:ilvl w:val="0"/>
          <w:numId w:val="6"/>
        </w:numPr>
        <w:tabs>
          <w:tab w:val="left" w:pos="851"/>
        </w:tabs>
        <w:ind w:left="851"/>
      </w:pPr>
      <w:r w:rsidRPr="00D42392">
        <w:t>provides written evidence</w:t>
      </w:r>
      <w:r>
        <w:t xml:space="preserve"> </w:t>
      </w:r>
      <w:r w:rsidRPr="00D42392">
        <w:t xml:space="preserve">of registration as a </w:t>
      </w:r>
      <w:r w:rsidR="008202EE">
        <w:t>OC Manager</w:t>
      </w:r>
      <w:r w:rsidRPr="00D42392">
        <w:t xml:space="preserve"> pursuant to Part 12 of the Act</w:t>
      </w:r>
      <w:r>
        <w:t>,</w:t>
      </w:r>
      <w:r w:rsidRPr="00D42392">
        <w:t xml:space="preserve"> and</w:t>
      </w:r>
    </w:p>
    <w:p w:rsidR="004779C1" w:rsidRDefault="00D42392" w:rsidP="00DC7D4B">
      <w:pPr>
        <w:pStyle w:val="ListNumber"/>
        <w:numPr>
          <w:ilvl w:val="0"/>
          <w:numId w:val="6"/>
        </w:numPr>
        <w:tabs>
          <w:tab w:val="left" w:pos="851"/>
        </w:tabs>
        <w:ind w:left="851"/>
      </w:pPr>
      <w:r w:rsidRPr="00D42392">
        <w:t>is a current member in good standing</w:t>
      </w:r>
      <w:r>
        <w:t xml:space="preserve"> of SCA (Vic.)</w:t>
      </w:r>
    </w:p>
    <w:p w:rsidR="00D42392" w:rsidRDefault="00D42392" w:rsidP="005C2AE8">
      <w:pPr>
        <w:pStyle w:val="ListNumber"/>
        <w:numPr>
          <w:ilvl w:val="0"/>
          <w:numId w:val="0"/>
        </w:numPr>
        <w:ind w:left="426"/>
      </w:pPr>
      <w:r>
        <w:t xml:space="preserve">This </w:t>
      </w:r>
      <w:r w:rsidR="00F91707">
        <w:t xml:space="preserve">is inadequate, but </w:t>
      </w:r>
      <w:r>
        <w:t xml:space="preserve">could be extended to </w:t>
      </w:r>
      <w:r w:rsidR="008D0556">
        <w:t>require</w:t>
      </w:r>
      <w:r>
        <w:t xml:space="preserve"> the assignee </w:t>
      </w:r>
      <w:r w:rsidR="008D0556">
        <w:t xml:space="preserve">to provide </w:t>
      </w:r>
      <w:r w:rsidR="00B21C73">
        <w:t>adequate</w:t>
      </w:r>
      <w:r w:rsidR="00F91707">
        <w:t xml:space="preserve"> information</w:t>
      </w:r>
      <w:r w:rsidR="00B21C73">
        <w:t xml:space="preserve"> to allow the Committee to complete </w:t>
      </w:r>
      <w:r w:rsidR="0001270B">
        <w:t xml:space="preserve">reasonable </w:t>
      </w:r>
      <w:r w:rsidR="00B21C73">
        <w:t>due diligence</w:t>
      </w:r>
      <w:r w:rsidR="008D0556">
        <w:t xml:space="preserve">. For example, </w:t>
      </w:r>
    </w:p>
    <w:p w:rsidR="00D42392" w:rsidRDefault="00B21C73" w:rsidP="00DC7D4B">
      <w:pPr>
        <w:pStyle w:val="ListNumber"/>
        <w:numPr>
          <w:ilvl w:val="0"/>
          <w:numId w:val="6"/>
        </w:numPr>
        <w:tabs>
          <w:tab w:val="left" w:pos="851"/>
        </w:tabs>
        <w:ind w:left="851"/>
      </w:pPr>
      <w:r>
        <w:t xml:space="preserve">provision of </w:t>
      </w:r>
      <w:r w:rsidR="00D42392">
        <w:t xml:space="preserve">proof that the proposed assignee has </w:t>
      </w:r>
      <w:r>
        <w:t>adequate</w:t>
      </w:r>
      <w:r w:rsidR="00D42392">
        <w:t xml:space="preserve"> professional indemnity insurance</w:t>
      </w:r>
      <w:r>
        <w:t xml:space="preserve"> (</w:t>
      </w:r>
      <w:r w:rsidR="0001270B">
        <w:t xml:space="preserve">not just the prescribed amount - </w:t>
      </w:r>
      <w:r>
        <w:t xml:space="preserve">see </w:t>
      </w:r>
      <w:r w:rsidR="00710061" w:rsidRPr="00710061">
        <w:t>answer to Q.29</w:t>
      </w:r>
      <w:r w:rsidRPr="00710061">
        <w:t>),</w:t>
      </w:r>
    </w:p>
    <w:p w:rsidR="00D42392" w:rsidRDefault="00B21C73" w:rsidP="00DC7D4B">
      <w:pPr>
        <w:pStyle w:val="ListNumber"/>
        <w:numPr>
          <w:ilvl w:val="0"/>
          <w:numId w:val="6"/>
        </w:numPr>
        <w:tabs>
          <w:tab w:val="left" w:pos="851"/>
        </w:tabs>
        <w:ind w:left="851"/>
      </w:pPr>
      <w:r>
        <w:t>provision of audit</w:t>
      </w:r>
      <w:r w:rsidR="00F2363A">
        <w:t>ed</w:t>
      </w:r>
      <w:r>
        <w:t xml:space="preserve"> </w:t>
      </w:r>
      <w:r w:rsidR="00D42392">
        <w:t xml:space="preserve">financial </w:t>
      </w:r>
      <w:r>
        <w:t xml:space="preserve">accounts for the past 5 years </w:t>
      </w:r>
      <w:r w:rsidR="00F91707">
        <w:t>to</w:t>
      </w:r>
      <w:r w:rsidR="008D0556">
        <w:t xml:space="preserve"> </w:t>
      </w:r>
      <w:r w:rsidR="00F91707">
        <w:t xml:space="preserve">allow the Committee to </w:t>
      </w:r>
      <w:r>
        <w:t>confirm</w:t>
      </w:r>
      <w:r w:rsidR="008D0556">
        <w:t xml:space="preserve"> </w:t>
      </w:r>
      <w:r w:rsidR="00D42392">
        <w:t xml:space="preserve">that the assignee is </w:t>
      </w:r>
      <w:r w:rsidR="008D0556">
        <w:t xml:space="preserve">financially sound, </w:t>
      </w:r>
    </w:p>
    <w:p w:rsidR="00F2363A" w:rsidRDefault="00B21C73" w:rsidP="00DC7D4B">
      <w:pPr>
        <w:pStyle w:val="ListNumber"/>
        <w:numPr>
          <w:ilvl w:val="0"/>
          <w:numId w:val="6"/>
        </w:numPr>
        <w:tabs>
          <w:tab w:val="left" w:pos="851"/>
        </w:tabs>
        <w:ind w:left="851"/>
      </w:pPr>
      <w:r>
        <w:t xml:space="preserve">provision of </w:t>
      </w:r>
      <w:r w:rsidR="00F91707">
        <w:t xml:space="preserve">a list of clients so the </w:t>
      </w:r>
      <w:r w:rsidR="00F91707" w:rsidRPr="00B21C73">
        <w:t>Committee</w:t>
      </w:r>
      <w:r w:rsidR="00F91707">
        <w:t xml:space="preserve"> can complete </w:t>
      </w:r>
      <w:r>
        <w:t xml:space="preserve">some random </w:t>
      </w:r>
      <w:r w:rsidR="00F91707">
        <w:t xml:space="preserve">reference checks on the adequacy and quality of </w:t>
      </w:r>
      <w:r w:rsidR="008202EE">
        <w:t>OC Manager</w:t>
      </w:r>
      <w:r w:rsidR="00F91707">
        <w:t xml:space="preserve"> services provided,</w:t>
      </w:r>
    </w:p>
    <w:p w:rsidR="00F91707" w:rsidRDefault="00F2363A" w:rsidP="00DC7D4B">
      <w:pPr>
        <w:pStyle w:val="ListNumber"/>
        <w:numPr>
          <w:ilvl w:val="0"/>
          <w:numId w:val="6"/>
        </w:numPr>
        <w:tabs>
          <w:tab w:val="left" w:pos="851"/>
        </w:tabs>
        <w:ind w:left="851"/>
      </w:pPr>
      <w:r>
        <w:t xml:space="preserve">clarification of any proposed changes in the fees </w:t>
      </w:r>
      <w:r w:rsidR="00472928">
        <w:t xml:space="preserve">to be </w:t>
      </w:r>
      <w:r>
        <w:t xml:space="preserve">paid to the assignee (in comparison to the fees currently being paid to the incumbent </w:t>
      </w:r>
      <w:r w:rsidR="008202EE">
        <w:t>OC Manager</w:t>
      </w:r>
      <w:r>
        <w:t>),</w:t>
      </w:r>
      <w:r w:rsidR="00B21C73">
        <w:t xml:space="preserve"> and</w:t>
      </w:r>
    </w:p>
    <w:p w:rsidR="00B21C73" w:rsidRDefault="00B21C73" w:rsidP="00DC7D4B">
      <w:pPr>
        <w:pStyle w:val="ListNumber"/>
        <w:numPr>
          <w:ilvl w:val="0"/>
          <w:numId w:val="6"/>
        </w:numPr>
        <w:tabs>
          <w:tab w:val="left" w:pos="851"/>
        </w:tabs>
        <w:ind w:left="851"/>
      </w:pPr>
      <w:r>
        <w:t xml:space="preserve">provision of </w:t>
      </w:r>
      <w:r w:rsidR="00F2363A">
        <w:t xml:space="preserve">such </w:t>
      </w:r>
      <w:r>
        <w:t xml:space="preserve">other information </w:t>
      </w:r>
      <w:r w:rsidR="00F2363A">
        <w:t>as</w:t>
      </w:r>
      <w:r>
        <w:t xml:space="preserve"> the Committee </w:t>
      </w:r>
      <w:r w:rsidR="00472928">
        <w:t xml:space="preserve">may </w:t>
      </w:r>
      <w:r>
        <w:t>reasonably require for the completion of adequate due diligence</w:t>
      </w:r>
      <w:r w:rsidR="00F91707">
        <w:t>.</w:t>
      </w:r>
    </w:p>
    <w:p w:rsidR="00710061" w:rsidRDefault="00472928" w:rsidP="005C2AE8">
      <w:pPr>
        <w:pStyle w:val="ListNumber"/>
        <w:numPr>
          <w:ilvl w:val="0"/>
          <w:numId w:val="0"/>
        </w:numPr>
        <w:ind w:left="426"/>
      </w:pPr>
      <w:r>
        <w:t>If</w:t>
      </w:r>
      <w:r w:rsidR="00710061">
        <w:t xml:space="preserve"> </w:t>
      </w:r>
      <w:r>
        <w:t>due diligence has been completed and the outcomes are positive</w:t>
      </w:r>
      <w:r w:rsidR="00710061">
        <w:t xml:space="preserve">, the requirement that the Committee not unreasonably </w:t>
      </w:r>
      <w:r>
        <w:t xml:space="preserve">withhold consent to the assignment is reasonable, and in the interests of the </w:t>
      </w:r>
      <w:r w:rsidR="008202EE">
        <w:t>OC Manager</w:t>
      </w:r>
      <w:r>
        <w:t>, which should also be protected.</w:t>
      </w:r>
    </w:p>
    <w:p w:rsidR="00AC3BFE" w:rsidRPr="00120FE9" w:rsidRDefault="00AC3BFE" w:rsidP="00460C99">
      <w:pPr>
        <w:pStyle w:val="ListNumber"/>
        <w:keepNext/>
        <w:numPr>
          <w:ilvl w:val="0"/>
          <w:numId w:val="2"/>
        </w:numPr>
        <w:spacing w:before="200"/>
        <w:ind w:left="357" w:hanging="357"/>
        <w:rPr>
          <w:b/>
        </w:rPr>
      </w:pPr>
      <w:r w:rsidRPr="00120FE9">
        <w:rPr>
          <w:b/>
        </w:rPr>
        <w:lastRenderedPageBreak/>
        <w:t xml:space="preserve">If so, should an owners corporation be allowed to refuse consent to an assignment only on reasonable grounds?  Should it prima facie be unreasonable to refuse consent to an assignee who is of good standing with an approved body, for instance, Strata Community Australia (Victorian Division)? </w:t>
      </w:r>
    </w:p>
    <w:p w:rsidR="004779C1" w:rsidRDefault="009C272B" w:rsidP="005C2AE8">
      <w:pPr>
        <w:pStyle w:val="ListNumber"/>
        <w:numPr>
          <w:ilvl w:val="0"/>
          <w:numId w:val="0"/>
        </w:numPr>
        <w:ind w:left="426"/>
      </w:pPr>
      <w:r>
        <w:t xml:space="preserve">Yes, an </w:t>
      </w:r>
      <w:r w:rsidR="006C7DEE">
        <w:t>OC</w:t>
      </w:r>
      <w:r w:rsidRPr="009C272B">
        <w:t xml:space="preserve"> </w:t>
      </w:r>
      <w:r>
        <w:t xml:space="preserve">should only </w:t>
      </w:r>
      <w:r w:rsidRPr="009C272B">
        <w:t>be allowed to refuse consent to an assignment on reasonable grounds</w:t>
      </w:r>
      <w:r>
        <w:t>, but membership in</w:t>
      </w:r>
      <w:r w:rsidRPr="009C272B">
        <w:t xml:space="preserve"> good standing with Strata Community Australia (Vic)</w:t>
      </w:r>
      <w:r>
        <w:t xml:space="preserve"> is inadequate as a criterion</w:t>
      </w:r>
      <w:r w:rsidR="00460C99">
        <w:t xml:space="preserve"> </w:t>
      </w:r>
      <w:r>
        <w:t xml:space="preserve"> – see Answer to Q.9 above, which requires adequate due diligence to be completed on the proposed assignee.</w:t>
      </w:r>
      <w:r w:rsidR="00460C99">
        <w:t xml:space="preserve"> If the assignee fails to pass a due diligence test it should be regarded as reasonable grounds for refusing consent.</w:t>
      </w:r>
    </w:p>
    <w:p w:rsidR="00AC3BFE" w:rsidRPr="00120FE9" w:rsidRDefault="00AC3BFE" w:rsidP="00291486">
      <w:pPr>
        <w:pStyle w:val="ListNumber"/>
        <w:numPr>
          <w:ilvl w:val="0"/>
          <w:numId w:val="2"/>
        </w:numPr>
        <w:spacing w:before="200"/>
        <w:ind w:left="357" w:hanging="357"/>
        <w:rPr>
          <w:b/>
        </w:rPr>
      </w:pPr>
      <w:r w:rsidRPr="00120FE9">
        <w:rPr>
          <w:b/>
        </w:rPr>
        <w:t>Should terms that require an excessive period of notice for the early termination of a management contract be prohibited?  If so, what is a reasonable period of notice?</w:t>
      </w:r>
    </w:p>
    <w:p w:rsidR="004779C1" w:rsidRDefault="008E63D9" w:rsidP="005C2AE8">
      <w:pPr>
        <w:pStyle w:val="ListNumber"/>
        <w:numPr>
          <w:ilvl w:val="0"/>
          <w:numId w:val="0"/>
        </w:numPr>
        <w:ind w:left="426"/>
      </w:pPr>
      <w:r>
        <w:t>T</w:t>
      </w:r>
      <w:r w:rsidRPr="008E63D9">
        <w:t xml:space="preserve">erms that require an excessive period of notice for the early termination </w:t>
      </w:r>
      <w:r>
        <w:t>should</w:t>
      </w:r>
      <w:r w:rsidRPr="008E63D9">
        <w:t xml:space="preserve"> be prohibited</w:t>
      </w:r>
      <w:r w:rsidR="0098624D">
        <w:t>.</w:t>
      </w:r>
      <w:r w:rsidRPr="008E63D9">
        <w:t xml:space="preserve"> </w:t>
      </w:r>
      <w:r>
        <w:t>A reasonable period of notice is 28 days.</w:t>
      </w:r>
    </w:p>
    <w:p w:rsidR="00AC3BFE" w:rsidRPr="00120FE9" w:rsidRDefault="00AC3BFE" w:rsidP="00291486">
      <w:pPr>
        <w:pStyle w:val="ListNumber"/>
        <w:numPr>
          <w:ilvl w:val="0"/>
          <w:numId w:val="2"/>
        </w:numPr>
        <w:spacing w:before="200"/>
        <w:ind w:left="357" w:hanging="357"/>
        <w:rPr>
          <w:b/>
        </w:rPr>
      </w:pPr>
      <w:r w:rsidRPr="00120FE9">
        <w:rPr>
          <w:b/>
        </w:rPr>
        <w:t>Should terms that require a pre-determined amount to be paid to the manager on termination be prohibited?</w:t>
      </w:r>
    </w:p>
    <w:p w:rsidR="004779C1" w:rsidRDefault="008E63D9" w:rsidP="005C2AE8">
      <w:pPr>
        <w:pStyle w:val="ListNumber"/>
        <w:numPr>
          <w:ilvl w:val="0"/>
          <w:numId w:val="0"/>
        </w:numPr>
        <w:ind w:left="426"/>
      </w:pPr>
      <w:r>
        <w:t>They should only be prohibited where they are not a genuine pre-estimate of the loss or damage an OC Manager may suffer from early termination.</w:t>
      </w:r>
    </w:p>
    <w:p w:rsidR="00AC3BFE" w:rsidRPr="00120FE9" w:rsidRDefault="00AC3BFE" w:rsidP="00291486">
      <w:pPr>
        <w:pStyle w:val="ListNumber"/>
        <w:numPr>
          <w:ilvl w:val="0"/>
          <w:numId w:val="2"/>
        </w:numPr>
        <w:spacing w:before="200"/>
        <w:ind w:left="357" w:hanging="357"/>
        <w:rPr>
          <w:b/>
        </w:rPr>
      </w:pPr>
      <w:r w:rsidRPr="00120FE9">
        <w:rPr>
          <w:b/>
        </w:rPr>
        <w:t>Should the Victoria Civil and Administrative Tribunal have a clear power to deal with unfair terms in management contracts, that is, without the need to show that there is a dispute ‘relating to the exercise of a function by a manager’?</w:t>
      </w:r>
    </w:p>
    <w:p w:rsidR="004779C1" w:rsidRDefault="008E63D9" w:rsidP="005C2AE8">
      <w:pPr>
        <w:pStyle w:val="ListNumber"/>
        <w:numPr>
          <w:ilvl w:val="0"/>
          <w:numId w:val="0"/>
        </w:numPr>
        <w:ind w:left="426"/>
      </w:pPr>
      <w:r>
        <w:t>Yes.</w:t>
      </w:r>
    </w:p>
    <w:p w:rsidR="00BC66FA" w:rsidRPr="00BC66FA" w:rsidRDefault="00BC66FA" w:rsidP="004779C1">
      <w:pPr>
        <w:pStyle w:val="ListNumber"/>
        <w:numPr>
          <w:ilvl w:val="0"/>
          <w:numId w:val="0"/>
        </w:numPr>
        <w:rPr>
          <w:b/>
        </w:rPr>
      </w:pPr>
      <w:r w:rsidRPr="00BC66FA">
        <w:rPr>
          <w:b/>
        </w:rPr>
        <w:t>Other issues not covered by the questions above:</w:t>
      </w:r>
    </w:p>
    <w:p w:rsidR="000565C8" w:rsidRDefault="005F5338" w:rsidP="005C2AE8">
      <w:pPr>
        <w:pStyle w:val="ListNumber"/>
        <w:numPr>
          <w:ilvl w:val="0"/>
          <w:numId w:val="0"/>
        </w:numPr>
        <w:ind w:left="426"/>
      </w:pPr>
      <w:r>
        <w:t>In the context of repairs and maintenance, t</w:t>
      </w:r>
      <w:r w:rsidR="008E63D9">
        <w:t>h</w:t>
      </w:r>
      <w:r w:rsidR="00D73C15">
        <w:t xml:space="preserve">e standard SCA contract (clause 9.5.4) states that </w:t>
      </w:r>
      <w:r w:rsidR="000565C8">
        <w:t xml:space="preserve">the </w:t>
      </w:r>
      <w:r w:rsidR="006C7DEE">
        <w:t>OC</w:t>
      </w:r>
      <w:r w:rsidR="000565C8">
        <w:t xml:space="preserve"> is responsible for OHS Act compliance including</w:t>
      </w:r>
    </w:p>
    <w:p w:rsidR="000565C8" w:rsidRDefault="000565C8" w:rsidP="00DC7D4B">
      <w:pPr>
        <w:pStyle w:val="ListNumber"/>
        <w:numPr>
          <w:ilvl w:val="0"/>
          <w:numId w:val="6"/>
        </w:numPr>
        <w:tabs>
          <w:tab w:val="left" w:pos="851"/>
        </w:tabs>
        <w:ind w:left="851"/>
      </w:pPr>
      <w:r>
        <w:t>ensuring that persons employed/engaged comply with OHS Act, and any directions, manuals, policies or rules set by the OC,</w:t>
      </w:r>
    </w:p>
    <w:p w:rsidR="000565C8" w:rsidRDefault="000565C8" w:rsidP="00DC7D4B">
      <w:pPr>
        <w:pStyle w:val="ListNumber"/>
        <w:numPr>
          <w:ilvl w:val="0"/>
          <w:numId w:val="6"/>
        </w:numPr>
        <w:tabs>
          <w:tab w:val="left" w:pos="851"/>
        </w:tabs>
        <w:ind w:left="851"/>
      </w:pPr>
      <w:r>
        <w:t>assessing risks and hazards and eliminating them, or if they can’t be eliminated, controlling them, and</w:t>
      </w:r>
    </w:p>
    <w:p w:rsidR="000565C8" w:rsidRDefault="000565C8" w:rsidP="00DC7D4B">
      <w:pPr>
        <w:pStyle w:val="ListNumber"/>
        <w:numPr>
          <w:ilvl w:val="0"/>
          <w:numId w:val="6"/>
        </w:numPr>
        <w:tabs>
          <w:tab w:val="left" w:pos="851"/>
        </w:tabs>
        <w:ind w:left="851"/>
      </w:pPr>
      <w:r>
        <w:t>ensuring that all persons employed/engaged are appropriately qualified, trained and supervised.</w:t>
      </w:r>
    </w:p>
    <w:p w:rsidR="000565C8" w:rsidRDefault="000565C8" w:rsidP="005C2AE8">
      <w:pPr>
        <w:pStyle w:val="ListNumber"/>
        <w:numPr>
          <w:ilvl w:val="0"/>
          <w:numId w:val="0"/>
        </w:numPr>
        <w:ind w:left="426"/>
      </w:pPr>
      <w:r>
        <w:t xml:space="preserve">Clause 9.5.5. indemnifies the </w:t>
      </w:r>
      <w:r w:rsidR="008202EE">
        <w:t>OC Manager</w:t>
      </w:r>
      <w:r>
        <w:t xml:space="preserve"> against all claims for any loss or damage aris</w:t>
      </w:r>
      <w:r w:rsidR="0098624D">
        <w:t>ing</w:t>
      </w:r>
      <w:r>
        <w:t xml:space="preserve"> from any breach of the OHS Act.</w:t>
      </w:r>
    </w:p>
    <w:p w:rsidR="005F5338" w:rsidRDefault="000565C8" w:rsidP="005C2AE8">
      <w:pPr>
        <w:pStyle w:val="ListNumber"/>
        <w:numPr>
          <w:ilvl w:val="0"/>
          <w:numId w:val="0"/>
        </w:numPr>
        <w:ind w:left="426"/>
      </w:pPr>
      <w:r>
        <w:t xml:space="preserve">The </w:t>
      </w:r>
      <w:r w:rsidR="005F5338">
        <w:t xml:space="preserve">practical </w:t>
      </w:r>
      <w:r>
        <w:t xml:space="preserve">reality is that </w:t>
      </w:r>
      <w:r w:rsidR="005F5338">
        <w:t>our</w:t>
      </w:r>
      <w:r>
        <w:t xml:space="preserve"> </w:t>
      </w:r>
      <w:r w:rsidR="008202EE">
        <w:t>OC Manager</w:t>
      </w:r>
      <w:r>
        <w:t xml:space="preserve"> </w:t>
      </w:r>
    </w:p>
    <w:p w:rsidR="005F5338" w:rsidRDefault="005F5338" w:rsidP="00DC7D4B">
      <w:pPr>
        <w:pStyle w:val="ListNumber"/>
        <w:numPr>
          <w:ilvl w:val="0"/>
          <w:numId w:val="6"/>
        </w:numPr>
        <w:tabs>
          <w:tab w:val="left" w:pos="851"/>
        </w:tabs>
        <w:ind w:left="851"/>
      </w:pPr>
      <w:r>
        <w:t xml:space="preserve">prequalifies contractors as suitable to complete the works in question, </w:t>
      </w:r>
    </w:p>
    <w:p w:rsidR="005F5338" w:rsidRDefault="005F5338" w:rsidP="00DC7D4B">
      <w:pPr>
        <w:pStyle w:val="ListNumber"/>
        <w:numPr>
          <w:ilvl w:val="0"/>
          <w:numId w:val="6"/>
        </w:numPr>
        <w:tabs>
          <w:tab w:val="left" w:pos="851"/>
        </w:tabs>
        <w:ind w:left="851"/>
      </w:pPr>
      <w:r>
        <w:t xml:space="preserve">issues </w:t>
      </w:r>
      <w:r w:rsidR="0098624D">
        <w:t>specifications for</w:t>
      </w:r>
      <w:r>
        <w:t xml:space="preserve"> quoting (and as part of this should require contractors to perform a risk assessment/JSA/SWMS and include risk mitigation controls in their quotes), and</w:t>
      </w:r>
    </w:p>
    <w:p w:rsidR="005F5338" w:rsidRDefault="005F5338" w:rsidP="00DC7D4B">
      <w:pPr>
        <w:pStyle w:val="ListNumber"/>
        <w:numPr>
          <w:ilvl w:val="0"/>
          <w:numId w:val="6"/>
        </w:numPr>
        <w:tabs>
          <w:tab w:val="left" w:pos="851"/>
        </w:tabs>
        <w:ind w:left="851"/>
      </w:pPr>
      <w:r>
        <w:t xml:space="preserve">issues purchase orders to successful bidders (and as part of this should assess their OHS systems as well as </w:t>
      </w:r>
      <w:r w:rsidR="008E63D9">
        <w:t xml:space="preserve">the </w:t>
      </w:r>
      <w:r>
        <w:t>other characteristics of their bid.)</w:t>
      </w:r>
    </w:p>
    <w:p w:rsidR="008E0E99" w:rsidRDefault="008E63D9" w:rsidP="005C2AE8">
      <w:pPr>
        <w:pStyle w:val="ListNumber"/>
        <w:numPr>
          <w:ilvl w:val="0"/>
          <w:numId w:val="0"/>
        </w:numPr>
        <w:ind w:left="426"/>
      </w:pPr>
      <w:r>
        <w:lastRenderedPageBreak/>
        <w:t xml:space="preserve">The standard contract terms are unfair in that </w:t>
      </w:r>
    </w:p>
    <w:p w:rsidR="008E0E99" w:rsidRDefault="008E63D9" w:rsidP="00DC7D4B">
      <w:pPr>
        <w:pStyle w:val="ListNumber"/>
        <w:numPr>
          <w:ilvl w:val="0"/>
          <w:numId w:val="7"/>
        </w:numPr>
      </w:pPr>
      <w:r>
        <w:t xml:space="preserve">they do not reflect the </w:t>
      </w:r>
      <w:r w:rsidR="008E0E99">
        <w:t xml:space="preserve">practical </w:t>
      </w:r>
      <w:r>
        <w:t xml:space="preserve">reality </w:t>
      </w:r>
      <w:r w:rsidR="008E0E99">
        <w:t>of OC contractor management, and</w:t>
      </w:r>
    </w:p>
    <w:p w:rsidR="00BC66FA" w:rsidRDefault="008E0E99" w:rsidP="00DC7D4B">
      <w:pPr>
        <w:pStyle w:val="ListNumber"/>
        <w:numPr>
          <w:ilvl w:val="0"/>
          <w:numId w:val="7"/>
        </w:numPr>
      </w:pPr>
      <w:r>
        <w:t>r</w:t>
      </w:r>
      <w:r w:rsidR="005F5338">
        <w:t>equir</w:t>
      </w:r>
      <w:r>
        <w:t>e</w:t>
      </w:r>
      <w:r w:rsidR="005F5338">
        <w:t xml:space="preserve"> an indemnity </w:t>
      </w:r>
      <w:r>
        <w:t>which is</w:t>
      </w:r>
      <w:r w:rsidR="005F5338">
        <w:t xml:space="preserve"> demonstrably unfair</w:t>
      </w:r>
      <w:r>
        <w:t xml:space="preserve"> under the circumstances</w:t>
      </w:r>
      <w:r w:rsidR="005F5338">
        <w:t>.</w:t>
      </w:r>
    </w:p>
    <w:p w:rsidR="00017262" w:rsidRDefault="00017262" w:rsidP="00017262">
      <w:pPr>
        <w:pStyle w:val="Heading2"/>
      </w:pPr>
      <w:r>
        <w:t>Managers’ fees</w:t>
      </w:r>
    </w:p>
    <w:p w:rsidR="00AC3BFE" w:rsidRPr="00120FE9" w:rsidRDefault="00AC3BFE" w:rsidP="00291486">
      <w:pPr>
        <w:pStyle w:val="ListNumber"/>
        <w:numPr>
          <w:ilvl w:val="0"/>
          <w:numId w:val="2"/>
        </w:numPr>
        <w:spacing w:before="200"/>
        <w:ind w:left="357" w:hanging="357"/>
        <w:rPr>
          <w:b/>
        </w:rPr>
      </w:pPr>
      <w:r w:rsidRPr="00120FE9">
        <w:rPr>
          <w:b/>
        </w:rPr>
        <w:t>Is the problem of owners corporations entering into management contracts with excessive fees sufficiently addressed by appropriate controls on the length of management contracts?</w:t>
      </w:r>
    </w:p>
    <w:p w:rsidR="004779C1" w:rsidRPr="008A3532" w:rsidRDefault="00FF64BB" w:rsidP="005C2AE8">
      <w:pPr>
        <w:pStyle w:val="ListNumber"/>
        <w:numPr>
          <w:ilvl w:val="0"/>
          <w:numId w:val="0"/>
        </w:numPr>
        <w:ind w:left="426"/>
      </w:pPr>
      <w:r>
        <w:t>No, the problem goes beyond controls on the length of management contracts</w:t>
      </w:r>
      <w:r w:rsidR="008E0E99">
        <w:t>. It includes the issue of automatic renewal</w:t>
      </w:r>
      <w:r>
        <w:t xml:space="preserve"> (see answer to Q.6.)</w:t>
      </w:r>
    </w:p>
    <w:p w:rsidR="00AC3BFE" w:rsidRPr="00120FE9" w:rsidRDefault="00AC3BFE" w:rsidP="00291486">
      <w:pPr>
        <w:pStyle w:val="ListNumber"/>
        <w:numPr>
          <w:ilvl w:val="0"/>
          <w:numId w:val="2"/>
        </w:numPr>
        <w:spacing w:before="200"/>
        <w:ind w:left="357" w:hanging="357"/>
        <w:rPr>
          <w:b/>
        </w:rPr>
      </w:pPr>
      <w:r w:rsidRPr="00120FE9">
        <w:rPr>
          <w:b/>
        </w:rPr>
        <w:t xml:space="preserve">If no, should an owners corporation be required to obtain at least two quotations before entering into a management contract? </w:t>
      </w:r>
    </w:p>
    <w:p w:rsidR="008E0E99" w:rsidRDefault="00FF64BB" w:rsidP="005C2AE8">
      <w:pPr>
        <w:pStyle w:val="ListNumber"/>
        <w:numPr>
          <w:ilvl w:val="0"/>
          <w:numId w:val="0"/>
        </w:numPr>
        <w:ind w:left="426"/>
      </w:pPr>
      <w:r>
        <w:t xml:space="preserve">Yes. </w:t>
      </w:r>
      <w:r w:rsidR="008E0E99">
        <w:t>However, t</w:t>
      </w:r>
      <w:r>
        <w:t xml:space="preserve">his will not be a complete solution, as </w:t>
      </w:r>
    </w:p>
    <w:p w:rsidR="008E0E99" w:rsidRDefault="00FF64BB" w:rsidP="00DC7D4B">
      <w:pPr>
        <w:pStyle w:val="ListNumber"/>
        <w:numPr>
          <w:ilvl w:val="0"/>
          <w:numId w:val="8"/>
        </w:numPr>
      </w:pPr>
      <w:r>
        <w:t>explicit or implicit collusion between bidders is possible (even if it is not permitted by law)</w:t>
      </w:r>
      <w:r w:rsidR="008E0E99">
        <w:t>,</w:t>
      </w:r>
    </w:p>
    <w:p w:rsidR="008E0E99" w:rsidRDefault="008E0E99" w:rsidP="00DC7D4B">
      <w:pPr>
        <w:pStyle w:val="ListNumber"/>
        <w:numPr>
          <w:ilvl w:val="0"/>
          <w:numId w:val="8"/>
        </w:numPr>
      </w:pPr>
      <w:r>
        <w:t>OC Committees may not have the skills and competencies to effectively manage a tender process, and</w:t>
      </w:r>
    </w:p>
    <w:p w:rsidR="00FF64BB" w:rsidRDefault="008E0E99" w:rsidP="00DC7D4B">
      <w:pPr>
        <w:pStyle w:val="ListNumber"/>
        <w:numPr>
          <w:ilvl w:val="0"/>
          <w:numId w:val="8"/>
        </w:numPr>
      </w:pPr>
      <w:r>
        <w:t>i</w:t>
      </w:r>
      <w:r w:rsidR="00FF64BB">
        <w:t xml:space="preserve">n </w:t>
      </w:r>
      <w:r>
        <w:t xml:space="preserve">cases where OC </w:t>
      </w:r>
      <w:r w:rsidR="00FF64BB">
        <w:t xml:space="preserve">Committees are totally reliant on the </w:t>
      </w:r>
      <w:r>
        <w:t xml:space="preserve">OC </w:t>
      </w:r>
      <w:r w:rsidR="00FF64BB">
        <w:t xml:space="preserve">Manager, there would be significant concerns about any </w:t>
      </w:r>
      <w:r>
        <w:t>quotation</w:t>
      </w:r>
      <w:r w:rsidR="00FF64BB">
        <w:t xml:space="preserve"> process being conducted by the incumbent </w:t>
      </w:r>
      <w:r w:rsidR="008202EE">
        <w:t>OC Manager</w:t>
      </w:r>
      <w:r w:rsidR="00FF64BB">
        <w:t xml:space="preserve">. </w:t>
      </w:r>
    </w:p>
    <w:p w:rsidR="004779C1" w:rsidRDefault="00FF64BB" w:rsidP="005C2AE8">
      <w:pPr>
        <w:pStyle w:val="ListNumber"/>
        <w:numPr>
          <w:ilvl w:val="0"/>
          <w:numId w:val="0"/>
        </w:numPr>
        <w:ind w:left="426"/>
      </w:pPr>
      <w:r>
        <w:t xml:space="preserve">Nevertheless the requirement for two quotations </w:t>
      </w:r>
    </w:p>
    <w:p w:rsidR="00FF64BB" w:rsidRDefault="00FF64BB" w:rsidP="00DC7D4B">
      <w:pPr>
        <w:pStyle w:val="ListNumber"/>
        <w:numPr>
          <w:ilvl w:val="0"/>
          <w:numId w:val="8"/>
        </w:numPr>
      </w:pPr>
      <w:r>
        <w:t xml:space="preserve">will force </w:t>
      </w:r>
      <w:r w:rsidR="00B90D65">
        <w:t xml:space="preserve">OC </w:t>
      </w:r>
      <w:r>
        <w:t xml:space="preserve">Committees to define their </w:t>
      </w:r>
      <w:r w:rsidR="00405D80">
        <w:t>service</w:t>
      </w:r>
      <w:r>
        <w:t xml:space="preserve"> requirements sufficiently to support the tender, which is desirable in itself, and</w:t>
      </w:r>
    </w:p>
    <w:p w:rsidR="00FF64BB" w:rsidRPr="008A3532" w:rsidRDefault="00FF64BB" w:rsidP="00DC7D4B">
      <w:pPr>
        <w:pStyle w:val="ListNumber"/>
        <w:numPr>
          <w:ilvl w:val="0"/>
          <w:numId w:val="8"/>
        </w:numPr>
      </w:pPr>
      <w:r>
        <w:t>may result in a more competitive OC Manager industry.</w:t>
      </w:r>
    </w:p>
    <w:p w:rsidR="00AC3BFE" w:rsidRPr="00120FE9" w:rsidRDefault="00AC3BFE" w:rsidP="00291486">
      <w:pPr>
        <w:pStyle w:val="ListNumber"/>
        <w:numPr>
          <w:ilvl w:val="0"/>
          <w:numId w:val="2"/>
        </w:numPr>
        <w:spacing w:before="200"/>
        <w:ind w:left="357" w:hanging="357"/>
        <w:rPr>
          <w:b/>
        </w:rPr>
      </w:pPr>
      <w:r w:rsidRPr="00120FE9">
        <w:rPr>
          <w:b/>
        </w:rPr>
        <w:t>If so, should that only be if the cost of the engagement exceeds a pre-determined spending limit, in default, a limit set by the Act?  If so, what should that statutory limit or formula be (for example, multiplying the number of lots by a certain dollar value)?</w:t>
      </w:r>
    </w:p>
    <w:p w:rsidR="004779C1" w:rsidRDefault="00B90D65" w:rsidP="005C2AE8">
      <w:pPr>
        <w:pStyle w:val="ListNumber"/>
        <w:numPr>
          <w:ilvl w:val="0"/>
          <w:numId w:val="0"/>
        </w:numPr>
        <w:ind w:left="426"/>
      </w:pPr>
      <w:r>
        <w:t xml:space="preserve">I think setting dollar limits will be problematic, whether by limit or by formula. A </w:t>
      </w:r>
      <w:r w:rsidR="00201FC7">
        <w:t>simpler</w:t>
      </w:r>
      <w:r>
        <w:t xml:space="preserve"> alternative may be to </w:t>
      </w:r>
      <w:r w:rsidR="00F513BE">
        <w:t>make i</w:t>
      </w:r>
      <w:r w:rsidR="00993187">
        <w:t>t</w:t>
      </w:r>
      <w:r w:rsidR="00F513BE">
        <w:t xml:space="preserve"> mandatory for</w:t>
      </w:r>
      <w:r>
        <w:t xml:space="preserve"> </w:t>
      </w:r>
      <w:r w:rsidR="00201FC7">
        <w:t>p</w:t>
      </w:r>
      <w:r>
        <w:t xml:space="preserve">rescribed OCs to obtain </w:t>
      </w:r>
      <w:r w:rsidR="00F513BE">
        <w:t>at least two quotes, and recommended for smaller OCs.</w:t>
      </w:r>
    </w:p>
    <w:p w:rsidR="00AC3BFE" w:rsidRPr="00120FE9" w:rsidRDefault="00AC3BFE" w:rsidP="00291486">
      <w:pPr>
        <w:pStyle w:val="ListNumber"/>
        <w:numPr>
          <w:ilvl w:val="0"/>
          <w:numId w:val="2"/>
        </w:numPr>
        <w:spacing w:before="200"/>
        <w:ind w:left="357" w:hanging="357"/>
        <w:rPr>
          <w:b/>
        </w:rPr>
      </w:pPr>
      <w:r w:rsidRPr="00120FE9">
        <w:rPr>
          <w:b/>
        </w:rPr>
        <w:t>Should Consumer Affairs Victoria have the power to investigate excessive commissions, as per the Estate Agents Act?</w:t>
      </w:r>
    </w:p>
    <w:p w:rsidR="00D72B87" w:rsidRPr="00291486" w:rsidRDefault="003C20A1" w:rsidP="005C2AE8">
      <w:pPr>
        <w:pStyle w:val="ListNumber"/>
        <w:numPr>
          <w:ilvl w:val="0"/>
          <w:numId w:val="0"/>
        </w:numPr>
        <w:ind w:left="426"/>
      </w:pPr>
      <w:r>
        <w:t>Yes, CAV should</w:t>
      </w:r>
      <w:r w:rsidRPr="003C20A1">
        <w:t xml:space="preserve"> have the power to investigate excessive commissions, as per the Estate Agents Act</w:t>
      </w:r>
      <w:r>
        <w:t xml:space="preserve">. </w:t>
      </w:r>
      <w:r w:rsidR="00D72B87">
        <w:t xml:space="preserve">This should include excessive outgoings. </w:t>
      </w:r>
      <w:r w:rsidR="00497380">
        <w:t xml:space="preserve">For example, the standard SCA </w:t>
      </w:r>
      <w:r w:rsidR="00497380" w:rsidRPr="005C2AE8">
        <w:t>Contract of Appointment</w:t>
      </w:r>
      <w:r w:rsidR="00497380">
        <w:t xml:space="preserve"> states that “…</w:t>
      </w:r>
      <w:r w:rsidR="00497380" w:rsidRPr="00497380">
        <w:t>if the insurance commission is less than 15% of the premium paid by the Owners Corporation</w:t>
      </w:r>
      <w:r w:rsidR="00497380">
        <w:t>,</w:t>
      </w:r>
      <w:r w:rsidR="00497380" w:rsidRPr="00497380">
        <w:t xml:space="preserve"> the Owners Corporation will pay to the </w:t>
      </w:r>
      <w:r w:rsidR="008202EE">
        <w:t>OC Manager</w:t>
      </w:r>
      <w:r w:rsidR="00497380" w:rsidRPr="00497380">
        <w:t xml:space="preserve"> a fee being the difference between the commission </w:t>
      </w:r>
      <w:r w:rsidR="00497380">
        <w:t>received and 15% of the premium.” This type of contr</w:t>
      </w:r>
      <w:r w:rsidR="00710061">
        <w:t>a</w:t>
      </w:r>
      <w:r w:rsidR="00497380">
        <w:t xml:space="preserve">ct structure may mean that </w:t>
      </w:r>
      <w:r w:rsidR="00D72B87">
        <w:t>a</w:t>
      </w:r>
      <w:r w:rsidR="00497380">
        <w:t xml:space="preserve"> commission itself may </w:t>
      </w:r>
      <w:r w:rsidR="00497380">
        <w:lastRenderedPageBreak/>
        <w:t xml:space="preserve">not be excessive, but the resulting </w:t>
      </w:r>
      <w:r w:rsidR="00D72B87">
        <w:t xml:space="preserve">total </w:t>
      </w:r>
      <w:r w:rsidR="00497380">
        <w:t xml:space="preserve">amount paid to the </w:t>
      </w:r>
      <w:r w:rsidR="008202EE">
        <w:t>OC Manager</w:t>
      </w:r>
      <w:r w:rsidR="00497380">
        <w:t xml:space="preserve"> may be excessive.</w:t>
      </w:r>
    </w:p>
    <w:p w:rsidR="00017262" w:rsidRDefault="00017262" w:rsidP="00017262">
      <w:pPr>
        <w:pStyle w:val="Heading2"/>
      </w:pPr>
      <w:r>
        <w:t>Managers’ conflicts of interest</w:t>
      </w:r>
    </w:p>
    <w:p w:rsidR="00FA0C3B" w:rsidRDefault="00FA0C3B" w:rsidP="005C2AE8">
      <w:pPr>
        <w:pStyle w:val="ListNumber"/>
        <w:numPr>
          <w:ilvl w:val="0"/>
          <w:numId w:val="0"/>
        </w:numPr>
        <w:ind w:left="426"/>
      </w:pPr>
      <w:r>
        <w:t xml:space="preserve">The relationships between the </w:t>
      </w:r>
      <w:r w:rsidR="008202EE">
        <w:t>OC Manager</w:t>
      </w:r>
      <w:r>
        <w:t xml:space="preserve"> and its related entities for </w:t>
      </w:r>
      <w:r w:rsidR="00710061">
        <w:t>my</w:t>
      </w:r>
      <w:r>
        <w:t xml:space="preserve"> </w:t>
      </w:r>
      <w:r w:rsidR="006C7DEE">
        <w:t>OC</w:t>
      </w:r>
      <w:r>
        <w:t xml:space="preserve"> is summarised below:</w:t>
      </w:r>
    </w:p>
    <w:p w:rsidR="00FA0C3B" w:rsidRDefault="009F2238" w:rsidP="00D72B87">
      <w:pPr>
        <w:jc w:val="right"/>
      </w:pPr>
      <w:r w:rsidRPr="009F2238">
        <w:rPr>
          <w:noProof/>
          <w:lang w:eastAsia="en-AU"/>
        </w:rPr>
        <w:drawing>
          <wp:inline distT="0" distB="0" distL="0" distR="0" wp14:anchorId="3DC9045F" wp14:editId="63B984CE">
            <wp:extent cx="5413083" cy="291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3437" cy="2916591"/>
                    </a:xfrm>
                    <a:prstGeom prst="rect">
                      <a:avLst/>
                    </a:prstGeom>
                    <a:noFill/>
                    <a:ln>
                      <a:noFill/>
                    </a:ln>
                  </pic:spPr>
                </pic:pic>
              </a:graphicData>
            </a:graphic>
          </wp:inline>
        </w:drawing>
      </w:r>
    </w:p>
    <w:p w:rsidR="006E7074" w:rsidRDefault="00D72B87" w:rsidP="005C2AE8">
      <w:pPr>
        <w:pStyle w:val="ListNumber"/>
        <w:numPr>
          <w:ilvl w:val="0"/>
          <w:numId w:val="0"/>
        </w:numPr>
        <w:ind w:left="426"/>
      </w:pPr>
      <w:r>
        <w:t xml:space="preserve">In this context, there are clear conflicts of interest embedded in the standard SCA (Vic) contract, as described in </w:t>
      </w:r>
    </w:p>
    <w:p w:rsidR="006E7074" w:rsidRDefault="00D72B87" w:rsidP="006E7074">
      <w:pPr>
        <w:pStyle w:val="ListNumber"/>
        <w:numPr>
          <w:ilvl w:val="0"/>
          <w:numId w:val="6"/>
        </w:numPr>
        <w:tabs>
          <w:tab w:val="left" w:pos="851"/>
        </w:tabs>
        <w:ind w:left="851"/>
      </w:pPr>
      <w:r>
        <w:t>the answer to Q.17</w:t>
      </w:r>
      <w:r w:rsidR="006E7074">
        <w:t>, which</w:t>
      </w:r>
      <w:r>
        <w:t xml:space="preserve"> effectively makes the OC liable for the poor insurance negotiating skills of the </w:t>
      </w:r>
      <w:r w:rsidR="0098624D">
        <w:t>insurance company</w:t>
      </w:r>
      <w:r w:rsidR="006E7074">
        <w:t xml:space="preserve">, and </w:t>
      </w:r>
    </w:p>
    <w:p w:rsidR="00D72B87" w:rsidRDefault="006E7074" w:rsidP="006E7074">
      <w:pPr>
        <w:pStyle w:val="ListNumber"/>
        <w:numPr>
          <w:ilvl w:val="0"/>
          <w:numId w:val="6"/>
        </w:numPr>
        <w:tabs>
          <w:tab w:val="left" w:pos="851"/>
        </w:tabs>
        <w:ind w:left="851"/>
      </w:pPr>
      <w:r>
        <w:t>in the OHS comments after the answer to Q.13 above, which makes the OC liable for an</w:t>
      </w:r>
      <w:r w:rsidR="00690402">
        <w:t>y</w:t>
      </w:r>
      <w:r>
        <w:t xml:space="preserve"> deficiencies in the OC Manager’s contractor management.</w:t>
      </w:r>
    </w:p>
    <w:p w:rsidR="009F2238" w:rsidRDefault="00D72B87" w:rsidP="005C2AE8">
      <w:pPr>
        <w:pStyle w:val="ListNumber"/>
        <w:numPr>
          <w:ilvl w:val="0"/>
          <w:numId w:val="0"/>
        </w:numPr>
        <w:ind w:left="426"/>
      </w:pPr>
      <w:r>
        <w:t>An e</w:t>
      </w:r>
      <w:r w:rsidR="009F2238">
        <w:t xml:space="preserve">xample of the </w:t>
      </w:r>
      <w:r>
        <w:t xml:space="preserve">other </w:t>
      </w:r>
      <w:r w:rsidR="009F2238">
        <w:t xml:space="preserve">kinds of issues that can arise from </w:t>
      </w:r>
      <w:r>
        <w:t xml:space="preserve">this </w:t>
      </w:r>
      <w:r w:rsidR="009F2238">
        <w:t>structure</w:t>
      </w:r>
      <w:r>
        <w:t xml:space="preserve"> is</w:t>
      </w:r>
      <w:r w:rsidR="009F2238">
        <w:t>:</w:t>
      </w:r>
    </w:p>
    <w:p w:rsidR="00A43003" w:rsidRDefault="009F2238" w:rsidP="00DC7D4B">
      <w:pPr>
        <w:pStyle w:val="ListNumber"/>
        <w:numPr>
          <w:ilvl w:val="0"/>
          <w:numId w:val="6"/>
        </w:numPr>
        <w:tabs>
          <w:tab w:val="left" w:pos="851"/>
        </w:tabs>
        <w:ind w:left="851"/>
      </w:pPr>
      <w:r>
        <w:t xml:space="preserve">We have a live in Building Manager who resides in an apartment leased by the </w:t>
      </w:r>
      <w:r w:rsidR="006C7DEE">
        <w:t>OC</w:t>
      </w:r>
      <w:r>
        <w:t xml:space="preserve">. The real estate agency </w:t>
      </w:r>
      <w:r w:rsidR="00012F39">
        <w:t xml:space="preserve">shown above </w:t>
      </w:r>
      <w:r>
        <w:t xml:space="preserve">is the managing agent for the overseas owners of this apartment. The lease renewal for the apartment was being routinely executed by the property company dealing with itself i.e. the real estate agency was executing </w:t>
      </w:r>
      <w:r w:rsidR="00012F39">
        <w:t xml:space="preserve">it </w:t>
      </w:r>
      <w:r>
        <w:t xml:space="preserve">on behalf of the owner, and the OC Manager </w:t>
      </w:r>
      <w:r w:rsidR="00012F39">
        <w:t xml:space="preserve">was executing it </w:t>
      </w:r>
      <w:r>
        <w:t xml:space="preserve">on behalf of the </w:t>
      </w:r>
      <w:r w:rsidR="006C7DEE">
        <w:t>OC</w:t>
      </w:r>
      <w:r>
        <w:t>.</w:t>
      </w:r>
      <w:r w:rsidR="00012F39">
        <w:t xml:space="preserve"> There is no record in the Committee Minutes from previous years indicating any discussion or involvement of the Committee in this transaction. A recent review of the terms and conditions of the lease revealed </w:t>
      </w:r>
      <w:r w:rsidR="00150822">
        <w:t>a number of</w:t>
      </w:r>
      <w:r w:rsidR="00012F39">
        <w:t xml:space="preserve"> problems, </w:t>
      </w:r>
      <w:r w:rsidR="005B6424">
        <w:t>most of which have now been corrected.</w:t>
      </w:r>
    </w:p>
    <w:p w:rsidR="005B6424" w:rsidRDefault="00A43003" w:rsidP="005C2AE8">
      <w:pPr>
        <w:pStyle w:val="ListNumber"/>
        <w:numPr>
          <w:ilvl w:val="0"/>
          <w:numId w:val="0"/>
        </w:numPr>
        <w:ind w:left="426"/>
      </w:pPr>
      <w:r>
        <w:t>Conflicts of interest can arise from other structural problems:</w:t>
      </w:r>
    </w:p>
    <w:p w:rsidR="00A43003" w:rsidRDefault="00A43003" w:rsidP="00DC7D4B">
      <w:pPr>
        <w:pStyle w:val="ListNumber"/>
        <w:numPr>
          <w:ilvl w:val="0"/>
          <w:numId w:val="6"/>
        </w:numPr>
        <w:tabs>
          <w:tab w:val="left" w:pos="851"/>
        </w:tabs>
        <w:ind w:left="851"/>
      </w:pPr>
      <w:r>
        <w:t xml:space="preserve">Most Committee members work full time, and the knowledge requirements for Committee participation are significant, including management of cleaning, maintenance, security, complaints/ disputes, OH&amp;S, contractors, insurance, property (including building integrity), facilities and services, compliance , fire protection, contracts negotiation, records (including registers and certificates), and </w:t>
      </w:r>
      <w:r>
        <w:lastRenderedPageBreak/>
        <w:t>much, much more. As a result, Committee members tend to look to those with knowledge</w:t>
      </w:r>
      <w:r w:rsidR="00D61378">
        <w:t xml:space="preserve">, particularly the </w:t>
      </w:r>
      <w:r w:rsidR="008202EE">
        <w:t>OC Manager</w:t>
      </w:r>
      <w:r w:rsidR="00D61378">
        <w:t xml:space="preserve">, and in many cases the </w:t>
      </w:r>
      <w:r w:rsidR="008202EE">
        <w:t>OC Manager</w:t>
      </w:r>
      <w:r>
        <w:t xml:space="preserve"> controls </w:t>
      </w:r>
      <w:r w:rsidR="00D61378">
        <w:t xml:space="preserve">the Committee </w:t>
      </w:r>
      <w:r>
        <w:t>agenda, chairs meetings, acts as Secretary etc.</w:t>
      </w:r>
      <w:r w:rsidR="00D61378">
        <w:t>, etc. This means that OC g</w:t>
      </w:r>
      <w:r>
        <w:t xml:space="preserve">overnance </w:t>
      </w:r>
      <w:r w:rsidR="00D61378">
        <w:t xml:space="preserve">is </w:t>
      </w:r>
      <w:r>
        <w:t>up-side down</w:t>
      </w:r>
      <w:r w:rsidR="00D61378">
        <w:t xml:space="preserve">, as the </w:t>
      </w:r>
      <w:r>
        <w:t xml:space="preserve">Committee should manage </w:t>
      </w:r>
      <w:r w:rsidR="00D61378">
        <w:t xml:space="preserve">the </w:t>
      </w:r>
      <w:r w:rsidR="008202EE">
        <w:t>OC Manager</w:t>
      </w:r>
      <w:r w:rsidR="00D61378">
        <w:t>. In this context, a</w:t>
      </w:r>
      <w:r w:rsidR="0098624D">
        <w:t>n</w:t>
      </w:r>
      <w:r w:rsidR="00D61378">
        <w:t xml:space="preserve"> </w:t>
      </w:r>
      <w:r w:rsidR="008202EE">
        <w:t>OC Manager</w:t>
      </w:r>
      <w:r>
        <w:t xml:space="preserve"> has</w:t>
      </w:r>
      <w:r w:rsidR="00D61378">
        <w:t xml:space="preserve"> </w:t>
      </w:r>
      <w:r w:rsidR="0098624D">
        <w:t xml:space="preserve">an </w:t>
      </w:r>
      <w:r w:rsidR="00D61378">
        <w:t xml:space="preserve">inherent conflict of interest, as typically most of their fees are </w:t>
      </w:r>
      <w:r>
        <w:t xml:space="preserve">fixed </w:t>
      </w:r>
      <w:r w:rsidR="00D61378">
        <w:t>(although some services may be paid by transaction)</w:t>
      </w:r>
      <w:r>
        <w:t xml:space="preserve"> </w:t>
      </w:r>
      <w:r w:rsidR="00D61378">
        <w:t xml:space="preserve">and they may </w:t>
      </w:r>
      <w:r>
        <w:t xml:space="preserve">increase </w:t>
      </w:r>
      <w:r w:rsidR="00D61378">
        <w:t xml:space="preserve">their </w:t>
      </w:r>
      <w:r>
        <w:t>profits by minimising issues/costs</w:t>
      </w:r>
      <w:r w:rsidR="00D61378">
        <w:t>.</w:t>
      </w:r>
    </w:p>
    <w:p w:rsidR="00531D81" w:rsidRDefault="00531D81" w:rsidP="00DC7D4B">
      <w:pPr>
        <w:pStyle w:val="ListNumber"/>
        <w:numPr>
          <w:ilvl w:val="0"/>
          <w:numId w:val="6"/>
        </w:numPr>
        <w:tabs>
          <w:tab w:val="left" w:pos="851"/>
        </w:tabs>
        <w:ind w:left="851"/>
      </w:pPr>
      <w:r>
        <w:t xml:space="preserve">Our OC Manager </w:t>
      </w:r>
      <w:r w:rsidR="0014249D">
        <w:t xml:space="preserve">recently </w:t>
      </w:r>
      <w:r>
        <w:t>negotiated the use of an external package of services including OC management software, OC payment services, and OC cash management services. While the exact nature of any conflicts of interest arising are still unclear, the supplier of the services has declared that</w:t>
      </w:r>
    </w:p>
    <w:p w:rsidR="00531D81" w:rsidRDefault="00155E7B" w:rsidP="00DC7D4B">
      <w:pPr>
        <w:pStyle w:val="ListNumber"/>
        <w:numPr>
          <w:ilvl w:val="1"/>
          <w:numId w:val="6"/>
        </w:numPr>
        <w:tabs>
          <w:tab w:val="left" w:pos="1276"/>
        </w:tabs>
        <w:ind w:left="1276"/>
      </w:pPr>
      <w:r>
        <w:t>the OC manager</w:t>
      </w:r>
      <w:r w:rsidR="00531D81">
        <w:t xml:space="preserve"> receives commission on certain OC transactions, and interest up to the RBA Cash rate from </w:t>
      </w:r>
      <w:r w:rsidR="0014249D">
        <w:t xml:space="preserve">some </w:t>
      </w:r>
      <w:r w:rsidR="00531D81">
        <w:t>accounts opened for the OC, and</w:t>
      </w:r>
    </w:p>
    <w:p w:rsidR="00531D81" w:rsidRDefault="00531D81" w:rsidP="00DC7D4B">
      <w:pPr>
        <w:pStyle w:val="ListNumber"/>
        <w:numPr>
          <w:ilvl w:val="1"/>
          <w:numId w:val="6"/>
        </w:numPr>
        <w:tabs>
          <w:tab w:val="left" w:pos="1276"/>
        </w:tabs>
        <w:ind w:left="1276"/>
      </w:pPr>
      <w:r>
        <w:t>depending on the amount of commissions and interest received, it offers software discounts to the related OC Manager.</w:t>
      </w:r>
    </w:p>
    <w:p w:rsidR="00AC3BFE" w:rsidRPr="00120FE9" w:rsidRDefault="00AC3BFE" w:rsidP="00291486">
      <w:pPr>
        <w:pStyle w:val="ListNumber"/>
        <w:numPr>
          <w:ilvl w:val="0"/>
          <w:numId w:val="2"/>
        </w:numPr>
        <w:spacing w:before="200"/>
        <w:ind w:left="357" w:hanging="357"/>
        <w:rPr>
          <w:b/>
        </w:rPr>
      </w:pPr>
      <w:r w:rsidRPr="00120FE9">
        <w:rPr>
          <w:b/>
        </w:rPr>
        <w:t>Is the power of the Victorian Civil and Administrative Tribunal, together with the existing obligations under the Owners Corporations Act, sufficient to deal with any problem?</w:t>
      </w:r>
    </w:p>
    <w:p w:rsidR="004779C1" w:rsidRPr="008A3532" w:rsidRDefault="006A5EF1" w:rsidP="005C2AE8">
      <w:pPr>
        <w:pStyle w:val="ListNumber"/>
        <w:numPr>
          <w:ilvl w:val="0"/>
          <w:numId w:val="0"/>
        </w:numPr>
        <w:ind w:left="426"/>
      </w:pPr>
      <w:r>
        <w:t>I do not have the background or experience to answer this question.</w:t>
      </w:r>
    </w:p>
    <w:p w:rsidR="00AC3BFE" w:rsidRPr="00120FE9" w:rsidRDefault="00AC3BFE" w:rsidP="00291486">
      <w:pPr>
        <w:pStyle w:val="ListNumber"/>
        <w:numPr>
          <w:ilvl w:val="0"/>
          <w:numId w:val="2"/>
        </w:numPr>
        <w:spacing w:before="200"/>
        <w:ind w:left="357" w:hanging="357"/>
        <w:rPr>
          <w:b/>
        </w:rPr>
      </w:pPr>
      <w:r w:rsidRPr="00120FE9">
        <w:rPr>
          <w:b/>
        </w:rPr>
        <w:t>If no, should there be express prohibitions on the receipt of commissions or on entering into transactions involving a conflict of interest?</w:t>
      </w:r>
    </w:p>
    <w:p w:rsidR="004779C1" w:rsidRPr="00291486" w:rsidRDefault="006A5EF1" w:rsidP="005C2AE8">
      <w:pPr>
        <w:pStyle w:val="ListNumber"/>
        <w:numPr>
          <w:ilvl w:val="0"/>
          <w:numId w:val="0"/>
        </w:numPr>
        <w:ind w:left="426"/>
      </w:pPr>
      <w:r>
        <w:t xml:space="preserve">As a minimum, full disclosure of all conflicts of interest, and the </w:t>
      </w:r>
      <w:r w:rsidRPr="006A5EF1">
        <w:rPr>
          <w:b/>
        </w:rPr>
        <w:t>value</w:t>
      </w:r>
      <w:r>
        <w:t xml:space="preserve"> of all financial fees and commissions earned, to the OC/OC Committee, should be required.</w:t>
      </w:r>
    </w:p>
    <w:p w:rsidR="00AC3BFE" w:rsidRPr="00120FE9" w:rsidRDefault="00AC3BFE" w:rsidP="00291486">
      <w:pPr>
        <w:pStyle w:val="ListNumber"/>
        <w:numPr>
          <w:ilvl w:val="0"/>
          <w:numId w:val="2"/>
        </w:numPr>
        <w:spacing w:before="200"/>
        <w:ind w:left="357" w:hanging="357"/>
        <w:rPr>
          <w:b/>
        </w:rPr>
      </w:pPr>
      <w:r w:rsidRPr="00120FE9">
        <w:rPr>
          <w:b/>
        </w:rPr>
        <w:t>Should there be a presumption that where a manager receives a commission or awards a contract to itself or an associate, it has breached the section 122 obligation unless the owners corporation approves the transaction, after full disclosure by the manager?</w:t>
      </w:r>
    </w:p>
    <w:p w:rsidR="004779C1" w:rsidRPr="008A3532" w:rsidRDefault="006A5EF1" w:rsidP="005C2AE8">
      <w:pPr>
        <w:pStyle w:val="ListNumber"/>
        <w:numPr>
          <w:ilvl w:val="0"/>
          <w:numId w:val="0"/>
        </w:numPr>
        <w:ind w:left="426"/>
      </w:pPr>
      <w:r>
        <w:t xml:space="preserve">Yes. Full disclosure should include the </w:t>
      </w:r>
      <w:r w:rsidRPr="006A5EF1">
        <w:rPr>
          <w:b/>
        </w:rPr>
        <w:t>value</w:t>
      </w:r>
      <w:r>
        <w:t xml:space="preserve"> </w:t>
      </w:r>
      <w:r w:rsidR="000822E6">
        <w:t xml:space="preserve">of </w:t>
      </w:r>
      <w:r>
        <w:t>all fees and commissions.</w:t>
      </w:r>
    </w:p>
    <w:p w:rsidR="00AC3BFE" w:rsidRPr="00120FE9" w:rsidRDefault="00AC3BFE" w:rsidP="00291486">
      <w:pPr>
        <w:pStyle w:val="ListNumber"/>
        <w:numPr>
          <w:ilvl w:val="0"/>
          <w:numId w:val="2"/>
        </w:numPr>
        <w:spacing w:before="200"/>
        <w:ind w:left="357" w:hanging="357"/>
        <w:rPr>
          <w:b/>
        </w:rPr>
      </w:pPr>
      <w:r w:rsidRPr="00120FE9">
        <w:rPr>
          <w:b/>
        </w:rPr>
        <w:t>Should there be some further, particular obligations on managers, to supplement section 122, such as:</w:t>
      </w:r>
    </w:p>
    <w:p w:rsidR="00AC3BFE" w:rsidRPr="00120FE9" w:rsidRDefault="00AC3BFE" w:rsidP="00DC7D4B">
      <w:pPr>
        <w:pStyle w:val="BodyText"/>
        <w:numPr>
          <w:ilvl w:val="0"/>
          <w:numId w:val="4"/>
        </w:numPr>
        <w:rPr>
          <w:b/>
        </w:rPr>
      </w:pPr>
      <w:r w:rsidRPr="00120FE9">
        <w:rPr>
          <w:b/>
        </w:rPr>
        <w:t>an obligation to provide prior written disclosure of any benefits to be received from contractors or of any relationship with a contractor; and/or</w:t>
      </w:r>
    </w:p>
    <w:p w:rsidR="00AC3BFE" w:rsidRPr="00120FE9" w:rsidRDefault="00AC3BFE" w:rsidP="00DC7D4B">
      <w:pPr>
        <w:pStyle w:val="BodyText"/>
        <w:numPr>
          <w:ilvl w:val="0"/>
          <w:numId w:val="4"/>
        </w:numPr>
        <w:rPr>
          <w:b/>
        </w:rPr>
      </w:pPr>
      <w:r w:rsidRPr="00120FE9">
        <w:rPr>
          <w:b/>
        </w:rPr>
        <w:t>an obligation to take reasonable steps to ensure goods and services they obtain or supply are at competitive prices?</w:t>
      </w:r>
    </w:p>
    <w:p w:rsidR="004779C1" w:rsidRPr="004B640B" w:rsidRDefault="006A5EF1" w:rsidP="005C2AE8">
      <w:pPr>
        <w:pStyle w:val="ListNumber"/>
        <w:numPr>
          <w:ilvl w:val="0"/>
          <w:numId w:val="0"/>
        </w:numPr>
        <w:ind w:left="426"/>
      </w:pPr>
      <w:r>
        <w:t>Yes.</w:t>
      </w:r>
    </w:p>
    <w:p w:rsidR="00AC3BFE" w:rsidRPr="00120FE9" w:rsidRDefault="00AC3BFE" w:rsidP="00291486">
      <w:pPr>
        <w:pStyle w:val="ListNumber"/>
        <w:numPr>
          <w:ilvl w:val="0"/>
          <w:numId w:val="2"/>
        </w:numPr>
        <w:spacing w:before="200"/>
        <w:ind w:left="357" w:hanging="357"/>
        <w:rPr>
          <w:b/>
        </w:rPr>
      </w:pPr>
      <w:r w:rsidRPr="00120FE9">
        <w:rPr>
          <w:b/>
        </w:rPr>
        <w:t>Should there be a mandatory tendering process for all contracts above a pre-determined limit; in default, above a limit set by the Owners Corporations Act?</w:t>
      </w:r>
    </w:p>
    <w:p w:rsidR="004779C1" w:rsidRDefault="006A5EF1" w:rsidP="005C2AE8">
      <w:pPr>
        <w:pStyle w:val="ListNumber"/>
        <w:numPr>
          <w:ilvl w:val="0"/>
          <w:numId w:val="0"/>
        </w:numPr>
        <w:ind w:left="426"/>
      </w:pPr>
      <w:r>
        <w:t>Yes, provided the limit is not too low. Tendering processes are costly, and the cost may exceed the benefit of the discounts achieved by competitive tendering.</w:t>
      </w:r>
    </w:p>
    <w:p w:rsidR="00017262" w:rsidRDefault="00017262" w:rsidP="0014249D">
      <w:pPr>
        <w:pStyle w:val="Heading2"/>
        <w:pageBreakBefore/>
        <w:spacing w:before="0"/>
      </w:pPr>
      <w:r w:rsidRPr="0014249D">
        <w:lastRenderedPageBreak/>
        <w:t>Managers’</w:t>
      </w:r>
      <w:r>
        <w:t xml:space="preserve"> conduct</w:t>
      </w:r>
    </w:p>
    <w:p w:rsidR="002B0D37" w:rsidRDefault="002B0D37" w:rsidP="002B0D37">
      <w:pPr>
        <w:pStyle w:val="ListNumber"/>
        <w:numPr>
          <w:ilvl w:val="0"/>
          <w:numId w:val="0"/>
        </w:numPr>
        <w:ind w:left="426"/>
      </w:pPr>
      <w:r>
        <w:t>There are fundamental problems in the relationship between the OC / OC Committee and the OC Manager, including</w:t>
      </w:r>
    </w:p>
    <w:p w:rsidR="002B0D37" w:rsidRDefault="002B0D37" w:rsidP="00DC7D4B">
      <w:pPr>
        <w:pStyle w:val="ListNumber"/>
        <w:numPr>
          <w:ilvl w:val="0"/>
          <w:numId w:val="9"/>
        </w:numPr>
      </w:pPr>
      <w:r>
        <w:t>asymmetric information (in that the OC Manager typically has more and better information than the OC/ OC Committee), and</w:t>
      </w:r>
    </w:p>
    <w:p w:rsidR="002B0D37" w:rsidRDefault="002B0D37" w:rsidP="00DC7D4B">
      <w:pPr>
        <w:pStyle w:val="ListNumber"/>
        <w:numPr>
          <w:ilvl w:val="0"/>
          <w:numId w:val="9"/>
        </w:numPr>
      </w:pPr>
      <w:r>
        <w:t>moral hazard (in that the OC Manager is often making decisions or arranging contracts using the OC’s money, so that there is little financial risk to the OC Manager, and little motivation to optimise OC expenditure.)</w:t>
      </w:r>
    </w:p>
    <w:p w:rsidR="00AC3BFE" w:rsidRPr="00120FE9" w:rsidRDefault="00AC3BFE" w:rsidP="00291486">
      <w:pPr>
        <w:pStyle w:val="ListNumber"/>
        <w:numPr>
          <w:ilvl w:val="0"/>
          <w:numId w:val="2"/>
        </w:numPr>
        <w:spacing w:before="200"/>
        <w:ind w:left="357" w:hanging="357"/>
        <w:rPr>
          <w:b/>
        </w:rPr>
      </w:pPr>
      <w:r w:rsidRPr="00120FE9">
        <w:rPr>
          <w:b/>
        </w:rPr>
        <w:t>Is the power of the Victorian Civil and Administrative Tribunal, together with the existing obligations under the Owners Corporations Act, sufficient to deal with any problem?</w:t>
      </w:r>
    </w:p>
    <w:p w:rsidR="0014249D" w:rsidRPr="008A3532" w:rsidRDefault="0014249D" w:rsidP="0014249D">
      <w:pPr>
        <w:pStyle w:val="ListNumber"/>
        <w:numPr>
          <w:ilvl w:val="0"/>
          <w:numId w:val="0"/>
        </w:numPr>
        <w:ind w:left="426"/>
      </w:pPr>
      <w:r>
        <w:t>I do not have the background or experience to answer this question.</w:t>
      </w:r>
    </w:p>
    <w:p w:rsidR="00AC3BFE" w:rsidRPr="00120FE9" w:rsidRDefault="00AC3BFE" w:rsidP="00291486">
      <w:pPr>
        <w:pStyle w:val="ListNumber"/>
        <w:numPr>
          <w:ilvl w:val="0"/>
          <w:numId w:val="2"/>
        </w:numPr>
        <w:spacing w:before="200"/>
        <w:ind w:left="357" w:hanging="357"/>
        <w:rPr>
          <w:b/>
        </w:rPr>
      </w:pPr>
      <w:r w:rsidRPr="00120FE9">
        <w:rPr>
          <w:b/>
        </w:rPr>
        <w:t>If not, should managers be prohibited from attempting to influence the outcome of a vote or election?  If so, should that be an outright prohibition or only a prohibition on unfairly attempting to influence the outcome of a vote or election or on exerting pressure to influence the outcome of a vote or election?</w:t>
      </w:r>
    </w:p>
    <w:p w:rsidR="002B0D37" w:rsidRDefault="002B0D37" w:rsidP="002B0D37">
      <w:pPr>
        <w:pStyle w:val="ListNumber"/>
        <w:numPr>
          <w:ilvl w:val="0"/>
          <w:numId w:val="0"/>
        </w:numPr>
        <w:ind w:left="426"/>
      </w:pPr>
      <w:r>
        <w:t>This is an almost impossible question to answer</w:t>
      </w:r>
      <w:r w:rsidR="00E53D36">
        <w:t xml:space="preserve">. If the </w:t>
      </w:r>
      <w:r w:rsidR="008202EE">
        <w:t>OC Manager</w:t>
      </w:r>
      <w:r w:rsidR="00E53D36">
        <w:t xml:space="preserve"> has more and better information than the OC/ OC Committee, then</w:t>
      </w:r>
    </w:p>
    <w:p w:rsidR="002B0D37" w:rsidRDefault="00E53D36" w:rsidP="00DC7D4B">
      <w:pPr>
        <w:pStyle w:val="ListNumber"/>
        <w:numPr>
          <w:ilvl w:val="0"/>
          <w:numId w:val="10"/>
        </w:numPr>
      </w:pPr>
      <w:r>
        <w:t xml:space="preserve">if it </w:t>
      </w:r>
      <w:r w:rsidR="002B0D37">
        <w:t>is working in the best interests of the OC, then the prohibition should not be put in p</w:t>
      </w:r>
      <w:r>
        <w:t>lace, but</w:t>
      </w:r>
    </w:p>
    <w:p w:rsidR="002B0D37" w:rsidRDefault="00E53D36" w:rsidP="00DC7D4B">
      <w:pPr>
        <w:pStyle w:val="ListNumber"/>
        <w:numPr>
          <w:ilvl w:val="0"/>
          <w:numId w:val="10"/>
        </w:numPr>
      </w:pPr>
      <w:r>
        <w:t xml:space="preserve">if it </w:t>
      </w:r>
      <w:r w:rsidR="002B0D37">
        <w:t xml:space="preserve">is working in its own </w:t>
      </w:r>
      <w:r w:rsidR="008B7E60">
        <w:t>self-interest</w:t>
      </w:r>
      <w:r w:rsidR="002B0D37">
        <w:t xml:space="preserve">, which </w:t>
      </w:r>
      <w:r>
        <w:t>is</w:t>
      </w:r>
      <w:r w:rsidR="002B0D37">
        <w:t xml:space="preserve"> not in the interests of the OC, then the prohibition should be put in place. </w:t>
      </w:r>
    </w:p>
    <w:p w:rsidR="004779C1" w:rsidRDefault="00E53D36" w:rsidP="005C2AE8">
      <w:pPr>
        <w:pStyle w:val="ListNumber"/>
        <w:numPr>
          <w:ilvl w:val="0"/>
          <w:numId w:val="0"/>
        </w:numPr>
        <w:ind w:left="426"/>
      </w:pPr>
      <w:r>
        <w:t>Any provisions in the Act to address this issue would need to cover both eventualities.</w:t>
      </w:r>
    </w:p>
    <w:p w:rsidR="00AC3BFE" w:rsidRPr="00120FE9" w:rsidRDefault="00AC3BFE" w:rsidP="00291486">
      <w:pPr>
        <w:pStyle w:val="ListNumber"/>
        <w:numPr>
          <w:ilvl w:val="0"/>
          <w:numId w:val="2"/>
        </w:numPr>
        <w:spacing w:before="200"/>
        <w:ind w:left="357" w:hanging="357"/>
        <w:rPr>
          <w:b/>
        </w:rPr>
      </w:pPr>
      <w:r w:rsidRPr="00120FE9">
        <w:rPr>
          <w:b/>
        </w:rPr>
        <w:t>Should there be a specific restriction on proxies held by the manager where the manager has an interest in the outcome of the vote, for example, should a manager be excluded from holding proxies unless the proxy specifies how the manager holding the proxy is to vote?</w:t>
      </w:r>
    </w:p>
    <w:p w:rsidR="004779C1" w:rsidRDefault="00E53D36" w:rsidP="005C2AE8">
      <w:pPr>
        <w:pStyle w:val="ListNumber"/>
        <w:numPr>
          <w:ilvl w:val="0"/>
          <w:numId w:val="0"/>
        </w:numPr>
        <w:ind w:left="426"/>
      </w:pPr>
      <w:r>
        <w:t xml:space="preserve">OC Managers should be prohibited from voting any proxies on any outcome in which they have an interest. In many cases the </w:t>
      </w:r>
      <w:r w:rsidR="008202EE">
        <w:t>OC Manager</w:t>
      </w:r>
      <w:r>
        <w:t xml:space="preserve"> will be involved in conducting the vote, and total independence is a minimum requirement. Where a vote is to be conducted</w:t>
      </w:r>
      <w:r w:rsidR="004F0EB8">
        <w:t xml:space="preserve"> in which the OC Manager has an interest</w:t>
      </w:r>
      <w:r>
        <w:t>, all proxies should be directed to the Secretary or Chairperson of the Committee.</w:t>
      </w:r>
    </w:p>
    <w:p w:rsidR="00AC3BFE" w:rsidRPr="00120FE9" w:rsidRDefault="00AC3BFE" w:rsidP="00291486">
      <w:pPr>
        <w:pStyle w:val="ListNumber"/>
        <w:numPr>
          <w:ilvl w:val="0"/>
          <w:numId w:val="2"/>
        </w:numPr>
        <w:spacing w:before="200"/>
        <w:ind w:left="357" w:hanging="357"/>
        <w:rPr>
          <w:b/>
        </w:rPr>
      </w:pPr>
      <w:r w:rsidRPr="00120FE9">
        <w:rPr>
          <w:b/>
        </w:rPr>
        <w:t>Would any problem better be addressed, at least for larger owners corporations, by requiring them to engage only professional managers?</w:t>
      </w:r>
    </w:p>
    <w:p w:rsidR="004779C1" w:rsidRDefault="00E53D36" w:rsidP="005C2AE8">
      <w:pPr>
        <w:pStyle w:val="ListNumber"/>
        <w:numPr>
          <w:ilvl w:val="0"/>
          <w:numId w:val="0"/>
        </w:numPr>
        <w:ind w:left="426"/>
      </w:pPr>
      <w:r>
        <w:t>There are problems with the quality of OC Managers across the total industry. Even the most professional have significant deficiencies in the quality of some services, including those which claim ISO 9000 quality certification.</w:t>
      </w:r>
    </w:p>
    <w:p w:rsidR="008A6D87" w:rsidRPr="00B2236E" w:rsidRDefault="008A6D87" w:rsidP="005C2AE8">
      <w:pPr>
        <w:pStyle w:val="ListNumber"/>
        <w:numPr>
          <w:ilvl w:val="0"/>
          <w:numId w:val="0"/>
        </w:numPr>
        <w:ind w:left="426"/>
      </w:pPr>
      <w:r>
        <w:t>While it may be be</w:t>
      </w:r>
      <w:r w:rsidR="008202EE">
        <w:t>tter than using a volunteer OC M</w:t>
      </w:r>
      <w:r>
        <w:t xml:space="preserve">anager, requiring the engagement of professional managers may not be the panacea CAV thinks it is. </w:t>
      </w:r>
    </w:p>
    <w:p w:rsidR="00AC3BFE" w:rsidRPr="00120FE9" w:rsidRDefault="00AC3BFE" w:rsidP="00291486">
      <w:pPr>
        <w:pStyle w:val="ListNumber"/>
        <w:numPr>
          <w:ilvl w:val="0"/>
          <w:numId w:val="2"/>
        </w:numPr>
        <w:spacing w:before="200"/>
        <w:ind w:left="357" w:hanging="357"/>
        <w:rPr>
          <w:b/>
        </w:rPr>
      </w:pPr>
      <w:r w:rsidRPr="00120FE9">
        <w:rPr>
          <w:b/>
        </w:rPr>
        <w:lastRenderedPageBreak/>
        <w:t xml:space="preserve">Should pooled accounts be prohibited and managers required to keep separate accounts for each owners corporation they manage? </w:t>
      </w:r>
    </w:p>
    <w:p w:rsidR="00120FE9" w:rsidRDefault="008A6D87" w:rsidP="005C2AE8">
      <w:pPr>
        <w:pStyle w:val="ListNumber"/>
        <w:numPr>
          <w:ilvl w:val="0"/>
          <w:numId w:val="0"/>
        </w:numPr>
        <w:ind w:left="426"/>
      </w:pPr>
      <w:r>
        <w:t>Yes. However the implications for payments processing should be considered. In many cases funds pass through pooled clearing accounts before they finally reach an individual OC’s accounts.</w:t>
      </w:r>
    </w:p>
    <w:p w:rsidR="00AC3BFE" w:rsidRPr="00120FE9" w:rsidRDefault="00AC3BFE" w:rsidP="00291486">
      <w:pPr>
        <w:pStyle w:val="ListNumber"/>
        <w:numPr>
          <w:ilvl w:val="0"/>
          <w:numId w:val="2"/>
        </w:numPr>
        <w:spacing w:before="200"/>
        <w:ind w:left="357" w:hanging="357"/>
        <w:rPr>
          <w:b/>
        </w:rPr>
      </w:pPr>
      <w:r w:rsidRPr="00120FE9">
        <w:rPr>
          <w:b/>
        </w:rPr>
        <w:t>Should the Owners Corporations Act require managers to contribute to a Fidelity Fund to compensate owners corporations for managers’ fraud?</w:t>
      </w:r>
    </w:p>
    <w:p w:rsidR="00120FE9" w:rsidRPr="00B2236E" w:rsidRDefault="0081470D" w:rsidP="005C2AE8">
      <w:pPr>
        <w:pStyle w:val="ListNumber"/>
        <w:numPr>
          <w:ilvl w:val="0"/>
          <w:numId w:val="0"/>
        </w:numPr>
        <w:ind w:left="426"/>
      </w:pPr>
      <w:r>
        <w:t>In the legal industry, t</w:t>
      </w:r>
      <w:r w:rsidR="008A6D87" w:rsidRPr="008A6D87">
        <w:t xml:space="preserve">he purpose of </w:t>
      </w:r>
      <w:r>
        <w:t xml:space="preserve">a </w:t>
      </w:r>
      <w:r w:rsidR="008A6D87">
        <w:t>fidelity fund</w:t>
      </w:r>
      <w:r w:rsidR="008A6D87" w:rsidRPr="008A6D87">
        <w:t xml:space="preserve"> is to pay the difference between an indemnity provided by an insurer to an individual solicitor</w:t>
      </w:r>
      <w:r>
        <w:t>,</w:t>
      </w:r>
      <w:r w:rsidR="008A6D87" w:rsidRPr="008A6D87">
        <w:t xml:space="preserve"> and the amount of a claim made</w:t>
      </w:r>
      <w:r w:rsidR="008A6D87">
        <w:t xml:space="preserve"> against the solicitor.</w:t>
      </w:r>
      <w:r w:rsidR="008A6D87" w:rsidRPr="008A6D87">
        <w:t xml:space="preserve"> </w:t>
      </w:r>
      <w:r w:rsidR="008A6D87">
        <w:t>I have no information with which to assess wh</w:t>
      </w:r>
      <w:r>
        <w:t>ether most claims against OC M</w:t>
      </w:r>
      <w:r w:rsidR="008A6D87">
        <w:t>anagers would exceed the cover provided by Profe</w:t>
      </w:r>
      <w:r>
        <w:t>s</w:t>
      </w:r>
      <w:r w:rsidR="008A6D87">
        <w:t xml:space="preserve">sional Indemnity insurance, so I </w:t>
      </w:r>
      <w:r>
        <w:t>cannot comment on this question, other than to suggest that any fidelity fund is likely to increase the costs of OC Managers, and the fees OCs will have to pay the OC Managers.</w:t>
      </w:r>
    </w:p>
    <w:p w:rsidR="00AC3BFE" w:rsidRPr="00120FE9" w:rsidRDefault="00AC3BFE" w:rsidP="00291486">
      <w:pPr>
        <w:pStyle w:val="ListNumber"/>
        <w:numPr>
          <w:ilvl w:val="0"/>
          <w:numId w:val="2"/>
        </w:numPr>
        <w:spacing w:before="200"/>
        <w:ind w:left="357" w:hanging="357"/>
        <w:rPr>
          <w:b/>
        </w:rPr>
      </w:pPr>
      <w:r w:rsidRPr="00120FE9">
        <w:rPr>
          <w:b/>
        </w:rPr>
        <w:t>Is the current prescribed minimum cover of $1.5 million for any professional indemnity claim sufficient?</w:t>
      </w:r>
    </w:p>
    <w:p w:rsidR="00BD672C" w:rsidRDefault="00BD672C" w:rsidP="005C2AE8">
      <w:pPr>
        <w:pStyle w:val="ListNumber"/>
        <w:numPr>
          <w:ilvl w:val="0"/>
          <w:numId w:val="0"/>
        </w:numPr>
        <w:ind w:left="426"/>
      </w:pPr>
      <w:r>
        <w:t xml:space="preserve">The requirement for Professional Indemnity insurance which is sufficient to meet claims of up to $1.5 million in any one year may be adequate for </w:t>
      </w:r>
      <w:r w:rsidR="00425E63">
        <w:t>an</w:t>
      </w:r>
      <w:r>
        <w:t xml:space="preserve"> </w:t>
      </w:r>
      <w:r w:rsidR="008202EE">
        <w:t>OC Manager</w:t>
      </w:r>
      <w:r>
        <w:t xml:space="preserve"> who manages a single OC, but it does not cover the instance of </w:t>
      </w:r>
      <w:r w:rsidR="00425E63">
        <w:t>an</w:t>
      </w:r>
      <w:r>
        <w:t xml:space="preserve"> </w:t>
      </w:r>
      <w:r w:rsidR="008202EE">
        <w:t>OC Manager</w:t>
      </w:r>
      <w:r>
        <w:t xml:space="preserve"> wh</w:t>
      </w:r>
      <w:r w:rsidR="0081470D">
        <w:t>ich</w:t>
      </w:r>
      <w:r>
        <w:t xml:space="preserve"> manages many OCs. </w:t>
      </w:r>
    </w:p>
    <w:p w:rsidR="00BD672C" w:rsidRDefault="00BD672C" w:rsidP="005C2AE8">
      <w:pPr>
        <w:pStyle w:val="ListNumber"/>
        <w:numPr>
          <w:ilvl w:val="0"/>
          <w:numId w:val="0"/>
        </w:numPr>
        <w:ind w:left="426"/>
      </w:pPr>
      <w:r>
        <w:t xml:space="preserve">Our OC Manager is understood to manage about 70 building complexes, some of which have multiple OCs. If the $1.5 million is intended to represent a ‘per OC’ figure, our OC Manager would need well over $100 million in cover. It actually has only $15 million in cover, which it believes is enough. However, there is no real assurance that it is sufficient, and the OC Manager has a financial incentive to minimise cover in order to reduce premiums. </w:t>
      </w:r>
    </w:p>
    <w:p w:rsidR="00120FE9" w:rsidRDefault="00BD672C" w:rsidP="005C2AE8">
      <w:pPr>
        <w:pStyle w:val="ListNumber"/>
        <w:numPr>
          <w:ilvl w:val="0"/>
          <w:numId w:val="0"/>
        </w:numPr>
        <w:ind w:left="426"/>
      </w:pPr>
      <w:r>
        <w:t>A more specific requirement</w:t>
      </w:r>
      <w:r w:rsidR="0081470D">
        <w:t xml:space="preserve"> for OC M</w:t>
      </w:r>
      <w:r>
        <w:t>anagers who manage multiple OCs is required.</w:t>
      </w:r>
    </w:p>
    <w:p w:rsidR="00017262" w:rsidRDefault="00017262" w:rsidP="0014249D">
      <w:pPr>
        <w:pStyle w:val="Heading2"/>
      </w:pPr>
      <w:r>
        <w:t>Managers’ record keeping</w:t>
      </w:r>
    </w:p>
    <w:p w:rsidR="00AC3BFE" w:rsidRPr="00120FE9" w:rsidRDefault="00AC3BFE" w:rsidP="00291486">
      <w:pPr>
        <w:pStyle w:val="ListNumber"/>
        <w:numPr>
          <w:ilvl w:val="0"/>
          <w:numId w:val="2"/>
        </w:numPr>
        <w:spacing w:before="200"/>
        <w:ind w:left="357" w:hanging="357"/>
        <w:rPr>
          <w:b/>
        </w:rPr>
      </w:pPr>
      <w:r w:rsidRPr="00120FE9">
        <w:rPr>
          <w:b/>
        </w:rPr>
        <w:t>Is the power of the Victorian Civil and Administrative Tribunal, together with the existing obligations under the Owners Corporations Act, sufficient to deal with any problem?</w:t>
      </w:r>
    </w:p>
    <w:p w:rsidR="0081470D" w:rsidRPr="008A3532" w:rsidRDefault="0081470D" w:rsidP="0081470D">
      <w:pPr>
        <w:pStyle w:val="ListNumber"/>
        <w:numPr>
          <w:ilvl w:val="0"/>
          <w:numId w:val="0"/>
        </w:numPr>
        <w:ind w:left="426"/>
      </w:pPr>
      <w:r>
        <w:t>I do not have the background or experience to answer this question.</w:t>
      </w:r>
    </w:p>
    <w:p w:rsidR="00AC3BFE" w:rsidRPr="00120FE9" w:rsidRDefault="00AC3BFE" w:rsidP="00291486">
      <w:pPr>
        <w:pStyle w:val="ListNumber"/>
        <w:numPr>
          <w:ilvl w:val="0"/>
          <w:numId w:val="2"/>
        </w:numPr>
        <w:spacing w:before="200"/>
        <w:ind w:left="357" w:hanging="357"/>
        <w:rPr>
          <w:b/>
        </w:rPr>
      </w:pPr>
      <w:r w:rsidRPr="00120FE9">
        <w:rPr>
          <w:b/>
        </w:rPr>
        <w:t>If not, should managers have the same record keeping obligations as the owners corporation?</w:t>
      </w:r>
    </w:p>
    <w:p w:rsidR="00120FE9" w:rsidRDefault="003C20A1" w:rsidP="005C2AE8">
      <w:pPr>
        <w:pStyle w:val="ListNumber"/>
        <w:numPr>
          <w:ilvl w:val="0"/>
          <w:numId w:val="0"/>
        </w:numPr>
        <w:ind w:left="426"/>
      </w:pPr>
      <w:r>
        <w:t>Yes, see answer to Q.32 below.</w:t>
      </w:r>
      <w:r w:rsidR="0081470D">
        <w:t xml:space="preserve"> </w:t>
      </w:r>
    </w:p>
    <w:p w:rsidR="00AC3BFE" w:rsidRPr="00120FE9" w:rsidRDefault="00AC3BFE" w:rsidP="00291486">
      <w:pPr>
        <w:pStyle w:val="ListNumber"/>
        <w:numPr>
          <w:ilvl w:val="0"/>
          <w:numId w:val="2"/>
        </w:numPr>
        <w:spacing w:before="200"/>
        <w:ind w:left="357" w:hanging="357"/>
        <w:rPr>
          <w:b/>
        </w:rPr>
      </w:pPr>
      <w:r w:rsidRPr="00120FE9">
        <w:rPr>
          <w:b/>
        </w:rPr>
        <w:t>Should they simply have an obligation to record all receipts and expenditure of owners corporation money?</w:t>
      </w:r>
    </w:p>
    <w:p w:rsidR="003C20A1" w:rsidRDefault="003C20A1" w:rsidP="005C2AE8">
      <w:pPr>
        <w:pStyle w:val="ListNumber"/>
        <w:numPr>
          <w:ilvl w:val="0"/>
          <w:numId w:val="0"/>
        </w:numPr>
        <w:ind w:left="426"/>
      </w:pPr>
      <w:r>
        <w:t xml:space="preserve">No, </w:t>
      </w:r>
      <w:r w:rsidR="008202EE">
        <w:t>OC Manager</w:t>
      </w:r>
      <w:r>
        <w:t>s s</w:t>
      </w:r>
      <w:r w:rsidRPr="003C20A1">
        <w:t xml:space="preserve">hould </w:t>
      </w:r>
      <w:r>
        <w:t>not</w:t>
      </w:r>
      <w:r w:rsidRPr="003C20A1">
        <w:t xml:space="preserve"> simply have an obligation to record all receipts and expendit</w:t>
      </w:r>
      <w:r>
        <w:t xml:space="preserve">ure of </w:t>
      </w:r>
      <w:r w:rsidR="006C7DEE">
        <w:t>OC</w:t>
      </w:r>
      <w:r>
        <w:t xml:space="preserve"> money. Under s.33 (1) of the Act an OC must keep proper accounts that cover all income and expenditure, all assets and liabilities, and provide a true and </w:t>
      </w:r>
      <w:r>
        <w:lastRenderedPageBreak/>
        <w:t xml:space="preserve">fair view of its financial position. In many cases the </w:t>
      </w:r>
      <w:r w:rsidR="008202EE">
        <w:t>OC Manager</w:t>
      </w:r>
      <w:r>
        <w:t xml:space="preserve"> </w:t>
      </w:r>
      <w:r w:rsidR="0081470D">
        <w:t>is delegated</w:t>
      </w:r>
      <w:r>
        <w:t xml:space="preserve"> this accounting function. </w:t>
      </w:r>
    </w:p>
    <w:p w:rsidR="003C20A1" w:rsidRDefault="003C20A1" w:rsidP="005C2AE8">
      <w:pPr>
        <w:pStyle w:val="ListNumber"/>
        <w:numPr>
          <w:ilvl w:val="0"/>
          <w:numId w:val="0"/>
        </w:numPr>
        <w:ind w:left="426"/>
      </w:pPr>
      <w:r>
        <w:t xml:space="preserve">In the context of fixed assets, CAV recommends use of an </w:t>
      </w:r>
      <w:r w:rsidRPr="005C2AE8">
        <w:t>Asset Register</w:t>
      </w:r>
      <w:r>
        <w:t xml:space="preserve"> and related depreciation schedules. However, this is not prescribed in the Act or Regulations. In the case of </w:t>
      </w:r>
      <w:r w:rsidR="002D7983">
        <w:t xml:space="preserve">my </w:t>
      </w:r>
      <w:r w:rsidR="006C7DEE">
        <w:t>OC</w:t>
      </w:r>
      <w:r>
        <w:t xml:space="preserve">, </w:t>
      </w:r>
      <w:r w:rsidR="002D7983">
        <w:t xml:space="preserve">when the </w:t>
      </w:r>
      <w:r>
        <w:t xml:space="preserve">Asset Register was </w:t>
      </w:r>
      <w:r w:rsidR="002D7983">
        <w:t xml:space="preserve">reviewed this year, it had been </w:t>
      </w:r>
      <w:r>
        <w:t xml:space="preserve">last updated in 2009, and only listed 17 items, when hundreds of assets were clearly visible when walking around </w:t>
      </w:r>
      <w:r w:rsidR="004912F1">
        <w:t xml:space="preserve">the </w:t>
      </w:r>
      <w:r w:rsidR="002D7983">
        <w:t>property</w:t>
      </w:r>
      <w:r>
        <w:t xml:space="preserve">, and the replacement value of contents </w:t>
      </w:r>
      <w:r w:rsidR="009927C9">
        <w:t>was</w:t>
      </w:r>
      <w:r>
        <w:t xml:space="preserve"> &gt;$5</w:t>
      </w:r>
      <w:r w:rsidR="009927C9">
        <w:t>00</w:t>
      </w:r>
      <w:r>
        <w:t>,000</w:t>
      </w:r>
      <w:r w:rsidR="009927C9">
        <w:t>. There were n</w:t>
      </w:r>
      <w:r>
        <w:t>o depreciation schedules</w:t>
      </w:r>
      <w:r w:rsidR="009927C9">
        <w:t>, and we have been advised that in general the software used in the OC Manager industry does not support</w:t>
      </w:r>
      <w:r>
        <w:t xml:space="preserve"> depreciation</w:t>
      </w:r>
      <w:r w:rsidR="009927C9">
        <w:t>.</w:t>
      </w:r>
    </w:p>
    <w:p w:rsidR="009927C9" w:rsidRDefault="009927C9" w:rsidP="005C2AE8">
      <w:pPr>
        <w:pStyle w:val="ListNumber"/>
        <w:numPr>
          <w:ilvl w:val="0"/>
          <w:numId w:val="0"/>
        </w:numPr>
        <w:ind w:left="426"/>
      </w:pPr>
      <w:r>
        <w:t>The financial accounts presented to the AGM have the format</w:t>
      </w:r>
      <w:r w:rsidR="002D7983">
        <w:t xml:space="preserve"> provided below, which is basically ‘cash accounting’, with no accounting for fixed assets.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1756"/>
        <w:gridCol w:w="1559"/>
        <w:gridCol w:w="727"/>
        <w:gridCol w:w="709"/>
        <w:gridCol w:w="1826"/>
        <w:gridCol w:w="1193"/>
      </w:tblGrid>
      <w:tr w:rsidR="004B76AC" w:rsidTr="0081470D">
        <w:tc>
          <w:tcPr>
            <w:tcW w:w="909" w:type="dxa"/>
            <w:tcBorders>
              <w:bottom w:val="single" w:sz="4" w:space="0" w:color="auto"/>
            </w:tcBorders>
          </w:tcPr>
          <w:p w:rsidR="002D7983" w:rsidRDefault="002D7983" w:rsidP="003C20A1">
            <w:pPr>
              <w:pStyle w:val="ListNumber"/>
              <w:numPr>
                <w:ilvl w:val="0"/>
                <w:numId w:val="0"/>
              </w:numPr>
            </w:pPr>
            <w:r w:rsidRPr="004912F1">
              <w:rPr>
                <w:b/>
                <w:u w:val="single"/>
              </w:rPr>
              <w:t>ASSETS</w:t>
            </w:r>
          </w:p>
        </w:tc>
        <w:tc>
          <w:tcPr>
            <w:tcW w:w="1759" w:type="dxa"/>
            <w:tcBorders>
              <w:bottom w:val="single" w:sz="4" w:space="0" w:color="auto"/>
            </w:tcBorders>
          </w:tcPr>
          <w:p w:rsidR="002D7983" w:rsidRDefault="002D7983" w:rsidP="003C20A1">
            <w:pPr>
              <w:pStyle w:val="ListNumber"/>
              <w:numPr>
                <w:ilvl w:val="0"/>
                <w:numId w:val="0"/>
              </w:numPr>
            </w:pPr>
          </w:p>
        </w:tc>
        <w:tc>
          <w:tcPr>
            <w:tcW w:w="1566" w:type="dxa"/>
            <w:tcBorders>
              <w:bottom w:val="single" w:sz="4" w:space="0" w:color="auto"/>
              <w:right w:val="single" w:sz="4" w:space="0" w:color="auto"/>
            </w:tcBorders>
          </w:tcPr>
          <w:p w:rsidR="002D7983" w:rsidRDefault="002D7983" w:rsidP="00D863EC">
            <w:pPr>
              <w:pStyle w:val="ListNumber"/>
              <w:numPr>
                <w:ilvl w:val="0"/>
                <w:numId w:val="0"/>
              </w:numPr>
              <w:jc w:val="right"/>
            </w:pPr>
          </w:p>
        </w:tc>
        <w:tc>
          <w:tcPr>
            <w:tcW w:w="1436" w:type="dxa"/>
            <w:gridSpan w:val="2"/>
            <w:tcBorders>
              <w:left w:val="single" w:sz="4" w:space="0" w:color="auto"/>
              <w:bottom w:val="single" w:sz="4" w:space="0" w:color="auto"/>
            </w:tcBorders>
          </w:tcPr>
          <w:p w:rsidR="002D7983" w:rsidRDefault="00D863EC" w:rsidP="00D863EC">
            <w:pPr>
              <w:pStyle w:val="ListNumber"/>
              <w:numPr>
                <w:ilvl w:val="0"/>
                <w:numId w:val="0"/>
              </w:numPr>
            </w:pPr>
            <w:r w:rsidRPr="004912F1">
              <w:rPr>
                <w:b/>
                <w:u w:val="single"/>
              </w:rPr>
              <w:t>LIABILITIES</w:t>
            </w:r>
          </w:p>
        </w:tc>
        <w:tc>
          <w:tcPr>
            <w:tcW w:w="1842" w:type="dxa"/>
            <w:tcBorders>
              <w:bottom w:val="single" w:sz="4" w:space="0" w:color="auto"/>
            </w:tcBorders>
          </w:tcPr>
          <w:p w:rsidR="002D7983" w:rsidRDefault="002D7983" w:rsidP="003C20A1">
            <w:pPr>
              <w:pStyle w:val="ListNumber"/>
              <w:numPr>
                <w:ilvl w:val="0"/>
                <w:numId w:val="0"/>
              </w:numPr>
            </w:pPr>
          </w:p>
        </w:tc>
        <w:tc>
          <w:tcPr>
            <w:tcW w:w="1196" w:type="dxa"/>
            <w:tcBorders>
              <w:bottom w:val="single" w:sz="4" w:space="0" w:color="auto"/>
            </w:tcBorders>
          </w:tcPr>
          <w:p w:rsidR="002D7983" w:rsidRDefault="002D7983" w:rsidP="003C20A1">
            <w:pPr>
              <w:pStyle w:val="ListNumber"/>
              <w:numPr>
                <w:ilvl w:val="0"/>
                <w:numId w:val="0"/>
              </w:numPr>
            </w:pPr>
          </w:p>
        </w:tc>
      </w:tr>
      <w:tr w:rsidR="004B76AC" w:rsidTr="0081470D">
        <w:tc>
          <w:tcPr>
            <w:tcW w:w="2668" w:type="dxa"/>
            <w:gridSpan w:val="2"/>
            <w:tcBorders>
              <w:top w:val="single" w:sz="4" w:space="0" w:color="auto"/>
            </w:tcBorders>
          </w:tcPr>
          <w:p w:rsidR="004B76AC" w:rsidRDefault="004B76AC" w:rsidP="003C20A1">
            <w:pPr>
              <w:pStyle w:val="ListNumber"/>
              <w:numPr>
                <w:ilvl w:val="0"/>
                <w:numId w:val="0"/>
              </w:numPr>
            </w:pPr>
            <w:r w:rsidRPr="004912F1">
              <w:rPr>
                <w:b/>
              </w:rPr>
              <w:t>Operating fund</w:t>
            </w:r>
          </w:p>
        </w:tc>
        <w:tc>
          <w:tcPr>
            <w:tcW w:w="1566" w:type="dxa"/>
            <w:tcBorders>
              <w:top w:val="single" w:sz="4" w:space="0" w:color="auto"/>
              <w:right w:val="single" w:sz="4" w:space="0" w:color="auto"/>
            </w:tcBorders>
          </w:tcPr>
          <w:p w:rsidR="004B76AC" w:rsidRDefault="004B76AC" w:rsidP="00D863EC">
            <w:pPr>
              <w:pStyle w:val="ListNumber"/>
              <w:numPr>
                <w:ilvl w:val="0"/>
                <w:numId w:val="0"/>
              </w:numPr>
              <w:jc w:val="right"/>
            </w:pPr>
          </w:p>
        </w:tc>
        <w:tc>
          <w:tcPr>
            <w:tcW w:w="3278" w:type="dxa"/>
            <w:gridSpan w:val="3"/>
            <w:tcBorders>
              <w:top w:val="single" w:sz="4" w:space="0" w:color="auto"/>
              <w:left w:val="single" w:sz="4" w:space="0" w:color="auto"/>
            </w:tcBorders>
          </w:tcPr>
          <w:p w:rsidR="004B76AC" w:rsidRPr="00640718" w:rsidRDefault="004B76AC" w:rsidP="004B76AC">
            <w:pPr>
              <w:pStyle w:val="ListNumber"/>
              <w:numPr>
                <w:ilvl w:val="0"/>
                <w:numId w:val="0"/>
              </w:numPr>
              <w:jc w:val="right"/>
            </w:pPr>
            <w:r w:rsidRPr="00640718">
              <w:t>Contributions in advance</w:t>
            </w:r>
          </w:p>
        </w:tc>
        <w:tc>
          <w:tcPr>
            <w:tcW w:w="1196" w:type="dxa"/>
            <w:tcBorders>
              <w:top w:val="single" w:sz="4" w:space="0" w:color="auto"/>
            </w:tcBorders>
          </w:tcPr>
          <w:p w:rsidR="004B76AC" w:rsidRPr="00640718" w:rsidRDefault="004B76AC" w:rsidP="00B21C73">
            <w:pPr>
              <w:pStyle w:val="ListNumber"/>
              <w:numPr>
                <w:ilvl w:val="0"/>
                <w:numId w:val="0"/>
              </w:numPr>
              <w:jc w:val="right"/>
            </w:pPr>
            <w:r w:rsidRPr="00640718">
              <w:t>$  nn,nnn</w:t>
            </w: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3C20A1">
            <w:pPr>
              <w:pStyle w:val="ListNumber"/>
              <w:numPr>
                <w:ilvl w:val="0"/>
                <w:numId w:val="0"/>
              </w:numPr>
            </w:pPr>
            <w:r>
              <w:t>Cash at bank</w:t>
            </w:r>
          </w:p>
        </w:tc>
        <w:tc>
          <w:tcPr>
            <w:tcW w:w="1566" w:type="dxa"/>
            <w:tcBorders>
              <w:right w:val="single" w:sz="4" w:space="0" w:color="auto"/>
            </w:tcBorders>
          </w:tcPr>
          <w:p w:rsidR="004B76AC" w:rsidRDefault="004B76AC" w:rsidP="00D863EC">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r>
              <w:t>GST</w:t>
            </w:r>
          </w:p>
        </w:tc>
        <w:tc>
          <w:tcPr>
            <w:tcW w:w="1196" w:type="dxa"/>
          </w:tcPr>
          <w:p w:rsidR="004B76AC" w:rsidRPr="00640718" w:rsidRDefault="004B76AC" w:rsidP="00B21C73">
            <w:pPr>
              <w:pStyle w:val="ListNumber"/>
              <w:numPr>
                <w:ilvl w:val="0"/>
                <w:numId w:val="0"/>
              </w:numPr>
              <w:jc w:val="right"/>
            </w:pPr>
            <w:r w:rsidRPr="00640718">
              <w:t>$  nn,nnn</w:t>
            </w: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3C20A1">
            <w:pPr>
              <w:pStyle w:val="ListNumber"/>
              <w:numPr>
                <w:ilvl w:val="0"/>
                <w:numId w:val="0"/>
              </w:numPr>
            </w:pPr>
            <w:r>
              <w:t>Term deposit</w:t>
            </w:r>
          </w:p>
        </w:tc>
        <w:tc>
          <w:tcPr>
            <w:tcW w:w="1566" w:type="dxa"/>
            <w:tcBorders>
              <w:bottom w:val="single" w:sz="4" w:space="0" w:color="auto"/>
              <w:right w:val="single" w:sz="4" w:space="0" w:color="auto"/>
            </w:tcBorders>
          </w:tcPr>
          <w:p w:rsidR="004B76AC" w:rsidRDefault="004B76AC" w:rsidP="00D863EC">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r>
              <w:t>Accruals</w:t>
            </w:r>
          </w:p>
        </w:tc>
        <w:tc>
          <w:tcPr>
            <w:tcW w:w="1196" w:type="dxa"/>
          </w:tcPr>
          <w:p w:rsidR="004B76AC" w:rsidRPr="00640718" w:rsidRDefault="004B76AC" w:rsidP="00B21C73">
            <w:pPr>
              <w:pStyle w:val="ListNumber"/>
              <w:numPr>
                <w:ilvl w:val="0"/>
                <w:numId w:val="0"/>
              </w:numPr>
              <w:jc w:val="right"/>
            </w:pPr>
            <w:r w:rsidRPr="00640718">
              <w:t>$  nn,nnn</w:t>
            </w: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3C20A1">
            <w:pPr>
              <w:pStyle w:val="ListNumber"/>
              <w:numPr>
                <w:ilvl w:val="0"/>
                <w:numId w:val="0"/>
              </w:numPr>
            </w:pPr>
          </w:p>
        </w:tc>
        <w:tc>
          <w:tcPr>
            <w:tcW w:w="1566" w:type="dxa"/>
            <w:tcBorders>
              <w:top w:val="single" w:sz="4" w:space="0" w:color="auto"/>
              <w:right w:val="single" w:sz="4" w:space="0" w:color="auto"/>
            </w:tcBorders>
          </w:tcPr>
          <w:p w:rsidR="004B76AC" w:rsidRDefault="004B76AC" w:rsidP="00D863EC">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r>
              <w:t>Income tax liabilities</w:t>
            </w:r>
          </w:p>
        </w:tc>
        <w:tc>
          <w:tcPr>
            <w:tcW w:w="1196" w:type="dxa"/>
          </w:tcPr>
          <w:p w:rsidR="004B76AC" w:rsidRPr="00640718" w:rsidRDefault="004B76AC" w:rsidP="00B21C73">
            <w:pPr>
              <w:pStyle w:val="ListNumber"/>
              <w:numPr>
                <w:ilvl w:val="0"/>
                <w:numId w:val="0"/>
              </w:numPr>
              <w:jc w:val="right"/>
            </w:pPr>
            <w:r w:rsidRPr="00640718">
              <w:t>$  nn,nnn</w:t>
            </w:r>
          </w:p>
        </w:tc>
      </w:tr>
      <w:tr w:rsidR="004B76AC" w:rsidTr="0081470D">
        <w:tc>
          <w:tcPr>
            <w:tcW w:w="2668" w:type="dxa"/>
            <w:gridSpan w:val="2"/>
          </w:tcPr>
          <w:p w:rsidR="004B76AC" w:rsidRDefault="004B76AC" w:rsidP="003C20A1">
            <w:pPr>
              <w:pStyle w:val="ListNumber"/>
              <w:numPr>
                <w:ilvl w:val="0"/>
                <w:numId w:val="0"/>
              </w:numPr>
            </w:pPr>
            <w:r w:rsidRPr="004912F1">
              <w:rPr>
                <w:b/>
              </w:rPr>
              <w:t>Maintenance fund</w:t>
            </w:r>
          </w:p>
        </w:tc>
        <w:tc>
          <w:tcPr>
            <w:tcW w:w="1566" w:type="dxa"/>
            <w:tcBorders>
              <w:right w:val="single" w:sz="4" w:space="0" w:color="auto"/>
            </w:tcBorders>
          </w:tcPr>
          <w:p w:rsidR="004B76AC" w:rsidRDefault="004B76AC" w:rsidP="00D863EC">
            <w:pPr>
              <w:pStyle w:val="ListNumber"/>
              <w:numPr>
                <w:ilvl w:val="0"/>
                <w:numId w:val="0"/>
              </w:numPr>
              <w:jc w:val="right"/>
            </w:pP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p>
        </w:tc>
        <w:tc>
          <w:tcPr>
            <w:tcW w:w="1196" w:type="dxa"/>
          </w:tcPr>
          <w:p w:rsidR="004B76AC" w:rsidRPr="00640718" w:rsidRDefault="004B76AC" w:rsidP="00B21C73">
            <w:pPr>
              <w:pStyle w:val="ListNumber"/>
              <w:numPr>
                <w:ilvl w:val="0"/>
                <w:numId w:val="0"/>
              </w:numPr>
              <w:jc w:val="right"/>
            </w:pP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B21C73">
            <w:pPr>
              <w:pStyle w:val="ListNumber"/>
              <w:numPr>
                <w:ilvl w:val="0"/>
                <w:numId w:val="0"/>
              </w:numPr>
            </w:pPr>
            <w:r>
              <w:t>Cash at bank</w:t>
            </w:r>
          </w:p>
        </w:tc>
        <w:tc>
          <w:tcPr>
            <w:tcW w:w="1566" w:type="dxa"/>
            <w:tcBorders>
              <w:right w:val="single" w:sz="4" w:space="0" w:color="auto"/>
            </w:tcBorders>
          </w:tcPr>
          <w:p w:rsidR="004B76AC" w:rsidRDefault="004B76AC" w:rsidP="00B21C73">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p>
        </w:tc>
        <w:tc>
          <w:tcPr>
            <w:tcW w:w="1196" w:type="dxa"/>
          </w:tcPr>
          <w:p w:rsidR="004B76AC" w:rsidRDefault="004B76AC" w:rsidP="003C20A1">
            <w:pPr>
              <w:pStyle w:val="ListNumber"/>
              <w:numPr>
                <w:ilvl w:val="0"/>
                <w:numId w:val="0"/>
              </w:numPr>
            </w:pP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B21C73">
            <w:pPr>
              <w:pStyle w:val="ListNumber"/>
              <w:numPr>
                <w:ilvl w:val="0"/>
                <w:numId w:val="0"/>
              </w:numPr>
            </w:pPr>
            <w:r>
              <w:t>Term deposit</w:t>
            </w:r>
          </w:p>
        </w:tc>
        <w:tc>
          <w:tcPr>
            <w:tcW w:w="1566" w:type="dxa"/>
            <w:tcBorders>
              <w:bottom w:val="single" w:sz="4" w:space="0" w:color="auto"/>
              <w:right w:val="single" w:sz="4" w:space="0" w:color="auto"/>
            </w:tcBorders>
          </w:tcPr>
          <w:p w:rsidR="004B76AC" w:rsidRDefault="004B76AC" w:rsidP="00B21C73">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p>
        </w:tc>
        <w:tc>
          <w:tcPr>
            <w:tcW w:w="1196" w:type="dxa"/>
          </w:tcPr>
          <w:p w:rsidR="004B76AC" w:rsidRDefault="004B76AC" w:rsidP="003C20A1">
            <w:pPr>
              <w:pStyle w:val="ListNumber"/>
              <w:numPr>
                <w:ilvl w:val="0"/>
                <w:numId w:val="0"/>
              </w:numPr>
            </w:pP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B21C73">
            <w:pPr>
              <w:pStyle w:val="ListNumber"/>
              <w:numPr>
                <w:ilvl w:val="0"/>
                <w:numId w:val="0"/>
              </w:numPr>
            </w:pPr>
          </w:p>
        </w:tc>
        <w:tc>
          <w:tcPr>
            <w:tcW w:w="1566" w:type="dxa"/>
            <w:tcBorders>
              <w:top w:val="single" w:sz="4" w:space="0" w:color="auto"/>
              <w:right w:val="single" w:sz="4" w:space="0" w:color="auto"/>
            </w:tcBorders>
          </w:tcPr>
          <w:p w:rsidR="004B76AC" w:rsidRDefault="004B76AC" w:rsidP="00B21C73">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p>
        </w:tc>
        <w:tc>
          <w:tcPr>
            <w:tcW w:w="1196" w:type="dxa"/>
          </w:tcPr>
          <w:p w:rsidR="004B76AC" w:rsidRDefault="004B76AC" w:rsidP="003C20A1">
            <w:pPr>
              <w:pStyle w:val="ListNumber"/>
              <w:numPr>
                <w:ilvl w:val="0"/>
                <w:numId w:val="0"/>
              </w:numPr>
            </w:pP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3C20A1">
            <w:pPr>
              <w:pStyle w:val="ListNumber"/>
              <w:numPr>
                <w:ilvl w:val="0"/>
                <w:numId w:val="0"/>
              </w:numPr>
            </w:pPr>
            <w:r>
              <w:t>Amounts owing</w:t>
            </w:r>
          </w:p>
        </w:tc>
        <w:tc>
          <w:tcPr>
            <w:tcW w:w="1566" w:type="dxa"/>
            <w:tcBorders>
              <w:right w:val="single" w:sz="4" w:space="0" w:color="auto"/>
            </w:tcBorders>
          </w:tcPr>
          <w:p w:rsidR="004B76AC" w:rsidRDefault="004B76AC" w:rsidP="00D863EC">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p>
        </w:tc>
        <w:tc>
          <w:tcPr>
            <w:tcW w:w="1196" w:type="dxa"/>
          </w:tcPr>
          <w:p w:rsidR="004B76AC" w:rsidRPr="00640718" w:rsidRDefault="004B76AC" w:rsidP="00B21C73">
            <w:pPr>
              <w:pStyle w:val="ListNumber"/>
              <w:numPr>
                <w:ilvl w:val="0"/>
                <w:numId w:val="0"/>
              </w:numPr>
              <w:jc w:val="right"/>
            </w:pPr>
          </w:p>
        </w:tc>
      </w:tr>
      <w:tr w:rsidR="004B76AC" w:rsidTr="0081470D">
        <w:tc>
          <w:tcPr>
            <w:tcW w:w="909" w:type="dxa"/>
          </w:tcPr>
          <w:p w:rsidR="004B76AC" w:rsidRDefault="004B76AC" w:rsidP="003C20A1">
            <w:pPr>
              <w:pStyle w:val="ListNumber"/>
              <w:numPr>
                <w:ilvl w:val="0"/>
                <w:numId w:val="0"/>
              </w:numPr>
            </w:pPr>
          </w:p>
        </w:tc>
        <w:tc>
          <w:tcPr>
            <w:tcW w:w="1759" w:type="dxa"/>
          </w:tcPr>
          <w:p w:rsidR="004B76AC" w:rsidRDefault="004B76AC" w:rsidP="003C20A1">
            <w:pPr>
              <w:pStyle w:val="ListNumber"/>
              <w:numPr>
                <w:ilvl w:val="0"/>
                <w:numId w:val="0"/>
              </w:numPr>
            </w:pPr>
            <w:r>
              <w:t>Prepayments</w:t>
            </w:r>
          </w:p>
        </w:tc>
        <w:tc>
          <w:tcPr>
            <w:tcW w:w="1566" w:type="dxa"/>
            <w:tcBorders>
              <w:bottom w:val="single" w:sz="4" w:space="0" w:color="auto"/>
              <w:right w:val="single" w:sz="4" w:space="0" w:color="auto"/>
            </w:tcBorders>
          </w:tcPr>
          <w:p w:rsidR="004B76AC" w:rsidRDefault="004B76AC" w:rsidP="00D863EC">
            <w:pPr>
              <w:pStyle w:val="ListNumber"/>
              <w:numPr>
                <w:ilvl w:val="0"/>
                <w:numId w:val="0"/>
              </w:numPr>
              <w:jc w:val="right"/>
            </w:pPr>
            <w:r>
              <w:t>$  nn,nnn</w:t>
            </w:r>
          </w:p>
        </w:tc>
        <w:tc>
          <w:tcPr>
            <w:tcW w:w="727" w:type="dxa"/>
            <w:tcBorders>
              <w:left w:val="single" w:sz="4" w:space="0" w:color="auto"/>
            </w:tcBorders>
          </w:tcPr>
          <w:p w:rsidR="004B76AC" w:rsidRDefault="004B76AC" w:rsidP="003C20A1">
            <w:pPr>
              <w:pStyle w:val="ListNumber"/>
              <w:numPr>
                <w:ilvl w:val="0"/>
                <w:numId w:val="0"/>
              </w:numPr>
            </w:pPr>
          </w:p>
        </w:tc>
        <w:tc>
          <w:tcPr>
            <w:tcW w:w="2551" w:type="dxa"/>
            <w:gridSpan w:val="2"/>
          </w:tcPr>
          <w:p w:rsidR="004B76AC" w:rsidRDefault="004B76AC" w:rsidP="003C20A1">
            <w:pPr>
              <w:pStyle w:val="ListNumber"/>
              <w:numPr>
                <w:ilvl w:val="0"/>
                <w:numId w:val="0"/>
              </w:numPr>
            </w:pPr>
          </w:p>
        </w:tc>
        <w:tc>
          <w:tcPr>
            <w:tcW w:w="1196" w:type="dxa"/>
            <w:tcBorders>
              <w:bottom w:val="single" w:sz="4" w:space="0" w:color="auto"/>
            </w:tcBorders>
          </w:tcPr>
          <w:p w:rsidR="004B76AC" w:rsidRDefault="004B76AC" w:rsidP="003C20A1">
            <w:pPr>
              <w:pStyle w:val="ListNumber"/>
              <w:numPr>
                <w:ilvl w:val="0"/>
                <w:numId w:val="0"/>
              </w:numPr>
            </w:pPr>
          </w:p>
        </w:tc>
      </w:tr>
      <w:tr w:rsidR="004B76AC" w:rsidTr="0081470D">
        <w:tc>
          <w:tcPr>
            <w:tcW w:w="2668" w:type="dxa"/>
            <w:gridSpan w:val="2"/>
          </w:tcPr>
          <w:p w:rsidR="004B76AC" w:rsidRDefault="004B76AC" w:rsidP="003C20A1">
            <w:pPr>
              <w:pStyle w:val="ListNumber"/>
              <w:numPr>
                <w:ilvl w:val="0"/>
                <w:numId w:val="0"/>
              </w:numPr>
            </w:pPr>
            <w:r w:rsidRPr="004912F1">
              <w:rPr>
                <w:b/>
              </w:rPr>
              <w:t>TOTAL ASSETS</w:t>
            </w:r>
          </w:p>
        </w:tc>
        <w:tc>
          <w:tcPr>
            <w:tcW w:w="1566" w:type="dxa"/>
            <w:tcBorders>
              <w:top w:val="single" w:sz="4" w:space="0" w:color="auto"/>
              <w:bottom w:val="single" w:sz="4" w:space="0" w:color="auto"/>
              <w:right w:val="single" w:sz="4" w:space="0" w:color="auto"/>
            </w:tcBorders>
          </w:tcPr>
          <w:p w:rsidR="004B76AC" w:rsidRDefault="004B76AC" w:rsidP="00D863EC">
            <w:pPr>
              <w:pStyle w:val="ListNumber"/>
              <w:numPr>
                <w:ilvl w:val="0"/>
                <w:numId w:val="0"/>
              </w:numPr>
              <w:jc w:val="right"/>
            </w:pPr>
            <w:r>
              <w:t>$  nn,nnn</w:t>
            </w:r>
          </w:p>
        </w:tc>
        <w:tc>
          <w:tcPr>
            <w:tcW w:w="3278" w:type="dxa"/>
            <w:gridSpan w:val="3"/>
            <w:tcBorders>
              <w:left w:val="single" w:sz="4" w:space="0" w:color="auto"/>
            </w:tcBorders>
          </w:tcPr>
          <w:p w:rsidR="004B76AC" w:rsidRPr="00640718" w:rsidRDefault="004B76AC" w:rsidP="004B76AC">
            <w:pPr>
              <w:pStyle w:val="ListNumber"/>
              <w:numPr>
                <w:ilvl w:val="0"/>
                <w:numId w:val="0"/>
              </w:numPr>
            </w:pPr>
            <w:r w:rsidRPr="004912F1">
              <w:rPr>
                <w:b/>
              </w:rPr>
              <w:t>TOTAL LIABILITIES</w:t>
            </w:r>
          </w:p>
        </w:tc>
        <w:tc>
          <w:tcPr>
            <w:tcW w:w="1196" w:type="dxa"/>
            <w:tcBorders>
              <w:top w:val="single" w:sz="4" w:space="0" w:color="auto"/>
              <w:bottom w:val="single" w:sz="4" w:space="0" w:color="auto"/>
            </w:tcBorders>
          </w:tcPr>
          <w:p w:rsidR="004B76AC" w:rsidRPr="00640718" w:rsidRDefault="004B76AC" w:rsidP="00B21C73">
            <w:pPr>
              <w:pStyle w:val="ListNumber"/>
              <w:numPr>
                <w:ilvl w:val="0"/>
                <w:numId w:val="0"/>
              </w:numPr>
              <w:jc w:val="right"/>
            </w:pPr>
            <w:r w:rsidRPr="00640718">
              <w:t>$  nn,nnn</w:t>
            </w:r>
          </w:p>
        </w:tc>
      </w:tr>
      <w:tr w:rsidR="004B76AC" w:rsidTr="0081470D">
        <w:tc>
          <w:tcPr>
            <w:tcW w:w="2668" w:type="dxa"/>
            <w:gridSpan w:val="2"/>
          </w:tcPr>
          <w:p w:rsidR="004B76AC" w:rsidRPr="004912F1" w:rsidRDefault="004B76AC" w:rsidP="003C20A1">
            <w:pPr>
              <w:pStyle w:val="ListNumber"/>
              <w:numPr>
                <w:ilvl w:val="0"/>
                <w:numId w:val="0"/>
              </w:numPr>
              <w:rPr>
                <w:b/>
              </w:rPr>
            </w:pPr>
          </w:p>
        </w:tc>
        <w:tc>
          <w:tcPr>
            <w:tcW w:w="1566" w:type="dxa"/>
            <w:tcBorders>
              <w:top w:val="single" w:sz="4" w:space="0" w:color="auto"/>
              <w:right w:val="single" w:sz="4" w:space="0" w:color="auto"/>
            </w:tcBorders>
          </w:tcPr>
          <w:p w:rsidR="004B76AC" w:rsidRDefault="004B76AC" w:rsidP="00D863EC">
            <w:pPr>
              <w:pStyle w:val="ListNumber"/>
              <w:numPr>
                <w:ilvl w:val="0"/>
                <w:numId w:val="0"/>
              </w:numPr>
              <w:jc w:val="right"/>
            </w:pPr>
          </w:p>
        </w:tc>
        <w:tc>
          <w:tcPr>
            <w:tcW w:w="1436" w:type="dxa"/>
            <w:gridSpan w:val="2"/>
            <w:tcBorders>
              <w:left w:val="single" w:sz="4" w:space="0" w:color="auto"/>
            </w:tcBorders>
          </w:tcPr>
          <w:p w:rsidR="004B76AC" w:rsidRPr="004B76AC" w:rsidRDefault="004B76AC" w:rsidP="00B21C73">
            <w:pPr>
              <w:pStyle w:val="ListNumber"/>
              <w:numPr>
                <w:ilvl w:val="0"/>
                <w:numId w:val="0"/>
              </w:numPr>
            </w:pPr>
            <w:r w:rsidRPr="004B76AC">
              <w:rPr>
                <w:b/>
              </w:rPr>
              <w:t>NET ASSETS</w:t>
            </w:r>
          </w:p>
        </w:tc>
        <w:tc>
          <w:tcPr>
            <w:tcW w:w="1842" w:type="dxa"/>
          </w:tcPr>
          <w:p w:rsidR="004B76AC" w:rsidRDefault="004B76AC" w:rsidP="00B21C73">
            <w:pPr>
              <w:pStyle w:val="ListNumber"/>
              <w:numPr>
                <w:ilvl w:val="0"/>
                <w:numId w:val="0"/>
              </w:numPr>
            </w:pPr>
          </w:p>
        </w:tc>
        <w:tc>
          <w:tcPr>
            <w:tcW w:w="1196" w:type="dxa"/>
            <w:tcBorders>
              <w:bottom w:val="single" w:sz="4" w:space="0" w:color="auto"/>
            </w:tcBorders>
          </w:tcPr>
          <w:p w:rsidR="004B76AC" w:rsidRPr="00640718" w:rsidRDefault="004B76AC" w:rsidP="00B21C73">
            <w:pPr>
              <w:pStyle w:val="ListNumber"/>
              <w:numPr>
                <w:ilvl w:val="0"/>
                <w:numId w:val="0"/>
              </w:numPr>
              <w:jc w:val="right"/>
            </w:pPr>
            <w:r w:rsidRPr="00640718">
              <w:t>$  nn,nnn</w:t>
            </w:r>
          </w:p>
        </w:tc>
      </w:tr>
    </w:tbl>
    <w:p w:rsidR="009927C9" w:rsidRPr="005B0B0A" w:rsidRDefault="002D7983" w:rsidP="005C2AE8">
      <w:pPr>
        <w:pStyle w:val="ListNumber"/>
        <w:numPr>
          <w:ilvl w:val="0"/>
          <w:numId w:val="0"/>
        </w:numPr>
        <w:ind w:left="426"/>
      </w:pPr>
      <w:r>
        <w:t xml:space="preserve">Under normal accounting standards, if new equipment is purchased for cash for $500, Cash at Bank falls by $500, Fixed Assets increase by $500 so that the Balance Sheet </w:t>
      </w:r>
      <w:r w:rsidR="004B76AC">
        <w:t xml:space="preserve">continues to </w:t>
      </w:r>
      <w:r>
        <w:t>balance, and the equipment is subsequently depreciated. In the case of our OC, if new equipment is purchased for cash for $500, Cash a</w:t>
      </w:r>
      <w:r w:rsidR="0081470D">
        <w:t>t</w:t>
      </w:r>
      <w:r>
        <w:t xml:space="preserve"> Bank simply falls by $500, with no other record in the formal accounts of what it was spent on</w:t>
      </w:r>
      <w:r w:rsidR="004B76AC">
        <w:t>, and Net Assets falls by $500</w:t>
      </w:r>
      <w:r>
        <w:t xml:space="preserve">. This opens the door to </w:t>
      </w:r>
      <w:r w:rsidR="004B76AC">
        <w:t xml:space="preserve">relatively easy </w:t>
      </w:r>
      <w:r>
        <w:t>fraud</w:t>
      </w:r>
      <w:r w:rsidR="004B76AC">
        <w:t>ulent activity</w:t>
      </w:r>
      <w:r>
        <w:t>.</w:t>
      </w:r>
    </w:p>
    <w:p w:rsidR="009927C9" w:rsidRDefault="003C20A1" w:rsidP="005C2AE8">
      <w:pPr>
        <w:pStyle w:val="ListNumber"/>
        <w:numPr>
          <w:ilvl w:val="0"/>
          <w:numId w:val="0"/>
        </w:numPr>
        <w:ind w:left="426"/>
      </w:pPr>
      <w:r>
        <w:t>Under s.34 (2) of the Act a</w:t>
      </w:r>
      <w:r w:rsidRPr="003C20A1">
        <w:t xml:space="preserve">ccounts </w:t>
      </w:r>
      <w:r>
        <w:t>must</w:t>
      </w:r>
      <w:r w:rsidRPr="003C20A1">
        <w:t xml:space="preserve"> be prepared in accordance with </w:t>
      </w:r>
      <w:r>
        <w:t xml:space="preserve">the </w:t>
      </w:r>
      <w:r w:rsidRPr="003C20A1">
        <w:t xml:space="preserve">financial standards </w:t>
      </w:r>
      <w:r>
        <w:t>specified in the OC Regulations.</w:t>
      </w:r>
      <w:r w:rsidR="009927C9">
        <w:t xml:space="preserve"> However, there are no standards specified in the OC Regulations. The Statement of Significant Accounting Policies provided for our </w:t>
      </w:r>
      <w:r w:rsidR="006C7DEE">
        <w:t>OC</w:t>
      </w:r>
      <w:r w:rsidR="009927C9">
        <w:t xml:space="preserve"> states:</w:t>
      </w:r>
    </w:p>
    <w:p w:rsidR="009927C9" w:rsidRDefault="009927C9" w:rsidP="006C7DEE">
      <w:pPr>
        <w:pStyle w:val="ListNumber"/>
        <w:numPr>
          <w:ilvl w:val="0"/>
          <w:numId w:val="0"/>
        </w:numPr>
        <w:jc w:val="right"/>
      </w:pPr>
      <w:r>
        <w:rPr>
          <w:noProof/>
        </w:rPr>
        <w:drawing>
          <wp:inline distT="0" distB="0" distL="0" distR="0" wp14:anchorId="3CFB6A29" wp14:editId="61BE3BA2">
            <wp:extent cx="5446643" cy="1091074"/>
            <wp:effectExtent l="0" t="0" r="1905" b="0"/>
            <wp:docPr id="675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0301" cy="1089804"/>
                    </a:xfrm>
                    <a:prstGeom prst="rect">
                      <a:avLst/>
                    </a:prstGeom>
                    <a:noFill/>
                    <a:ln>
                      <a:noFill/>
                    </a:ln>
                    <a:extLst/>
                  </pic:spPr>
                </pic:pic>
              </a:graphicData>
            </a:graphic>
          </wp:inline>
        </w:drawing>
      </w:r>
    </w:p>
    <w:p w:rsidR="00425E63" w:rsidRDefault="009927C9" w:rsidP="005C2AE8">
      <w:pPr>
        <w:pStyle w:val="ListNumber"/>
        <w:numPr>
          <w:ilvl w:val="0"/>
          <w:numId w:val="0"/>
        </w:numPr>
        <w:ind w:left="426"/>
      </w:pPr>
      <w:r>
        <w:lastRenderedPageBreak/>
        <w:t>A more transparent statement would be to say: “No financial standards of any kind have been applied to the preparation of this financial report.”</w:t>
      </w:r>
      <w:r w:rsidR="00212BE8">
        <w:t xml:space="preserve"> </w:t>
      </w:r>
    </w:p>
    <w:p w:rsidR="009927C9" w:rsidRDefault="00212BE8" w:rsidP="005C2AE8">
      <w:pPr>
        <w:pStyle w:val="ListNumber"/>
        <w:numPr>
          <w:ilvl w:val="0"/>
          <w:numId w:val="0"/>
        </w:numPr>
        <w:ind w:left="426"/>
      </w:pPr>
      <w:r>
        <w:t>Th</w:t>
      </w:r>
      <w:r w:rsidR="00425E63">
        <w:t>e</w:t>
      </w:r>
      <w:r>
        <w:t xml:space="preserve"> issue </w:t>
      </w:r>
      <w:r w:rsidR="00425E63">
        <w:t xml:space="preserve">of including financial standards in the OC Regulations </w:t>
      </w:r>
      <w:r>
        <w:t xml:space="preserve">needs to be </w:t>
      </w:r>
      <w:r w:rsidR="0081470D">
        <w:t xml:space="preserve">urgently </w:t>
      </w:r>
      <w:r>
        <w:t>addressed.</w:t>
      </w:r>
    </w:p>
    <w:p w:rsidR="00AC3BFE" w:rsidRPr="00120FE9" w:rsidRDefault="00AC3BFE" w:rsidP="00291486">
      <w:pPr>
        <w:pStyle w:val="ListNumber"/>
        <w:numPr>
          <w:ilvl w:val="0"/>
          <w:numId w:val="2"/>
        </w:numPr>
        <w:spacing w:before="200"/>
        <w:ind w:left="357" w:hanging="357"/>
        <w:rPr>
          <w:b/>
        </w:rPr>
      </w:pPr>
      <w:r w:rsidRPr="00120FE9">
        <w:rPr>
          <w:b/>
        </w:rPr>
        <w:t>Should owners corporations have the power to require managers to provide inspection of whatever accounts are kept by the manager, including providing copies?</w:t>
      </w:r>
    </w:p>
    <w:p w:rsidR="00291486" w:rsidRDefault="00291486" w:rsidP="005C2AE8">
      <w:pPr>
        <w:pStyle w:val="ListNumber"/>
        <w:numPr>
          <w:ilvl w:val="0"/>
          <w:numId w:val="0"/>
        </w:numPr>
        <w:ind w:left="426"/>
      </w:pPr>
      <w:r>
        <w:t xml:space="preserve">Yes, </w:t>
      </w:r>
      <w:r w:rsidR="006C7DEE">
        <w:t>OC</w:t>
      </w:r>
      <w:r>
        <w:t xml:space="preserve">s should have the power to require </w:t>
      </w:r>
      <w:r w:rsidR="008202EE">
        <w:t xml:space="preserve">OC </w:t>
      </w:r>
      <w:r>
        <w:t>M</w:t>
      </w:r>
      <w:r w:rsidRPr="00291486">
        <w:t>anagers to provide inspection of wha</w:t>
      </w:r>
      <w:r>
        <w:t xml:space="preserve">tever accounts are kept by the </w:t>
      </w:r>
      <w:r w:rsidR="008202EE">
        <w:t>OC Manager</w:t>
      </w:r>
      <w:r w:rsidRPr="00291486">
        <w:t>, including providing copies</w:t>
      </w:r>
      <w:r>
        <w:t xml:space="preserve">. However, effective auditing of </w:t>
      </w:r>
      <w:r w:rsidR="00425E63">
        <w:t>an</w:t>
      </w:r>
      <w:r>
        <w:t xml:space="preserve"> </w:t>
      </w:r>
      <w:r w:rsidR="008202EE">
        <w:t>OC Manager</w:t>
      </w:r>
      <w:r>
        <w:t>s’ delegated financial powers and functions is almost impossible as there are too many areas where the Owners Corporation Act 2006 does not provide sufficient guidance. For example:</w:t>
      </w:r>
    </w:p>
    <w:p w:rsidR="00291486" w:rsidRDefault="00291486" w:rsidP="00DC7D4B">
      <w:pPr>
        <w:pStyle w:val="ListNumber"/>
        <w:numPr>
          <w:ilvl w:val="0"/>
          <w:numId w:val="6"/>
        </w:numPr>
        <w:tabs>
          <w:tab w:val="left" w:pos="851"/>
        </w:tabs>
        <w:ind w:left="851"/>
      </w:pPr>
      <w:r>
        <w:t xml:space="preserve">Prescribed OCs are required to have a maintenance plan and maintenance fund, which are to encompass major capital items, but there is no guidance (other than </w:t>
      </w:r>
      <w:r w:rsidRPr="00621017">
        <w:t>s.37 (2)</w:t>
      </w:r>
      <w:r>
        <w:t>, which is far too limited) as to what constitutes a major item. As a consequence, it is unclear what maintenance should be paid from the Operating Fund, and what should be paid from the Maintenance Fund.</w:t>
      </w:r>
    </w:p>
    <w:p w:rsidR="00120FE9" w:rsidRDefault="00291486" w:rsidP="00DC7D4B">
      <w:pPr>
        <w:pStyle w:val="ListNumber"/>
        <w:numPr>
          <w:ilvl w:val="0"/>
          <w:numId w:val="6"/>
        </w:numPr>
        <w:tabs>
          <w:tab w:val="left" w:pos="851"/>
        </w:tabs>
        <w:ind w:left="851"/>
      </w:pPr>
      <w:r>
        <w:t xml:space="preserve">There are no applicable financial standards to audit </w:t>
      </w:r>
      <w:r w:rsidR="0081470D">
        <w:t xml:space="preserve">the OC </w:t>
      </w:r>
      <w:r>
        <w:t xml:space="preserve">Manager against (see </w:t>
      </w:r>
      <w:r w:rsidR="0014249D">
        <w:t>answer to Q.32 above.)</w:t>
      </w:r>
    </w:p>
    <w:p w:rsidR="00017262" w:rsidRDefault="00017262" w:rsidP="00017262">
      <w:pPr>
        <w:pStyle w:val="Heading2"/>
      </w:pPr>
      <w:r>
        <w:t>Unsuitable managers</w:t>
      </w:r>
    </w:p>
    <w:p w:rsidR="00AC3BFE" w:rsidRPr="00120FE9" w:rsidRDefault="00AC3BFE" w:rsidP="00291486">
      <w:pPr>
        <w:pStyle w:val="ListNumber"/>
        <w:numPr>
          <w:ilvl w:val="0"/>
          <w:numId w:val="2"/>
        </w:numPr>
        <w:spacing w:before="200"/>
        <w:ind w:left="357" w:hanging="357"/>
        <w:rPr>
          <w:b/>
        </w:rPr>
      </w:pPr>
      <w:r w:rsidRPr="00120FE9">
        <w:rPr>
          <w:b/>
        </w:rPr>
        <w:t>Should managers be required to keep a record of each exercise of a delegated function and serve a copy on the owners corporation?</w:t>
      </w:r>
    </w:p>
    <w:p w:rsidR="00120FE9" w:rsidRDefault="0081470D" w:rsidP="005C2AE8">
      <w:pPr>
        <w:pStyle w:val="ListNumber"/>
        <w:numPr>
          <w:ilvl w:val="0"/>
          <w:numId w:val="0"/>
        </w:numPr>
        <w:ind w:left="426"/>
      </w:pPr>
      <w:r>
        <w:t>Yes, in the absence of the financial standards</w:t>
      </w:r>
      <w:r w:rsidR="008B7E60">
        <w:t xml:space="preserve"> referred to in the answer to Q.32.</w:t>
      </w:r>
    </w:p>
    <w:p w:rsidR="00AC3BFE" w:rsidRPr="00120FE9" w:rsidRDefault="00AC3BFE" w:rsidP="00291486">
      <w:pPr>
        <w:pStyle w:val="ListNumber"/>
        <w:numPr>
          <w:ilvl w:val="0"/>
          <w:numId w:val="2"/>
        </w:numPr>
        <w:spacing w:before="200"/>
        <w:ind w:left="357" w:hanging="357"/>
        <w:rPr>
          <w:b/>
        </w:rPr>
      </w:pPr>
      <w:r w:rsidRPr="00120FE9">
        <w:rPr>
          <w:b/>
        </w:rPr>
        <w:t>Should there be a criminal record check for managers, including officers or employees?</w:t>
      </w:r>
    </w:p>
    <w:p w:rsidR="00120FE9" w:rsidRDefault="008B7E60" w:rsidP="005C2AE8">
      <w:pPr>
        <w:pStyle w:val="ListNumber"/>
        <w:numPr>
          <w:ilvl w:val="0"/>
          <w:numId w:val="0"/>
        </w:numPr>
        <w:ind w:left="426"/>
      </w:pPr>
      <w:r>
        <w:t>Yes.</w:t>
      </w:r>
    </w:p>
    <w:p w:rsidR="00AC3BFE" w:rsidRPr="00120FE9" w:rsidRDefault="00AC3BFE" w:rsidP="00291486">
      <w:pPr>
        <w:pStyle w:val="ListNumber"/>
        <w:numPr>
          <w:ilvl w:val="0"/>
          <w:numId w:val="2"/>
        </w:numPr>
        <w:spacing w:before="200"/>
        <w:ind w:left="357" w:hanging="357"/>
        <w:rPr>
          <w:b/>
        </w:rPr>
      </w:pPr>
      <w:r w:rsidRPr="00120FE9">
        <w:rPr>
          <w:b/>
        </w:rPr>
        <w:t>If so, should the test reflect that in the Estate Agents Act?  If not, what are appropriate disqualification provisions?</w:t>
      </w:r>
    </w:p>
    <w:p w:rsidR="00120FE9" w:rsidRPr="005B0B0A" w:rsidRDefault="008B7E60" w:rsidP="005C2AE8">
      <w:pPr>
        <w:pStyle w:val="ListNumber"/>
        <w:numPr>
          <w:ilvl w:val="0"/>
          <w:numId w:val="0"/>
        </w:numPr>
        <w:ind w:left="426"/>
      </w:pPr>
      <w:r>
        <w:t>Yes, the Estate Agents Act provisions are a good starting point.</w:t>
      </w:r>
    </w:p>
    <w:p w:rsidR="00AC3BFE" w:rsidRPr="00120FE9" w:rsidRDefault="00AC3BFE" w:rsidP="00291486">
      <w:pPr>
        <w:pStyle w:val="ListNumber"/>
        <w:numPr>
          <w:ilvl w:val="0"/>
          <w:numId w:val="2"/>
        </w:numPr>
        <w:spacing w:before="200"/>
        <w:ind w:left="357" w:hanging="357"/>
        <w:rPr>
          <w:b/>
        </w:rPr>
      </w:pPr>
      <w:r w:rsidRPr="00120FE9">
        <w:rPr>
          <w:b/>
        </w:rPr>
        <w:t>Should the test extend to voluntary as well as professional managers?</w:t>
      </w:r>
    </w:p>
    <w:p w:rsidR="00291486" w:rsidRDefault="008B7E60" w:rsidP="005C2AE8">
      <w:pPr>
        <w:pStyle w:val="ListNumber"/>
        <w:numPr>
          <w:ilvl w:val="0"/>
          <w:numId w:val="0"/>
        </w:numPr>
        <w:ind w:left="426"/>
      </w:pPr>
      <w:r>
        <w:t>Definitely. Criminality is just as likely in either case, and there is every reason to believe that volunteer OC Managers will be screened less effectively than professionals.</w:t>
      </w:r>
    </w:p>
    <w:p w:rsidR="008B7E60" w:rsidRPr="00BC66FA" w:rsidRDefault="008B7E60" w:rsidP="008B7E60">
      <w:pPr>
        <w:pStyle w:val="ListNumber"/>
        <w:numPr>
          <w:ilvl w:val="0"/>
          <w:numId w:val="0"/>
        </w:numPr>
        <w:rPr>
          <w:b/>
        </w:rPr>
      </w:pPr>
      <w:r w:rsidRPr="00BC66FA">
        <w:rPr>
          <w:b/>
        </w:rPr>
        <w:t>Other issues not covered by the questions above:</w:t>
      </w:r>
    </w:p>
    <w:p w:rsidR="008B7E60" w:rsidRDefault="008B7E60" w:rsidP="008B7E60">
      <w:pPr>
        <w:pStyle w:val="ListNumber"/>
        <w:numPr>
          <w:ilvl w:val="0"/>
          <w:numId w:val="0"/>
        </w:numPr>
        <w:ind w:left="426"/>
      </w:pPr>
      <w:r>
        <w:t xml:space="preserve">There are significant issues associated with unsuitable </w:t>
      </w:r>
      <w:r w:rsidR="008202EE">
        <w:t>OC Manager</w:t>
      </w:r>
      <w:r>
        <w:t xml:space="preserve">s that have not been canvassed on the questions CAV has posed. </w:t>
      </w:r>
    </w:p>
    <w:p w:rsidR="008B7E60" w:rsidRDefault="008B7E60" w:rsidP="008B7E60">
      <w:pPr>
        <w:pStyle w:val="ListNumber"/>
        <w:numPr>
          <w:ilvl w:val="0"/>
          <w:numId w:val="0"/>
        </w:numPr>
        <w:ind w:left="426"/>
      </w:pPr>
      <w:r>
        <w:t xml:space="preserve">Both OC Committees and OC Managers are required to exercise due care and diligence in exercising their powers and functions, but CAV does not appear to be required to do the same when it comes to the registration of </w:t>
      </w:r>
      <w:r w:rsidR="008202EE">
        <w:t>OC Manager</w:t>
      </w:r>
      <w:r>
        <w:t xml:space="preserve">s (see extract from The Age below.) </w:t>
      </w:r>
    </w:p>
    <w:p w:rsidR="008B7E60" w:rsidRDefault="008B7E60" w:rsidP="00A22D9F">
      <w:pPr>
        <w:pStyle w:val="ListNumber"/>
        <w:numPr>
          <w:ilvl w:val="0"/>
          <w:numId w:val="0"/>
        </w:numPr>
        <w:ind w:left="426"/>
      </w:pPr>
      <w:r>
        <w:rPr>
          <w:noProof/>
        </w:rPr>
        <w:lastRenderedPageBreak/>
        <w:drawing>
          <wp:inline distT="0" distB="0" distL="0" distR="0" wp14:anchorId="7FABDD3C" wp14:editId="7F534D84">
            <wp:extent cx="5486400" cy="5486400"/>
            <wp:effectExtent l="0" t="0" r="0" b="0"/>
            <wp:docPr id="38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6"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012" cy="5480012"/>
                    </a:xfrm>
                    <a:prstGeom prst="rect">
                      <a:avLst/>
                    </a:prstGeom>
                    <a:noFill/>
                    <a:ln>
                      <a:noFill/>
                    </a:ln>
                    <a:extLst/>
                  </pic:spPr>
                </pic:pic>
              </a:graphicData>
            </a:graphic>
          </wp:inline>
        </w:drawing>
      </w:r>
    </w:p>
    <w:p w:rsidR="008B7E60" w:rsidRPr="0039480C" w:rsidRDefault="008B7E60" w:rsidP="00425E63">
      <w:pPr>
        <w:pStyle w:val="ListNumber"/>
        <w:numPr>
          <w:ilvl w:val="0"/>
          <w:numId w:val="0"/>
        </w:numPr>
        <w:jc w:val="right"/>
        <w:rPr>
          <w:sz w:val="16"/>
        </w:rPr>
      </w:pPr>
      <w:r w:rsidRPr="0039480C">
        <w:rPr>
          <w:sz w:val="16"/>
        </w:rPr>
        <w:t xml:space="preserve">Source: The Age, </w:t>
      </w:r>
      <w:hyperlink r:id="rId14" w:history="1">
        <w:r w:rsidRPr="0039480C">
          <w:rPr>
            <w:rStyle w:val="Hyperlink"/>
            <w:sz w:val="16"/>
          </w:rPr>
          <w:t>http://www.theage.com.au/national/rip-off-body-corporate-managers-stay-registered-20130205-2dwj0.html</w:t>
        </w:r>
      </w:hyperlink>
      <w:r w:rsidR="00425E63">
        <w:rPr>
          <w:sz w:val="16"/>
        </w:rPr>
        <w:t xml:space="preserve"> </w:t>
      </w:r>
    </w:p>
    <w:p w:rsidR="00A22D9F" w:rsidRDefault="00A22D9F" w:rsidP="00A22D9F">
      <w:pPr>
        <w:pStyle w:val="ListNumber"/>
        <w:numPr>
          <w:ilvl w:val="0"/>
          <w:numId w:val="0"/>
        </w:numPr>
        <w:ind w:left="426"/>
      </w:pPr>
      <w:r>
        <w:t>I believe CAV needs to take stronger action on this matter than it has to date, and it needs to be accountable for the quality and integrity of the OC Managers it registers.</w:t>
      </w:r>
    </w:p>
    <w:p w:rsidR="00A22D9F" w:rsidRDefault="00A22D9F" w:rsidP="00A22D9F">
      <w:pPr>
        <w:pStyle w:val="ListNumber"/>
        <w:numPr>
          <w:ilvl w:val="0"/>
          <w:numId w:val="0"/>
        </w:numPr>
        <w:ind w:left="426"/>
      </w:pPr>
      <w:r>
        <w:t xml:space="preserve">Appropriate information CAV should be obtaining from applicants for registration, and in each annual renewal report, is provided in the answer to Q.9. The information should be analysed each year to establish the suitability of the applicant, or the ongoing suitability of </w:t>
      </w:r>
      <w:r w:rsidR="00B7230F">
        <w:t>each</w:t>
      </w:r>
      <w:r>
        <w:t xml:space="preserve"> OC Manager.</w:t>
      </w:r>
    </w:p>
    <w:p w:rsidR="008B7E60" w:rsidRDefault="008B7E60" w:rsidP="005C2AE8">
      <w:pPr>
        <w:pStyle w:val="ListNumber"/>
        <w:numPr>
          <w:ilvl w:val="0"/>
          <w:numId w:val="0"/>
        </w:numPr>
        <w:ind w:left="426"/>
      </w:pPr>
    </w:p>
    <w:sectPr w:rsidR="008B7E60" w:rsidSect="006A5EF1">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C8" w:rsidRDefault="00690CC8" w:rsidP="006A5EF1">
      <w:pPr>
        <w:spacing w:after="0" w:line="240" w:lineRule="auto"/>
      </w:pPr>
      <w:r>
        <w:separator/>
      </w:r>
    </w:p>
  </w:endnote>
  <w:endnote w:type="continuationSeparator" w:id="0">
    <w:p w:rsidR="00690CC8" w:rsidRDefault="00690CC8" w:rsidP="006A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70D" w:rsidRDefault="0081470D">
    <w:pPr>
      <w:pStyle w:val="Footer"/>
      <w:jc w:val="right"/>
    </w:pPr>
  </w:p>
  <w:p w:rsidR="0081470D" w:rsidRDefault="00814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13278"/>
      <w:docPartObj>
        <w:docPartGallery w:val="Page Numbers (Bottom of Page)"/>
        <w:docPartUnique/>
      </w:docPartObj>
    </w:sdtPr>
    <w:sdtEndPr>
      <w:rPr>
        <w:noProof/>
      </w:rPr>
    </w:sdtEndPr>
    <w:sdtContent>
      <w:p w:rsidR="0081470D" w:rsidRDefault="0081470D">
        <w:pPr>
          <w:pStyle w:val="Footer"/>
          <w:jc w:val="right"/>
        </w:pPr>
        <w:r>
          <w:fldChar w:fldCharType="begin"/>
        </w:r>
        <w:r>
          <w:instrText xml:space="preserve"> PAGE   \* MERGEFORMAT </w:instrText>
        </w:r>
        <w:r>
          <w:fldChar w:fldCharType="separate"/>
        </w:r>
        <w:r w:rsidR="00F75269">
          <w:rPr>
            <w:noProof/>
          </w:rPr>
          <w:t>3</w:t>
        </w:r>
        <w:r>
          <w:rPr>
            <w:noProof/>
          </w:rPr>
          <w:fldChar w:fldCharType="end"/>
        </w:r>
      </w:p>
    </w:sdtContent>
  </w:sdt>
  <w:p w:rsidR="0081470D" w:rsidRDefault="00814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C8" w:rsidRDefault="00690CC8" w:rsidP="006A5EF1">
      <w:pPr>
        <w:spacing w:after="0" w:line="240" w:lineRule="auto"/>
      </w:pPr>
      <w:r>
        <w:separator/>
      </w:r>
    </w:p>
  </w:footnote>
  <w:footnote w:type="continuationSeparator" w:id="0">
    <w:p w:rsidR="00690CC8" w:rsidRDefault="00690CC8" w:rsidP="006A5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65F"/>
    <w:multiLevelType w:val="hybridMultilevel"/>
    <w:tmpl w:val="989C4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31A604B"/>
    <w:multiLevelType w:val="hybridMultilevel"/>
    <w:tmpl w:val="CC568BF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nsid w:val="268E6252"/>
    <w:multiLevelType w:val="hybridMultilevel"/>
    <w:tmpl w:val="7660C0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2DC05702"/>
    <w:multiLevelType w:val="hybridMultilevel"/>
    <w:tmpl w:val="52E48AB8"/>
    <w:lvl w:ilvl="0" w:tplc="84C87582">
      <w:start w:val="1"/>
      <w:numFmt w:val="decimal"/>
      <w:pStyle w:val="ListNumber"/>
      <w:lvlText w:val="%1"/>
      <w:lvlJc w:val="left"/>
      <w:pPr>
        <w:tabs>
          <w:tab w:val="num" w:pos="720"/>
        </w:tabs>
        <w:ind w:left="720" w:hanging="360"/>
      </w:pPr>
      <w:rPr>
        <w:rFonts w:ascii="Calibri" w:hAnsi="Calibri"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A510479"/>
    <w:multiLevelType w:val="hybridMultilevel"/>
    <w:tmpl w:val="99BC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EA699B"/>
    <w:multiLevelType w:val="multilevel"/>
    <w:tmpl w:val="AD4E2626"/>
    <w:styleLink w:val="StyleBulleted"/>
    <w:lvl w:ilvl="0">
      <w:start w:val="1"/>
      <w:numFmt w:val="bullet"/>
      <w:lvlText w:val=""/>
      <w:lvlJc w:val="left"/>
      <w:pPr>
        <w:tabs>
          <w:tab w:val="num" w:pos="720"/>
        </w:tabs>
        <w:ind w:left="360" w:hanging="360"/>
      </w:pPr>
      <w:rPr>
        <w:rFonts w:ascii="Symbol" w:hAnsi="Symbol"/>
        <w:color w:val="000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382AAB"/>
    <w:multiLevelType w:val="hybridMultilevel"/>
    <w:tmpl w:val="2422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547E9A"/>
    <w:multiLevelType w:val="hybridMultilevel"/>
    <w:tmpl w:val="4314BFB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nsid w:val="5A400D44"/>
    <w:multiLevelType w:val="hybridMultilevel"/>
    <w:tmpl w:val="5B94D2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F3B2E0A"/>
    <w:multiLevelType w:val="hybridMultilevel"/>
    <w:tmpl w:val="D848E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FCC2325"/>
    <w:multiLevelType w:val="hybridMultilevel"/>
    <w:tmpl w:val="D9F6673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4"/>
  </w:num>
  <w:num w:numId="6">
    <w:abstractNumId w:val="0"/>
  </w:num>
  <w:num w:numId="7">
    <w:abstractNumId w:val="7"/>
  </w:num>
  <w:num w:numId="8">
    <w:abstractNumId w:val="2"/>
  </w:num>
  <w:num w:numId="9">
    <w:abstractNumId w:val="10"/>
  </w:num>
  <w:num w:numId="10">
    <w:abstractNumId w:val="1"/>
  </w:num>
  <w:num w:numId="11">
    <w:abstractNumId w:val="3"/>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FE"/>
    <w:rsid w:val="0001270B"/>
    <w:rsid w:val="00012F39"/>
    <w:rsid w:val="00017262"/>
    <w:rsid w:val="00024207"/>
    <w:rsid w:val="00033604"/>
    <w:rsid w:val="000565C8"/>
    <w:rsid w:val="000822E6"/>
    <w:rsid w:val="000B3DDD"/>
    <w:rsid w:val="000E153E"/>
    <w:rsid w:val="000E6008"/>
    <w:rsid w:val="00120FE9"/>
    <w:rsid w:val="0014249D"/>
    <w:rsid w:val="001471EB"/>
    <w:rsid w:val="00150822"/>
    <w:rsid w:val="00155E7B"/>
    <w:rsid w:val="001620B4"/>
    <w:rsid w:val="001830AE"/>
    <w:rsid w:val="001C4524"/>
    <w:rsid w:val="001E1504"/>
    <w:rsid w:val="001E5DC3"/>
    <w:rsid w:val="00201A79"/>
    <w:rsid w:val="00201FC7"/>
    <w:rsid w:val="00212BE8"/>
    <w:rsid w:val="00256A9F"/>
    <w:rsid w:val="0026396A"/>
    <w:rsid w:val="00291486"/>
    <w:rsid w:val="002B0D37"/>
    <w:rsid w:val="002C49C5"/>
    <w:rsid w:val="002D7983"/>
    <w:rsid w:val="00372DD7"/>
    <w:rsid w:val="0039480C"/>
    <w:rsid w:val="003C20A1"/>
    <w:rsid w:val="00405D80"/>
    <w:rsid w:val="004177D2"/>
    <w:rsid w:val="00425E63"/>
    <w:rsid w:val="004441D9"/>
    <w:rsid w:val="00451261"/>
    <w:rsid w:val="00460C99"/>
    <w:rsid w:val="00465649"/>
    <w:rsid w:val="004721F9"/>
    <w:rsid w:val="00472928"/>
    <w:rsid w:val="004779C1"/>
    <w:rsid w:val="004912F1"/>
    <w:rsid w:val="00497380"/>
    <w:rsid w:val="004B76AC"/>
    <w:rsid w:val="004E41DC"/>
    <w:rsid w:val="004F0EB8"/>
    <w:rsid w:val="005039C6"/>
    <w:rsid w:val="00531D81"/>
    <w:rsid w:val="00567315"/>
    <w:rsid w:val="005A69C2"/>
    <w:rsid w:val="005B6424"/>
    <w:rsid w:val="005C2AE8"/>
    <w:rsid w:val="005D4EA9"/>
    <w:rsid w:val="005D66F6"/>
    <w:rsid w:val="005F5338"/>
    <w:rsid w:val="00605FF7"/>
    <w:rsid w:val="00607A07"/>
    <w:rsid w:val="00621017"/>
    <w:rsid w:val="00690402"/>
    <w:rsid w:val="00690CC8"/>
    <w:rsid w:val="006A202C"/>
    <w:rsid w:val="006A5EF1"/>
    <w:rsid w:val="006A7212"/>
    <w:rsid w:val="006C7DEE"/>
    <w:rsid w:val="006D5FB3"/>
    <w:rsid w:val="006E4B42"/>
    <w:rsid w:val="006E7074"/>
    <w:rsid w:val="007007B8"/>
    <w:rsid w:val="00710061"/>
    <w:rsid w:val="00750447"/>
    <w:rsid w:val="00781261"/>
    <w:rsid w:val="00787585"/>
    <w:rsid w:val="007A5784"/>
    <w:rsid w:val="00812991"/>
    <w:rsid w:val="0081470D"/>
    <w:rsid w:val="008202EE"/>
    <w:rsid w:val="00862FD5"/>
    <w:rsid w:val="00876A6B"/>
    <w:rsid w:val="008920EB"/>
    <w:rsid w:val="008A6D87"/>
    <w:rsid w:val="008B7E60"/>
    <w:rsid w:val="008D0556"/>
    <w:rsid w:val="008E0E99"/>
    <w:rsid w:val="008E63D9"/>
    <w:rsid w:val="00914FD8"/>
    <w:rsid w:val="00921EC2"/>
    <w:rsid w:val="009642CA"/>
    <w:rsid w:val="00965BE7"/>
    <w:rsid w:val="00966CDD"/>
    <w:rsid w:val="0098624D"/>
    <w:rsid w:val="009927C9"/>
    <w:rsid w:val="00993187"/>
    <w:rsid w:val="009A6084"/>
    <w:rsid w:val="009C272B"/>
    <w:rsid w:val="009F2238"/>
    <w:rsid w:val="009F3C5B"/>
    <w:rsid w:val="00A22D9F"/>
    <w:rsid w:val="00A43003"/>
    <w:rsid w:val="00A54B3F"/>
    <w:rsid w:val="00A723E9"/>
    <w:rsid w:val="00AB0C79"/>
    <w:rsid w:val="00AB73D8"/>
    <w:rsid w:val="00AC3BFE"/>
    <w:rsid w:val="00B21C73"/>
    <w:rsid w:val="00B22028"/>
    <w:rsid w:val="00B268A0"/>
    <w:rsid w:val="00B35730"/>
    <w:rsid w:val="00B7230F"/>
    <w:rsid w:val="00B90D65"/>
    <w:rsid w:val="00BC4B75"/>
    <w:rsid w:val="00BC66FA"/>
    <w:rsid w:val="00BD672C"/>
    <w:rsid w:val="00C1745F"/>
    <w:rsid w:val="00C43DC9"/>
    <w:rsid w:val="00C503D6"/>
    <w:rsid w:val="00C67AF7"/>
    <w:rsid w:val="00D324BD"/>
    <w:rsid w:val="00D42392"/>
    <w:rsid w:val="00D61378"/>
    <w:rsid w:val="00D64E0D"/>
    <w:rsid w:val="00D72B87"/>
    <w:rsid w:val="00D73C15"/>
    <w:rsid w:val="00D8303C"/>
    <w:rsid w:val="00D863EC"/>
    <w:rsid w:val="00DC7D4B"/>
    <w:rsid w:val="00E53D36"/>
    <w:rsid w:val="00E55586"/>
    <w:rsid w:val="00F2363A"/>
    <w:rsid w:val="00F513BE"/>
    <w:rsid w:val="00F56AD2"/>
    <w:rsid w:val="00F75269"/>
    <w:rsid w:val="00F809B9"/>
    <w:rsid w:val="00F91707"/>
    <w:rsid w:val="00F9410F"/>
    <w:rsid w:val="00FA0C3B"/>
    <w:rsid w:val="00FF6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6008"/>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0AE"/>
    <w:pPr>
      <w:keepNext/>
      <w:keepLines/>
      <w:spacing w:before="200" w:after="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2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C3BFE"/>
    <w:pPr>
      <w:numPr>
        <w:numId w:val="1"/>
      </w:numPr>
      <w:spacing w:before="120" w:after="0" w:line="240" w:lineRule="auto"/>
    </w:pPr>
    <w:rPr>
      <w:rFonts w:ascii="Calibri" w:eastAsia="Times New Roman" w:hAnsi="Calibri" w:cs="Times New Roman"/>
      <w:sz w:val="24"/>
      <w:szCs w:val="24"/>
      <w:lang w:eastAsia="en-AU"/>
    </w:rPr>
  </w:style>
  <w:style w:type="paragraph" w:styleId="ListParagraph">
    <w:name w:val="List Paragraph"/>
    <w:basedOn w:val="Normal"/>
    <w:uiPriority w:val="34"/>
    <w:qFormat/>
    <w:rsid w:val="00AC3BFE"/>
    <w:pPr>
      <w:ind w:left="720"/>
      <w:contextualSpacing/>
    </w:pPr>
  </w:style>
  <w:style w:type="character" w:styleId="Hyperlink">
    <w:name w:val="Hyperlink"/>
    <w:rsid w:val="00AC3BFE"/>
    <w:rPr>
      <w:rFonts w:ascii="Calibri" w:hAnsi="Calibri"/>
      <w:color w:val="0000FF"/>
      <w:sz w:val="24"/>
      <w:u w:val="single"/>
    </w:rPr>
  </w:style>
  <w:style w:type="paragraph" w:styleId="BodyText">
    <w:name w:val="Body Text"/>
    <w:basedOn w:val="Normal"/>
    <w:link w:val="BodyTextChar"/>
    <w:rsid w:val="00AC3BFE"/>
    <w:pPr>
      <w:widowControl w:val="0"/>
      <w:spacing w:before="120" w:after="0" w:line="240" w:lineRule="auto"/>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AC3BFE"/>
    <w:rPr>
      <w:rFonts w:ascii="Calibri" w:eastAsia="Times New Roman" w:hAnsi="Calibri" w:cs="Times New Roman"/>
      <w:sz w:val="24"/>
      <w:szCs w:val="24"/>
      <w:lang w:eastAsia="en-AU"/>
    </w:rPr>
  </w:style>
  <w:style w:type="numbering" w:customStyle="1" w:styleId="StyleBulleted">
    <w:name w:val="Style Bulleted"/>
    <w:basedOn w:val="NoList"/>
    <w:rsid w:val="00AC3BFE"/>
    <w:pPr>
      <w:numPr>
        <w:numId w:val="3"/>
      </w:numPr>
    </w:pPr>
  </w:style>
  <w:style w:type="character" w:customStyle="1" w:styleId="Heading1Char">
    <w:name w:val="Heading 1 Char"/>
    <w:basedOn w:val="DefaultParagraphFont"/>
    <w:link w:val="Heading1"/>
    <w:uiPriority w:val="9"/>
    <w:rsid w:val="000E60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30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726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A0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C3B"/>
    <w:rPr>
      <w:rFonts w:ascii="Tahoma" w:hAnsi="Tahoma" w:cs="Tahoma"/>
      <w:sz w:val="16"/>
      <w:szCs w:val="16"/>
    </w:rPr>
  </w:style>
  <w:style w:type="table" w:styleId="TableGrid">
    <w:name w:val="Table Grid"/>
    <w:basedOn w:val="TableNormal"/>
    <w:uiPriority w:val="59"/>
    <w:rsid w:val="002D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EF1"/>
  </w:style>
  <w:style w:type="paragraph" w:styleId="Footer">
    <w:name w:val="footer"/>
    <w:basedOn w:val="Normal"/>
    <w:link w:val="FooterChar"/>
    <w:uiPriority w:val="99"/>
    <w:unhideWhenUsed/>
    <w:rsid w:val="006A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EF1"/>
  </w:style>
  <w:style w:type="character" w:styleId="FollowedHyperlink">
    <w:name w:val="FollowedHyperlink"/>
    <w:basedOn w:val="DefaultParagraphFont"/>
    <w:uiPriority w:val="99"/>
    <w:semiHidden/>
    <w:unhideWhenUsed/>
    <w:rsid w:val="004F0E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6008"/>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0AE"/>
    <w:pPr>
      <w:keepNext/>
      <w:keepLines/>
      <w:spacing w:before="200" w:after="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2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C3BFE"/>
    <w:pPr>
      <w:numPr>
        <w:numId w:val="1"/>
      </w:numPr>
      <w:spacing w:before="120" w:after="0" w:line="240" w:lineRule="auto"/>
    </w:pPr>
    <w:rPr>
      <w:rFonts w:ascii="Calibri" w:eastAsia="Times New Roman" w:hAnsi="Calibri" w:cs="Times New Roman"/>
      <w:sz w:val="24"/>
      <w:szCs w:val="24"/>
      <w:lang w:eastAsia="en-AU"/>
    </w:rPr>
  </w:style>
  <w:style w:type="paragraph" w:styleId="ListParagraph">
    <w:name w:val="List Paragraph"/>
    <w:basedOn w:val="Normal"/>
    <w:uiPriority w:val="34"/>
    <w:qFormat/>
    <w:rsid w:val="00AC3BFE"/>
    <w:pPr>
      <w:ind w:left="720"/>
      <w:contextualSpacing/>
    </w:pPr>
  </w:style>
  <w:style w:type="character" w:styleId="Hyperlink">
    <w:name w:val="Hyperlink"/>
    <w:rsid w:val="00AC3BFE"/>
    <w:rPr>
      <w:rFonts w:ascii="Calibri" w:hAnsi="Calibri"/>
      <w:color w:val="0000FF"/>
      <w:sz w:val="24"/>
      <w:u w:val="single"/>
    </w:rPr>
  </w:style>
  <w:style w:type="paragraph" w:styleId="BodyText">
    <w:name w:val="Body Text"/>
    <w:basedOn w:val="Normal"/>
    <w:link w:val="BodyTextChar"/>
    <w:rsid w:val="00AC3BFE"/>
    <w:pPr>
      <w:widowControl w:val="0"/>
      <w:spacing w:before="120" w:after="0" w:line="240" w:lineRule="auto"/>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AC3BFE"/>
    <w:rPr>
      <w:rFonts w:ascii="Calibri" w:eastAsia="Times New Roman" w:hAnsi="Calibri" w:cs="Times New Roman"/>
      <w:sz w:val="24"/>
      <w:szCs w:val="24"/>
      <w:lang w:eastAsia="en-AU"/>
    </w:rPr>
  </w:style>
  <w:style w:type="numbering" w:customStyle="1" w:styleId="StyleBulleted">
    <w:name w:val="Style Bulleted"/>
    <w:basedOn w:val="NoList"/>
    <w:rsid w:val="00AC3BFE"/>
    <w:pPr>
      <w:numPr>
        <w:numId w:val="3"/>
      </w:numPr>
    </w:pPr>
  </w:style>
  <w:style w:type="character" w:customStyle="1" w:styleId="Heading1Char">
    <w:name w:val="Heading 1 Char"/>
    <w:basedOn w:val="DefaultParagraphFont"/>
    <w:link w:val="Heading1"/>
    <w:uiPriority w:val="9"/>
    <w:rsid w:val="000E60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30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726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A0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C3B"/>
    <w:rPr>
      <w:rFonts w:ascii="Tahoma" w:hAnsi="Tahoma" w:cs="Tahoma"/>
      <w:sz w:val="16"/>
      <w:szCs w:val="16"/>
    </w:rPr>
  </w:style>
  <w:style w:type="table" w:styleId="TableGrid">
    <w:name w:val="Table Grid"/>
    <w:basedOn w:val="TableNormal"/>
    <w:uiPriority w:val="59"/>
    <w:rsid w:val="002D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EF1"/>
  </w:style>
  <w:style w:type="paragraph" w:styleId="Footer">
    <w:name w:val="footer"/>
    <w:basedOn w:val="Normal"/>
    <w:link w:val="FooterChar"/>
    <w:uiPriority w:val="99"/>
    <w:unhideWhenUsed/>
    <w:rsid w:val="006A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EF1"/>
  </w:style>
  <w:style w:type="character" w:styleId="FollowedHyperlink">
    <w:name w:val="FollowedHyperlink"/>
    <w:basedOn w:val="DefaultParagraphFont"/>
    <w:uiPriority w:val="99"/>
    <w:semiHidden/>
    <w:unhideWhenUsed/>
    <w:rsid w:val="004F0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34925">
      <w:bodyDiv w:val="1"/>
      <w:marLeft w:val="0"/>
      <w:marRight w:val="0"/>
      <w:marTop w:val="0"/>
      <w:marBottom w:val="0"/>
      <w:divBdr>
        <w:top w:val="none" w:sz="0" w:space="0" w:color="auto"/>
        <w:left w:val="none" w:sz="0" w:space="0" w:color="auto"/>
        <w:bottom w:val="none" w:sz="0" w:space="0" w:color="auto"/>
        <w:right w:val="none" w:sz="0" w:space="0" w:color="auto"/>
      </w:divBdr>
      <w:divsChild>
        <w:div w:id="289867261">
          <w:marLeft w:val="1166"/>
          <w:marRight w:val="0"/>
          <w:marTop w:val="134"/>
          <w:marBottom w:val="0"/>
          <w:divBdr>
            <w:top w:val="none" w:sz="0" w:space="0" w:color="auto"/>
            <w:left w:val="none" w:sz="0" w:space="0" w:color="auto"/>
            <w:bottom w:val="none" w:sz="0" w:space="0" w:color="auto"/>
            <w:right w:val="none" w:sz="0" w:space="0" w:color="auto"/>
          </w:divBdr>
        </w:div>
        <w:div w:id="1539782814">
          <w:marLeft w:val="1166"/>
          <w:marRight w:val="0"/>
          <w:marTop w:val="134"/>
          <w:marBottom w:val="0"/>
          <w:divBdr>
            <w:top w:val="none" w:sz="0" w:space="0" w:color="auto"/>
            <w:left w:val="none" w:sz="0" w:space="0" w:color="auto"/>
            <w:bottom w:val="none" w:sz="0" w:space="0" w:color="auto"/>
            <w:right w:val="none" w:sz="0" w:space="0" w:color="auto"/>
          </w:divBdr>
        </w:div>
        <w:div w:id="2046443766">
          <w:marLeft w:val="1166"/>
          <w:marRight w:val="0"/>
          <w:marTop w:val="134"/>
          <w:marBottom w:val="0"/>
          <w:divBdr>
            <w:top w:val="none" w:sz="0" w:space="0" w:color="auto"/>
            <w:left w:val="none" w:sz="0" w:space="0" w:color="auto"/>
            <w:bottom w:val="none" w:sz="0" w:space="0" w:color="auto"/>
            <w:right w:val="none" w:sz="0" w:space="0" w:color="auto"/>
          </w:divBdr>
        </w:div>
        <w:div w:id="1550606285">
          <w:marLeft w:val="1800"/>
          <w:marRight w:val="0"/>
          <w:marTop w:val="115"/>
          <w:marBottom w:val="0"/>
          <w:divBdr>
            <w:top w:val="none" w:sz="0" w:space="0" w:color="auto"/>
            <w:left w:val="none" w:sz="0" w:space="0" w:color="auto"/>
            <w:bottom w:val="none" w:sz="0" w:space="0" w:color="auto"/>
            <w:right w:val="none" w:sz="0" w:space="0" w:color="auto"/>
          </w:divBdr>
        </w:div>
      </w:divsChild>
    </w:div>
    <w:div w:id="1398438841">
      <w:bodyDiv w:val="1"/>
      <w:marLeft w:val="0"/>
      <w:marRight w:val="0"/>
      <w:marTop w:val="0"/>
      <w:marBottom w:val="0"/>
      <w:divBdr>
        <w:top w:val="none" w:sz="0" w:space="0" w:color="auto"/>
        <w:left w:val="none" w:sz="0" w:space="0" w:color="auto"/>
        <w:bottom w:val="none" w:sz="0" w:space="0" w:color="auto"/>
        <w:right w:val="none" w:sz="0" w:space="0" w:color="auto"/>
      </w:divBdr>
      <w:divsChild>
        <w:div w:id="1368794323">
          <w:marLeft w:val="1166"/>
          <w:marRight w:val="0"/>
          <w:marTop w:val="134"/>
          <w:marBottom w:val="0"/>
          <w:divBdr>
            <w:top w:val="none" w:sz="0" w:space="0" w:color="auto"/>
            <w:left w:val="none" w:sz="0" w:space="0" w:color="auto"/>
            <w:bottom w:val="none" w:sz="0" w:space="0" w:color="auto"/>
            <w:right w:val="none" w:sz="0" w:space="0" w:color="auto"/>
          </w:divBdr>
        </w:div>
        <w:div w:id="516697225">
          <w:marLeft w:val="1166"/>
          <w:marRight w:val="0"/>
          <w:marTop w:val="134"/>
          <w:marBottom w:val="0"/>
          <w:divBdr>
            <w:top w:val="none" w:sz="0" w:space="0" w:color="auto"/>
            <w:left w:val="none" w:sz="0" w:space="0" w:color="auto"/>
            <w:bottom w:val="none" w:sz="0" w:space="0" w:color="auto"/>
            <w:right w:val="none" w:sz="0" w:space="0" w:color="auto"/>
          </w:divBdr>
        </w:div>
        <w:div w:id="1398627813">
          <w:marLeft w:val="1166"/>
          <w:marRight w:val="0"/>
          <w:marTop w:val="134"/>
          <w:marBottom w:val="0"/>
          <w:divBdr>
            <w:top w:val="none" w:sz="0" w:space="0" w:color="auto"/>
            <w:left w:val="none" w:sz="0" w:space="0" w:color="auto"/>
            <w:bottom w:val="none" w:sz="0" w:space="0" w:color="auto"/>
            <w:right w:val="none" w:sz="0" w:space="0" w:color="auto"/>
          </w:divBdr>
        </w:div>
        <w:div w:id="1865751866">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bertr@bigpond.net.au"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eage.com.au/national/rip-off-body-corporate-managers-stay-registered-20130205-2dwj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17</Pages>
  <Words>5682</Words>
  <Characters>32391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Lambert</dc:creator>
  <cp:lastModifiedBy>Rod Lambert</cp:lastModifiedBy>
  <cp:revision>14</cp:revision>
  <cp:lastPrinted>2016-03-09T09:28:00Z</cp:lastPrinted>
  <dcterms:created xsi:type="dcterms:W3CDTF">2016-03-09T07:59:00Z</dcterms:created>
  <dcterms:modified xsi:type="dcterms:W3CDTF">2016-03-09T22:49:00Z</dcterms:modified>
</cp:coreProperties>
</file>