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E0" w:rsidRDefault="001038E0" w:rsidP="005D59E1">
      <w:pPr>
        <w:spacing w:before="120" w:after="120"/>
        <w:jc w:val="right"/>
      </w:pPr>
      <w:bookmarkStart w:id="0" w:name="_GoBack"/>
      <w:bookmarkEnd w:id="0"/>
    </w:p>
    <w:p w:rsidR="00512162" w:rsidRDefault="001038E0" w:rsidP="005D59E1">
      <w:pPr>
        <w:spacing w:before="120" w:after="120"/>
      </w:pPr>
      <w:r>
        <w:rPr>
          <w:noProof/>
          <w:lang w:eastAsia="en-AU"/>
        </w:rPr>
        <mc:AlternateContent>
          <mc:Choice Requires="wps">
            <w:drawing>
              <wp:anchor distT="0" distB="0" distL="182880" distR="182880" simplePos="0" relativeHeight="251660288" behindDoc="0" locked="0" layoutInCell="1" allowOverlap="1" wp14:anchorId="341D4978" wp14:editId="6298496C">
                <wp:simplePos x="0" y="0"/>
                <wp:positionH relativeFrom="margin">
                  <wp:align>right</wp:align>
                </wp:positionH>
                <wp:positionV relativeFrom="page">
                  <wp:posOffset>5438775</wp:posOffset>
                </wp:positionV>
                <wp:extent cx="5470525" cy="31623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470525" cy="316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7C7B" w:rsidRPr="001038E0" w:rsidRDefault="00CE426F">
                            <w:pPr>
                              <w:pStyle w:val="NoSpacing"/>
                              <w:spacing w:before="40" w:after="560" w:line="216" w:lineRule="auto"/>
                              <w:rPr>
                                <w:color w:val="5B9BD5" w:themeColor="accent1"/>
                                <w:sz w:val="68"/>
                                <w:szCs w:val="68"/>
                              </w:rPr>
                            </w:pPr>
                            <w:sdt>
                              <w:sdtPr>
                                <w:rPr>
                                  <w:color w:val="5B9BD5" w:themeColor="accent1"/>
                                  <w:sz w:val="68"/>
                                  <w:szCs w:val="68"/>
                                </w:rPr>
                                <w:alias w:val="Title"/>
                                <w:tag w:val=""/>
                                <w:id w:val="-2140801668"/>
                                <w:dataBinding w:prefixMappings="xmlns:ns0='http://purl.org/dc/elements/1.1/' xmlns:ns1='http://schemas.openxmlformats.org/package/2006/metadata/core-properties' " w:xpath="/ns1:coreProperties[1]/ns0:title[1]" w:storeItemID="{6C3C8BC8-F283-45AE-878A-BAB7291924A1}"/>
                                <w:text/>
                              </w:sdtPr>
                              <w:sdtEndPr/>
                              <w:sdtContent>
                                <w:r w:rsidR="00315C29">
                                  <w:rPr>
                                    <w:color w:val="5B9BD5" w:themeColor="accent1"/>
                                    <w:sz w:val="68"/>
                                    <w:szCs w:val="68"/>
                                    <w:lang w:val="en-AU"/>
                                  </w:rPr>
                                  <w:t>Submission - Urban Development Institute of Australia</w:t>
                                </w:r>
                              </w:sdtContent>
                            </w:sdt>
                          </w:p>
                          <w:sdt>
                            <w:sdtPr>
                              <w:rPr>
                                <w:caps/>
                                <w:color w:val="1F3864" w:themeColor="accent5" w:themeShade="80"/>
                                <w:sz w:val="44"/>
                                <w:szCs w:val="44"/>
                              </w:rPr>
                              <w:alias w:val="Subtitle"/>
                              <w:tag w:val=""/>
                              <w:id w:val="-268012329"/>
                              <w:showingPlcHdr/>
                              <w:dataBinding w:prefixMappings="xmlns:ns0='http://purl.org/dc/elements/1.1/' xmlns:ns1='http://schemas.openxmlformats.org/package/2006/metadata/core-properties' " w:xpath="/ns1:coreProperties[1]/ns0:subject[1]" w:storeItemID="{6C3C8BC8-F283-45AE-878A-BAB7291924A1}"/>
                              <w:text/>
                            </w:sdtPr>
                            <w:sdtEndPr/>
                            <w:sdtContent>
                              <w:p w:rsidR="007C7C7B" w:rsidRPr="007A71DC" w:rsidRDefault="00315C29">
                                <w:pPr>
                                  <w:pStyle w:val="NoSpacing"/>
                                  <w:spacing w:before="40" w:after="40"/>
                                  <w:rPr>
                                    <w:caps/>
                                    <w:color w:val="1F3864" w:themeColor="accent5" w:themeShade="80"/>
                                    <w:sz w:val="44"/>
                                    <w:szCs w:val="44"/>
                                  </w:rPr>
                                </w:pPr>
                                <w:r>
                                  <w:rPr>
                                    <w:caps/>
                                    <w:color w:val="1F3864" w:themeColor="accent5" w:themeShade="80"/>
                                    <w:sz w:val="44"/>
                                    <w:szCs w:val="44"/>
                                  </w:rPr>
                                  <w:t xml:space="preserve">     </w:t>
                                </w:r>
                              </w:p>
                            </w:sdtContent>
                          </w:sdt>
                          <w:p w:rsidR="007C7C7B" w:rsidRDefault="007C7C7B">
                            <w:pPr>
                              <w:pStyle w:val="NoSpacing"/>
                              <w:spacing w:before="80" w:after="40"/>
                              <w:rPr>
                                <w:caps/>
                                <w:color w:val="4472C4" w:themeColor="accent5"/>
                                <w:sz w:val="40"/>
                                <w:szCs w:val="40"/>
                              </w:rPr>
                            </w:pPr>
                            <w:r w:rsidRPr="007A71DC">
                              <w:rPr>
                                <w:caps/>
                                <w:color w:val="4472C4" w:themeColor="accent5"/>
                                <w:sz w:val="40"/>
                                <w:szCs w:val="40"/>
                              </w:rPr>
                              <w:t>Urban development institute of australia (victoria)</w:t>
                            </w:r>
                            <w:r>
                              <w:rPr>
                                <w:caps/>
                                <w:color w:val="4472C4" w:themeColor="accent5"/>
                                <w:sz w:val="40"/>
                                <w:szCs w:val="40"/>
                              </w:rPr>
                              <w:t xml:space="preserve"> </w:t>
                            </w:r>
                          </w:p>
                          <w:p w:rsidR="007C7C7B" w:rsidRDefault="007C7C7B">
                            <w:pPr>
                              <w:pStyle w:val="NoSpacing"/>
                              <w:spacing w:before="80" w:after="40"/>
                              <w:rPr>
                                <w:caps/>
                                <w:color w:val="4472C4" w:themeColor="accent5"/>
                                <w:sz w:val="40"/>
                                <w:szCs w:val="40"/>
                              </w:rPr>
                            </w:pPr>
                          </w:p>
                          <w:p w:rsidR="007C7C7B" w:rsidRPr="007A71DC" w:rsidRDefault="007C7C7B">
                            <w:pPr>
                              <w:pStyle w:val="NoSpacing"/>
                              <w:spacing w:before="80" w:after="40"/>
                              <w:rPr>
                                <w:caps/>
                                <w:color w:val="4472C4" w:themeColor="accent5"/>
                                <w:sz w:val="40"/>
                                <w:szCs w:val="40"/>
                              </w:rPr>
                            </w:pPr>
                            <w:r>
                              <w:rPr>
                                <w:caps/>
                                <w:color w:val="4472C4" w:themeColor="accent5"/>
                                <w:sz w:val="40"/>
                                <w:szCs w:val="40"/>
                              </w:rPr>
                              <w:t>March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1D4978" id="_x0000_t202" coordsize="21600,21600" o:spt="202" path="m,l,21600r21600,l21600,xe">
                <v:stroke joinstyle="miter"/>
                <v:path gradientshapeok="t" o:connecttype="rect"/>
              </v:shapetype>
              <v:shape id="Text Box 131" o:spid="_x0000_s1026" type="#_x0000_t202" style="position:absolute;margin-left:379.55pt;margin-top:428.25pt;width:430.75pt;height:249pt;z-index:251660288;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DBdwIAAFcFAAAOAAAAZHJzL2Uyb0RvYy54bWysVMFu2zAMvQ/YPwi6r3aSpRuCOkXWosOA&#10;oi3WDjsrstQYk0VNUhJnX78n2U6LbpcOu8g0+UiRj6TOzrvWsJ3yoSFb8clJyZmykurGPlb828PV&#10;u4+chShsLQxZVfGDCvx8+fbN2d4t1JQ2ZGrlGYLYsNi7im9idIuiCHKjWhFOyCkLoybfiohf/1jU&#10;XuwRvTXFtCxPiz352nmSKgRoL3sjX+b4WisZb7UOKjJTceQW8+nzuU5nsTwTi0cv3KaRQxriH7Jo&#10;RWNx6THUpYiCbX3zR6i2kZ4C6XgiqS1I60aqXAOqmZQvqrnfCKdyLSAnuCNN4f+FlTe7O8+aGr2b&#10;TTizokWTHlQX2SfqWNKBob0LCwDvHaCxgwHoUR+gTIV32rfpi5IY7OD6cOQ3hZNQzt9/KOfTOWcS&#10;ttnkdDorcweKJ3fnQ/ysqGVJqLhHAzOvYncdIlIBdISk2yxdNcbkJhrL9hU/nc3L7HC0wMPYhFV5&#10;HIYwqaQ+9SzFg1EJY+xXpUFHriAp8iCqC+PZTmCEhJTKxlx8jgt0Qmkk8RrHAf+U1Wuc+zrGm8nG&#10;o3PbWPK5+hdp1z/GlHWPB5HP6k5i7Nbd0Oo11Qd02lO/LcHJqwbduBYh3gmP9UBzsfLxFoc2BNZp&#10;kDjbkP/1N33CY2ph5WyPdat4+LkVXnFmvljMc9rNUfCjsB4Fu20vCPRjQpFNFuHgoxlF7an9jpdg&#10;lW6BSViJuyoeR/Ei9kuPl0Sq1SqDsIFOxGt772QKnbqRZuuh+y68GwYwYnZvaFxEsXgxhz02eVpa&#10;bSPpJg9pIrRncSAa25tnd3hp0vPw/D+jnt7D5W8AAAD//wMAUEsDBBQABgAIAAAAIQCyHAsA3gAA&#10;AAkBAAAPAAAAZHJzL2Rvd25yZXYueG1sTI9LT4UwEIX3Jv6HZkzceQsqhCDlxvjY+bxqortCRyDS&#10;lrQDF/+940p3c3JOznyn2q52FAuGOHinIN0kINC13gyuU/D6cntSgIikndGjd6jgGyNs68ODSpfG&#10;790zLjvqBJe4WGoFPdFUShnbHq2OGz+hY+/TB6uJZeikCXrP5XaUp0mSS6sHxx96PeFVj+3XbrYK&#10;xvcY7pqEPpbr7p6eHuX8dpM+KHV8tF5egCBc6S8Mv/iMDjUzNX52JopRAQ8hBUWWZyDYLvKUj4Zz&#10;Z9l5BrKu5P8F9Q8AAAD//wMAUEsBAi0AFAAGAAgAAAAhALaDOJL+AAAA4QEAABMAAAAAAAAAAAAA&#10;AAAAAAAAAFtDb250ZW50X1R5cGVzXS54bWxQSwECLQAUAAYACAAAACEAOP0h/9YAAACUAQAACwAA&#10;AAAAAAAAAAAAAAAvAQAAX3JlbHMvLnJlbHNQSwECLQAUAAYACAAAACEAb0TAwXcCAABXBQAADgAA&#10;AAAAAAAAAAAAAAAuAgAAZHJzL2Uyb0RvYy54bWxQSwECLQAUAAYACAAAACEAshwLAN4AAAAJAQAA&#10;DwAAAAAAAAAAAAAAAADRBAAAZHJzL2Rvd25yZXYueG1sUEsFBgAAAAAEAAQA8wAAANwFAAAAAA==&#10;" filled="f" stroked="f" strokeweight=".5pt">
                <v:textbox inset="0,0,0,0">
                  <w:txbxContent>
                    <w:p w:rsidR="007C7C7B" w:rsidRPr="001038E0" w:rsidRDefault="00315C29">
                      <w:pPr>
                        <w:pStyle w:val="NoSpacing"/>
                        <w:spacing w:before="40" w:after="560" w:line="216" w:lineRule="auto"/>
                        <w:rPr>
                          <w:color w:val="5B9BD5" w:themeColor="accent1"/>
                          <w:sz w:val="68"/>
                          <w:szCs w:val="68"/>
                        </w:rPr>
                      </w:pPr>
                      <w:sdt>
                        <w:sdtPr>
                          <w:rPr>
                            <w:color w:val="5B9BD5" w:themeColor="accent1"/>
                            <w:sz w:val="68"/>
                            <w:szCs w:val="68"/>
                          </w:rPr>
                          <w:alias w:val="Title"/>
                          <w:tag w:val=""/>
                          <w:id w:val="-2140801668"/>
                          <w:dataBinding w:prefixMappings="xmlns:ns0='http://purl.org/dc/elements/1.1/' xmlns:ns1='http://schemas.openxmlformats.org/package/2006/metadata/core-properties' " w:xpath="/ns1:coreProperties[1]/ns0:title[1]" w:storeItemID="{6C3C8BC8-F283-45AE-878A-BAB7291924A1}"/>
                          <w:text/>
                        </w:sdtPr>
                        <w:sdtEndPr/>
                        <w:sdtContent>
                          <w:r>
                            <w:rPr>
                              <w:color w:val="5B9BD5" w:themeColor="accent1"/>
                              <w:sz w:val="68"/>
                              <w:szCs w:val="68"/>
                              <w:lang w:val="en-AU"/>
                            </w:rPr>
                            <w:t>Submission - Urban Development Institute of Australia</w:t>
                          </w:r>
                        </w:sdtContent>
                      </w:sdt>
                    </w:p>
                    <w:sdt>
                      <w:sdtPr>
                        <w:rPr>
                          <w:caps/>
                          <w:color w:val="1F3864" w:themeColor="accent5" w:themeShade="80"/>
                          <w:sz w:val="44"/>
                          <w:szCs w:val="44"/>
                        </w:rPr>
                        <w:alias w:val="Subtitle"/>
                        <w:tag w:val=""/>
                        <w:id w:val="-268012329"/>
                        <w:showingPlcHdr/>
                        <w:dataBinding w:prefixMappings="xmlns:ns0='http://purl.org/dc/elements/1.1/' xmlns:ns1='http://schemas.openxmlformats.org/package/2006/metadata/core-properties' " w:xpath="/ns1:coreProperties[1]/ns0:subject[1]" w:storeItemID="{6C3C8BC8-F283-45AE-878A-BAB7291924A1}"/>
                        <w:text/>
                      </w:sdtPr>
                      <w:sdtEndPr/>
                      <w:sdtContent>
                        <w:p w:rsidR="007C7C7B" w:rsidRPr="007A71DC" w:rsidRDefault="00315C29">
                          <w:pPr>
                            <w:pStyle w:val="NoSpacing"/>
                            <w:spacing w:before="40" w:after="40"/>
                            <w:rPr>
                              <w:caps/>
                              <w:color w:val="1F3864" w:themeColor="accent5" w:themeShade="80"/>
                              <w:sz w:val="44"/>
                              <w:szCs w:val="44"/>
                            </w:rPr>
                          </w:pPr>
                          <w:r>
                            <w:rPr>
                              <w:caps/>
                              <w:color w:val="1F3864" w:themeColor="accent5" w:themeShade="80"/>
                              <w:sz w:val="44"/>
                              <w:szCs w:val="44"/>
                            </w:rPr>
                            <w:t xml:space="preserve">     </w:t>
                          </w:r>
                        </w:p>
                      </w:sdtContent>
                    </w:sdt>
                    <w:p w:rsidR="007C7C7B" w:rsidRDefault="007C7C7B">
                      <w:pPr>
                        <w:pStyle w:val="NoSpacing"/>
                        <w:spacing w:before="80" w:after="40"/>
                        <w:rPr>
                          <w:caps/>
                          <w:color w:val="4472C4" w:themeColor="accent5"/>
                          <w:sz w:val="40"/>
                          <w:szCs w:val="40"/>
                        </w:rPr>
                      </w:pPr>
                      <w:r w:rsidRPr="007A71DC">
                        <w:rPr>
                          <w:caps/>
                          <w:color w:val="4472C4" w:themeColor="accent5"/>
                          <w:sz w:val="40"/>
                          <w:szCs w:val="40"/>
                        </w:rPr>
                        <w:t>Urban development institute of australia (victoria)</w:t>
                      </w:r>
                      <w:r>
                        <w:rPr>
                          <w:caps/>
                          <w:color w:val="4472C4" w:themeColor="accent5"/>
                          <w:sz w:val="40"/>
                          <w:szCs w:val="40"/>
                        </w:rPr>
                        <w:t xml:space="preserve"> </w:t>
                      </w:r>
                    </w:p>
                    <w:p w:rsidR="007C7C7B" w:rsidRDefault="007C7C7B">
                      <w:pPr>
                        <w:pStyle w:val="NoSpacing"/>
                        <w:spacing w:before="80" w:after="40"/>
                        <w:rPr>
                          <w:caps/>
                          <w:color w:val="4472C4" w:themeColor="accent5"/>
                          <w:sz w:val="40"/>
                          <w:szCs w:val="40"/>
                        </w:rPr>
                      </w:pPr>
                    </w:p>
                    <w:p w:rsidR="007C7C7B" w:rsidRPr="007A71DC" w:rsidRDefault="007C7C7B">
                      <w:pPr>
                        <w:pStyle w:val="NoSpacing"/>
                        <w:spacing w:before="80" w:after="40"/>
                        <w:rPr>
                          <w:caps/>
                          <w:color w:val="4472C4" w:themeColor="accent5"/>
                          <w:sz w:val="40"/>
                          <w:szCs w:val="40"/>
                        </w:rPr>
                      </w:pPr>
                      <w:r>
                        <w:rPr>
                          <w:caps/>
                          <w:color w:val="4472C4" w:themeColor="accent5"/>
                          <w:sz w:val="40"/>
                          <w:szCs w:val="40"/>
                        </w:rPr>
                        <w:t>March 2016</w:t>
                      </w:r>
                    </w:p>
                  </w:txbxContent>
                </v:textbox>
                <w10:wrap type="square" anchorx="margin" anchory="page"/>
              </v:shape>
            </w:pict>
          </mc:Fallback>
        </mc:AlternateContent>
      </w:r>
      <w:r>
        <w:br w:type="page"/>
      </w:r>
    </w:p>
    <w:p w:rsidR="00162949" w:rsidRPr="00C44827" w:rsidRDefault="00162949" w:rsidP="005D59E1">
      <w:pPr>
        <w:pStyle w:val="Heading1"/>
        <w:spacing w:before="120" w:after="120"/>
      </w:pPr>
      <w:bookmarkStart w:id="1" w:name="_Toc438206771"/>
      <w:r w:rsidRPr="00C44827">
        <w:lastRenderedPageBreak/>
        <w:t>ABOUT US</w:t>
      </w:r>
      <w:bookmarkEnd w:id="1"/>
    </w:p>
    <w:p w:rsidR="00072822" w:rsidRPr="00C44827" w:rsidRDefault="00072822" w:rsidP="005D59E1">
      <w:pPr>
        <w:pStyle w:val="Heading3"/>
        <w:spacing w:before="120" w:after="120"/>
      </w:pPr>
      <w:bookmarkStart w:id="2" w:name="_Toc438124164"/>
      <w:bookmarkStart w:id="3" w:name="_Toc438206772"/>
      <w:r w:rsidRPr="00C44827">
        <w:t>Urban Development Institute of Australia (Victoria)</w:t>
      </w:r>
      <w:bookmarkEnd w:id="2"/>
      <w:bookmarkEnd w:id="3"/>
    </w:p>
    <w:p w:rsidR="00162949" w:rsidRPr="00AA1CEB" w:rsidRDefault="00162949" w:rsidP="005D59E1">
      <w:pPr>
        <w:pStyle w:val="NormalWeb"/>
        <w:spacing w:before="120" w:beforeAutospacing="0" w:after="120" w:afterAutospacing="0"/>
        <w:rPr>
          <w:rFonts w:asciiTheme="minorHAnsi" w:hAnsiTheme="minorHAnsi" w:cs="Arial"/>
          <w:sz w:val="22"/>
          <w:szCs w:val="23"/>
        </w:rPr>
      </w:pPr>
      <w:r w:rsidRPr="00AA1CEB">
        <w:rPr>
          <w:rFonts w:asciiTheme="minorHAnsi" w:hAnsiTheme="minorHAnsi" w:cs="Arial"/>
          <w:sz w:val="22"/>
          <w:szCs w:val="23"/>
        </w:rPr>
        <w:t>The Urban Development Institute of Australia (</w:t>
      </w:r>
      <w:r w:rsidR="00AA1CEB">
        <w:rPr>
          <w:rFonts w:asciiTheme="minorHAnsi" w:hAnsiTheme="minorHAnsi" w:cs="Arial"/>
          <w:sz w:val="22"/>
          <w:szCs w:val="23"/>
        </w:rPr>
        <w:t xml:space="preserve">the </w:t>
      </w:r>
      <w:r w:rsidR="000B2D1C" w:rsidRPr="00AA1CEB">
        <w:rPr>
          <w:rFonts w:asciiTheme="minorHAnsi" w:hAnsiTheme="minorHAnsi" w:cs="Arial"/>
          <w:sz w:val="22"/>
          <w:szCs w:val="23"/>
        </w:rPr>
        <w:t>Institute</w:t>
      </w:r>
      <w:r w:rsidRPr="00AA1CEB">
        <w:rPr>
          <w:rFonts w:asciiTheme="minorHAnsi" w:hAnsiTheme="minorHAnsi" w:cs="Arial"/>
          <w:sz w:val="22"/>
          <w:szCs w:val="23"/>
        </w:rPr>
        <w:t xml:space="preserve">) is the </w:t>
      </w:r>
      <w:r w:rsidR="00D826C8" w:rsidRPr="00AA1CEB">
        <w:rPr>
          <w:rFonts w:asciiTheme="minorHAnsi" w:hAnsiTheme="minorHAnsi" w:cs="Arial"/>
          <w:sz w:val="22"/>
          <w:szCs w:val="23"/>
        </w:rPr>
        <w:t>peak</w:t>
      </w:r>
      <w:r w:rsidRPr="00AA1CEB">
        <w:rPr>
          <w:rFonts w:asciiTheme="minorHAnsi" w:hAnsiTheme="minorHAnsi" w:cs="Arial"/>
          <w:sz w:val="22"/>
          <w:szCs w:val="23"/>
        </w:rPr>
        <w:t xml:space="preserve"> industry body</w:t>
      </w:r>
      <w:r w:rsidR="00D826C8" w:rsidRPr="00AA1CEB">
        <w:rPr>
          <w:rFonts w:asciiTheme="minorHAnsi" w:hAnsiTheme="minorHAnsi" w:cs="Arial"/>
          <w:sz w:val="22"/>
          <w:szCs w:val="23"/>
        </w:rPr>
        <w:t xml:space="preserve"> for the urban development sector</w:t>
      </w:r>
      <w:r w:rsidRPr="00AA1CEB">
        <w:rPr>
          <w:rFonts w:asciiTheme="minorHAnsi" w:hAnsiTheme="minorHAnsi" w:cs="Arial"/>
          <w:sz w:val="22"/>
          <w:szCs w:val="23"/>
        </w:rPr>
        <w:t>. In Victoria, we provide over</w:t>
      </w:r>
      <w:r w:rsidR="00D826C8" w:rsidRPr="00AA1CEB">
        <w:rPr>
          <w:rFonts w:asciiTheme="minorHAnsi" w:hAnsiTheme="minorHAnsi" w:cs="Arial"/>
          <w:sz w:val="22"/>
          <w:szCs w:val="23"/>
        </w:rPr>
        <w:t xml:space="preserve"> 32</w:t>
      </w:r>
      <w:r w:rsidRPr="00AA1CEB">
        <w:rPr>
          <w:rFonts w:asciiTheme="minorHAnsi" w:hAnsiTheme="minorHAnsi" w:cs="Arial"/>
          <w:sz w:val="22"/>
          <w:szCs w:val="23"/>
        </w:rPr>
        <w:t>0 member companies with the benefits of policy and advocacy</w:t>
      </w:r>
      <w:r w:rsidR="007F59E5" w:rsidRPr="00AA1CEB">
        <w:rPr>
          <w:rFonts w:asciiTheme="minorHAnsi" w:hAnsiTheme="minorHAnsi" w:cs="Arial"/>
          <w:sz w:val="22"/>
          <w:szCs w:val="23"/>
        </w:rPr>
        <w:t xml:space="preserve"> activities</w:t>
      </w:r>
      <w:r w:rsidRPr="00AA1CEB">
        <w:rPr>
          <w:rFonts w:asciiTheme="minorHAnsi" w:hAnsiTheme="minorHAnsi" w:cs="Arial"/>
          <w:sz w:val="22"/>
          <w:szCs w:val="23"/>
        </w:rPr>
        <w:t>, industry intelligence, networking and business building</w:t>
      </w:r>
      <w:r w:rsidR="007F59E5" w:rsidRPr="00AA1CEB">
        <w:rPr>
          <w:rFonts w:asciiTheme="minorHAnsi" w:hAnsiTheme="minorHAnsi" w:cs="Arial"/>
          <w:sz w:val="22"/>
          <w:szCs w:val="23"/>
        </w:rPr>
        <w:t xml:space="preserve"> opportunities</w:t>
      </w:r>
      <w:r w:rsidRPr="00AA1CEB">
        <w:rPr>
          <w:rFonts w:asciiTheme="minorHAnsi" w:hAnsiTheme="minorHAnsi" w:cs="Arial"/>
          <w:sz w:val="22"/>
          <w:szCs w:val="23"/>
        </w:rPr>
        <w:t>.</w:t>
      </w:r>
    </w:p>
    <w:p w:rsidR="002C7A37" w:rsidRPr="00AA1CEB" w:rsidRDefault="00162949" w:rsidP="005D59E1">
      <w:pPr>
        <w:pStyle w:val="NormalWeb"/>
        <w:spacing w:before="120" w:beforeAutospacing="0" w:after="120" w:afterAutospacing="0"/>
        <w:rPr>
          <w:rFonts w:asciiTheme="minorHAnsi" w:hAnsiTheme="minorHAnsi" w:cs="Arial"/>
          <w:sz w:val="22"/>
          <w:szCs w:val="23"/>
        </w:rPr>
      </w:pPr>
      <w:r w:rsidRPr="00AA1CEB">
        <w:rPr>
          <w:rFonts w:asciiTheme="minorHAnsi" w:hAnsiTheme="minorHAnsi" w:cs="Arial"/>
          <w:sz w:val="22"/>
          <w:szCs w:val="23"/>
        </w:rPr>
        <w:t>Our members include developers, consultants</w:t>
      </w:r>
      <w:r w:rsidR="00AA1CEB">
        <w:rPr>
          <w:rFonts w:asciiTheme="minorHAnsi" w:hAnsiTheme="minorHAnsi" w:cs="Arial"/>
          <w:sz w:val="22"/>
          <w:szCs w:val="23"/>
        </w:rPr>
        <w:t xml:space="preserve"> (planning, environmental, heritage, engineering, design and legal)</w:t>
      </w:r>
      <w:r w:rsidRPr="00AA1CEB">
        <w:rPr>
          <w:rFonts w:asciiTheme="minorHAnsi" w:hAnsiTheme="minorHAnsi" w:cs="Arial"/>
          <w:sz w:val="22"/>
          <w:szCs w:val="23"/>
        </w:rPr>
        <w:t>,</w:t>
      </w:r>
      <w:r w:rsidR="00D826C8" w:rsidRPr="00AA1CEB">
        <w:rPr>
          <w:rFonts w:asciiTheme="minorHAnsi" w:hAnsiTheme="minorHAnsi" w:cs="Arial"/>
          <w:sz w:val="22"/>
          <w:szCs w:val="23"/>
        </w:rPr>
        <w:t xml:space="preserve"> financial institutions,</w:t>
      </w:r>
      <w:r w:rsidRPr="00AA1CEB">
        <w:rPr>
          <w:rFonts w:asciiTheme="minorHAnsi" w:hAnsiTheme="minorHAnsi" w:cs="Arial"/>
          <w:sz w:val="22"/>
          <w:szCs w:val="23"/>
        </w:rPr>
        <w:t xml:space="preserve"> suppliers, gove</w:t>
      </w:r>
      <w:r w:rsidR="00AA1CEB">
        <w:rPr>
          <w:rFonts w:asciiTheme="minorHAnsi" w:hAnsiTheme="minorHAnsi" w:cs="Arial"/>
          <w:sz w:val="22"/>
          <w:szCs w:val="23"/>
        </w:rPr>
        <w:t>rnment authorities and utility providers</w:t>
      </w:r>
      <w:r w:rsidRPr="00AA1CEB">
        <w:rPr>
          <w:rFonts w:asciiTheme="minorHAnsi" w:hAnsiTheme="minorHAnsi" w:cs="Arial"/>
          <w:sz w:val="22"/>
          <w:szCs w:val="23"/>
        </w:rPr>
        <w:t xml:space="preserve">. Together we drive industry discussion and debate and </w:t>
      </w:r>
      <w:r w:rsidR="00AA1CEB">
        <w:rPr>
          <w:rFonts w:asciiTheme="minorHAnsi" w:hAnsiTheme="minorHAnsi" w:cs="Arial"/>
          <w:sz w:val="22"/>
          <w:szCs w:val="23"/>
        </w:rPr>
        <w:t>work with</w:t>
      </w:r>
      <w:r w:rsidRPr="00AA1CEB">
        <w:rPr>
          <w:rFonts w:asciiTheme="minorHAnsi" w:hAnsiTheme="minorHAnsi" w:cs="Arial"/>
          <w:sz w:val="22"/>
          <w:szCs w:val="23"/>
        </w:rPr>
        <w:t xml:space="preserve"> all levels of government to achieve successful planning, infrastructure, affordability and environmental outcomes.</w:t>
      </w:r>
    </w:p>
    <w:p w:rsidR="002A2DBF" w:rsidRPr="00C44827" w:rsidRDefault="002A2DBF" w:rsidP="005D59E1">
      <w:pPr>
        <w:pStyle w:val="PlainText"/>
        <w:pBdr>
          <w:bottom w:val="single" w:sz="12" w:space="1" w:color="2E74B5"/>
        </w:pBdr>
        <w:spacing w:before="120" w:after="120"/>
        <w:rPr>
          <w:rFonts w:asciiTheme="majorHAnsi" w:hAnsiTheme="majorHAnsi"/>
          <w:sz w:val="24"/>
        </w:rPr>
      </w:pPr>
    </w:p>
    <w:p w:rsidR="007F59E5" w:rsidRDefault="007F59E5" w:rsidP="005D59E1">
      <w:pPr>
        <w:pStyle w:val="Heading1"/>
        <w:spacing w:before="120" w:after="120"/>
      </w:pPr>
      <w:bookmarkStart w:id="4" w:name="_Toc438206773"/>
      <w:r>
        <w:t>CONTACT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59E5" w:rsidTr="005765B6">
        <w:tc>
          <w:tcPr>
            <w:tcW w:w="4675" w:type="dxa"/>
          </w:tcPr>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Danni Addison</w:t>
            </w:r>
            <w:r>
              <w:rPr>
                <w:rFonts w:asciiTheme="majorHAnsi" w:eastAsia="Times New Roman" w:hAnsiTheme="majorHAnsi" w:cs="Arial"/>
                <w:b/>
                <w:szCs w:val="23"/>
                <w:lang w:val="en-US"/>
              </w:rPr>
              <w:br/>
              <w:t>Chief Executive Officer</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P: 03 9832 9600</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M: 0400 230 787</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 xml:space="preserve">E: </w:t>
            </w:r>
            <w:hyperlink r:id="rId8" w:history="1">
              <w:r w:rsidRPr="00DA5782">
                <w:rPr>
                  <w:rStyle w:val="Hyperlink"/>
                  <w:rFonts w:asciiTheme="majorHAnsi" w:eastAsia="Times New Roman" w:hAnsiTheme="majorHAnsi" w:cs="Arial"/>
                  <w:b/>
                  <w:szCs w:val="23"/>
                  <w:lang w:val="en-US"/>
                </w:rPr>
                <w:t>danni@udiavic.com.au</w:t>
              </w:r>
            </w:hyperlink>
            <w:r>
              <w:rPr>
                <w:rFonts w:asciiTheme="majorHAnsi" w:eastAsia="Times New Roman" w:hAnsiTheme="majorHAnsi" w:cs="Arial"/>
                <w:b/>
                <w:szCs w:val="23"/>
                <w:lang w:val="en-US"/>
              </w:rPr>
              <w:t xml:space="preserve"> </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 xml:space="preserve">W: </w:t>
            </w:r>
            <w:hyperlink r:id="rId9" w:history="1">
              <w:r w:rsidRPr="00DA5782">
                <w:rPr>
                  <w:rStyle w:val="Hyperlink"/>
                  <w:rFonts w:asciiTheme="majorHAnsi" w:eastAsia="Times New Roman" w:hAnsiTheme="majorHAnsi" w:cs="Arial"/>
                  <w:b/>
                  <w:szCs w:val="23"/>
                  <w:lang w:val="en-US"/>
                </w:rPr>
                <w:t>www.udiavic.com.au</w:t>
              </w:r>
            </w:hyperlink>
            <w:r>
              <w:rPr>
                <w:rFonts w:asciiTheme="majorHAnsi" w:eastAsia="Times New Roman" w:hAnsiTheme="majorHAnsi" w:cs="Arial"/>
                <w:b/>
                <w:szCs w:val="23"/>
                <w:lang w:val="en-US"/>
              </w:rPr>
              <w:t xml:space="preserve"> </w:t>
            </w:r>
          </w:p>
        </w:tc>
        <w:tc>
          <w:tcPr>
            <w:tcW w:w="4675" w:type="dxa"/>
          </w:tcPr>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John Casey</w:t>
            </w:r>
            <w:r>
              <w:rPr>
                <w:rFonts w:asciiTheme="majorHAnsi" w:eastAsia="Times New Roman" w:hAnsiTheme="majorHAnsi" w:cs="Arial"/>
                <w:b/>
                <w:szCs w:val="23"/>
                <w:lang w:val="en-US"/>
              </w:rPr>
              <w:br/>
              <w:t>Policy and Advocacy Director</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P: 03 9832 9600</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M: 0402 788 219</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 xml:space="preserve">E: </w:t>
            </w:r>
            <w:hyperlink r:id="rId10" w:history="1">
              <w:r w:rsidRPr="00DA5782">
                <w:rPr>
                  <w:rStyle w:val="Hyperlink"/>
                  <w:rFonts w:asciiTheme="majorHAnsi" w:eastAsia="Times New Roman" w:hAnsiTheme="majorHAnsi" w:cs="Arial"/>
                  <w:b/>
                  <w:szCs w:val="23"/>
                  <w:lang w:val="en-US"/>
                </w:rPr>
                <w:t>john@udiavic.com.au</w:t>
              </w:r>
            </w:hyperlink>
            <w:r>
              <w:rPr>
                <w:rFonts w:asciiTheme="majorHAnsi" w:eastAsia="Times New Roman" w:hAnsiTheme="majorHAnsi" w:cs="Arial"/>
                <w:b/>
                <w:szCs w:val="23"/>
                <w:lang w:val="en-US"/>
              </w:rPr>
              <w:t xml:space="preserve"> </w:t>
            </w:r>
          </w:p>
          <w:p w:rsidR="007F59E5" w:rsidRDefault="007F59E5" w:rsidP="005D59E1">
            <w:pPr>
              <w:spacing w:before="120" w:after="120"/>
              <w:rPr>
                <w:rFonts w:asciiTheme="majorHAnsi" w:eastAsia="Times New Roman" w:hAnsiTheme="majorHAnsi" w:cs="Arial"/>
                <w:b/>
                <w:szCs w:val="23"/>
                <w:lang w:val="en-US"/>
              </w:rPr>
            </w:pPr>
            <w:r>
              <w:rPr>
                <w:rFonts w:asciiTheme="majorHAnsi" w:eastAsia="Times New Roman" w:hAnsiTheme="majorHAnsi" w:cs="Arial"/>
                <w:b/>
                <w:szCs w:val="23"/>
                <w:lang w:val="en-US"/>
              </w:rPr>
              <w:t xml:space="preserve">W: </w:t>
            </w:r>
            <w:hyperlink r:id="rId11" w:history="1">
              <w:r w:rsidRPr="00DA5782">
                <w:rPr>
                  <w:rStyle w:val="Hyperlink"/>
                  <w:rFonts w:asciiTheme="majorHAnsi" w:eastAsia="Times New Roman" w:hAnsiTheme="majorHAnsi" w:cs="Arial"/>
                  <w:b/>
                  <w:szCs w:val="23"/>
                  <w:lang w:val="en-US"/>
                </w:rPr>
                <w:t>www.udiavic.com.au</w:t>
              </w:r>
            </w:hyperlink>
            <w:r>
              <w:rPr>
                <w:rFonts w:asciiTheme="majorHAnsi" w:eastAsia="Times New Roman" w:hAnsiTheme="majorHAnsi" w:cs="Arial"/>
                <w:b/>
                <w:szCs w:val="23"/>
                <w:lang w:val="en-US"/>
              </w:rPr>
              <w:t xml:space="preserve"> </w:t>
            </w:r>
          </w:p>
        </w:tc>
      </w:tr>
    </w:tbl>
    <w:p w:rsidR="00D146D8" w:rsidRDefault="00D146D8" w:rsidP="005D59E1">
      <w:pPr>
        <w:spacing w:before="120" w:after="120"/>
        <w:rPr>
          <w:rFonts w:asciiTheme="majorHAnsi" w:hAnsiTheme="majorHAnsi" w:cstheme="minorBidi"/>
          <w:b/>
          <w:color w:val="2E74B5" w:themeColor="accent1" w:themeShade="BF"/>
          <w:sz w:val="28"/>
          <w:szCs w:val="21"/>
        </w:rPr>
      </w:pPr>
      <w:r>
        <w:rPr>
          <w:rFonts w:asciiTheme="majorHAnsi" w:hAnsiTheme="majorHAnsi"/>
          <w:b/>
          <w:color w:val="2E74B5" w:themeColor="accent1" w:themeShade="BF"/>
          <w:sz w:val="28"/>
        </w:rPr>
        <w:br w:type="page"/>
      </w:r>
    </w:p>
    <w:p w:rsidR="009579C5" w:rsidRPr="009973A9" w:rsidRDefault="0083375D" w:rsidP="005D59E1">
      <w:pPr>
        <w:pStyle w:val="Heading3"/>
        <w:spacing w:before="120" w:after="120"/>
      </w:pPr>
      <w:bookmarkStart w:id="5" w:name="_Toc438119274"/>
      <w:bookmarkStart w:id="6" w:name="_Toc438124171"/>
      <w:bookmarkStart w:id="7" w:name="_Toc438206779"/>
      <w:r>
        <w:t xml:space="preserve">Detailed </w:t>
      </w:r>
      <w:r w:rsidR="00683FD1">
        <w:t>Issues and Feedback</w:t>
      </w:r>
      <w:bookmarkEnd w:id="5"/>
      <w:bookmarkEnd w:id="6"/>
      <w:bookmarkEnd w:id="7"/>
    </w:p>
    <w:p w:rsidR="0060646D" w:rsidRPr="0060646D" w:rsidRDefault="0060646D" w:rsidP="0060646D">
      <w:pPr>
        <w:rPr>
          <w:rFonts w:asciiTheme="majorHAnsi" w:hAnsiTheme="majorHAnsi"/>
          <w:b/>
          <w:lang w:val="en-US"/>
        </w:rPr>
      </w:pPr>
      <w:r w:rsidRPr="0060646D">
        <w:rPr>
          <w:rFonts w:asciiTheme="majorHAnsi" w:hAnsiTheme="majorHAnsi"/>
          <w:b/>
          <w:lang w:val="en-US"/>
        </w:rPr>
        <w:t xml:space="preserve">Part </w:t>
      </w:r>
      <w:proofErr w:type="gramStart"/>
      <w:r w:rsidRPr="0060646D">
        <w:rPr>
          <w:rFonts w:asciiTheme="majorHAnsi" w:hAnsiTheme="majorHAnsi"/>
          <w:b/>
          <w:lang w:val="en-US"/>
        </w:rPr>
        <w:t>A</w:t>
      </w:r>
      <w:proofErr w:type="gramEnd"/>
      <w:r w:rsidRPr="0060646D">
        <w:rPr>
          <w:rFonts w:asciiTheme="majorHAnsi" w:hAnsiTheme="majorHAnsi"/>
          <w:b/>
          <w:lang w:val="en-US"/>
        </w:rPr>
        <w:t xml:space="preserve"> – Estate Agents &amp; Conveyancers</w:t>
      </w:r>
    </w:p>
    <w:p w:rsidR="0060646D" w:rsidRPr="0060646D" w:rsidRDefault="0060646D" w:rsidP="0060646D">
      <w:pPr>
        <w:rPr>
          <w:rFonts w:asciiTheme="majorHAnsi" w:hAnsiTheme="majorHAnsi" w:cs="Arial"/>
          <w:i/>
        </w:rPr>
      </w:pPr>
      <w:r w:rsidRPr="0060646D">
        <w:rPr>
          <w:rFonts w:asciiTheme="majorHAnsi" w:hAnsiTheme="majorHAnsi" w:cs="Arial"/>
          <w:i/>
        </w:rPr>
        <w:t>Definitions</w:t>
      </w:r>
    </w:p>
    <w:p w:rsidR="0060646D" w:rsidRDefault="0060646D" w:rsidP="0060646D">
      <w:pPr>
        <w:rPr>
          <w:rFonts w:asciiTheme="majorHAnsi" w:hAnsiTheme="majorHAnsi" w:cs="Arial"/>
        </w:rPr>
      </w:pPr>
      <w:r w:rsidRPr="0060646D">
        <w:rPr>
          <w:rFonts w:asciiTheme="majorHAnsi" w:hAnsiTheme="majorHAnsi" w:cs="Arial"/>
        </w:rPr>
        <w:t>The proposed definition for an estate agent is so broad that it would identify different players within the market that aren’t the target for these reforms. Currently as the market has evolved, more and more industry stakeholders are involved in the negotiation of contracts for the sale and purchase of land.</w:t>
      </w:r>
    </w:p>
    <w:p w:rsidR="0060646D" w:rsidRPr="0060646D" w:rsidRDefault="0060646D" w:rsidP="0060646D">
      <w:pPr>
        <w:rPr>
          <w:rFonts w:asciiTheme="majorHAnsi" w:hAnsiTheme="majorHAnsi" w:cs="Arial"/>
        </w:rPr>
      </w:pPr>
    </w:p>
    <w:p w:rsidR="0060646D" w:rsidRDefault="0060646D" w:rsidP="0060646D">
      <w:pPr>
        <w:rPr>
          <w:rFonts w:asciiTheme="majorHAnsi" w:hAnsiTheme="majorHAnsi" w:cs="Arial"/>
        </w:rPr>
      </w:pPr>
      <w:r w:rsidRPr="0060646D">
        <w:rPr>
          <w:rFonts w:asciiTheme="majorHAnsi" w:hAnsiTheme="majorHAnsi" w:cs="Arial"/>
        </w:rPr>
        <w:t>For example, there are a number of valuers and accountants that are setting up departments to assist their clients with the negotiation of sale and lease documents. Additionally, some development companies are setting separate entities to carry out the sales across their various projects. The broad definition of an estate agent as currently proposed could trigger the provisions of the Estate Agents Act for some of these unintended players.</w:t>
      </w:r>
    </w:p>
    <w:p w:rsidR="0060646D" w:rsidRPr="0060646D" w:rsidRDefault="0060646D" w:rsidP="0060646D">
      <w:pPr>
        <w:rPr>
          <w:rFonts w:asciiTheme="majorHAnsi" w:hAnsiTheme="majorHAnsi" w:cs="Arial"/>
        </w:rPr>
      </w:pPr>
    </w:p>
    <w:p w:rsidR="0060646D" w:rsidRDefault="0060646D" w:rsidP="0060646D">
      <w:pPr>
        <w:rPr>
          <w:rFonts w:asciiTheme="majorHAnsi" w:hAnsiTheme="majorHAnsi" w:cs="Arial"/>
        </w:rPr>
      </w:pPr>
      <w:r w:rsidRPr="0060646D">
        <w:rPr>
          <w:rFonts w:asciiTheme="majorHAnsi" w:hAnsiTheme="majorHAnsi" w:cs="Arial"/>
        </w:rPr>
        <w:t>Another way in which the industry has evolved that requires the definition for estate agents to become more detailed is the growth of online sales. Many development companies carry out their own sales campaign but use an external provider to set up and manage their online sale platform. Some of these platforms allow purchasers to sign up to contracts online. Due to the broad definition, there will likely be some confusion as to whether the company that sets up and manages the platform for the developer would need to meet the requirements for an estate agent.</w:t>
      </w:r>
    </w:p>
    <w:p w:rsidR="0060646D" w:rsidRPr="0060646D" w:rsidRDefault="0060646D" w:rsidP="0060646D">
      <w:pPr>
        <w:rPr>
          <w:rFonts w:asciiTheme="majorHAnsi" w:hAnsiTheme="majorHAnsi" w:cs="Arial"/>
        </w:rPr>
      </w:pPr>
    </w:p>
    <w:p w:rsidR="0060646D" w:rsidRDefault="0060646D" w:rsidP="0060646D">
      <w:pPr>
        <w:rPr>
          <w:rFonts w:asciiTheme="majorHAnsi" w:hAnsiTheme="majorHAnsi" w:cs="Arial"/>
        </w:rPr>
      </w:pPr>
      <w:r w:rsidRPr="0060646D">
        <w:rPr>
          <w:rFonts w:asciiTheme="majorHAnsi" w:hAnsiTheme="majorHAnsi" w:cs="Arial"/>
        </w:rPr>
        <w:t>In addition to some of the unintended impacts of the proposed definition, it is unsure as to whether the definition captures the use of overseas agents.</w:t>
      </w:r>
    </w:p>
    <w:p w:rsidR="0060646D" w:rsidRPr="0060646D" w:rsidRDefault="0060646D" w:rsidP="0060646D">
      <w:pPr>
        <w:rPr>
          <w:rFonts w:asciiTheme="majorHAnsi" w:hAnsiTheme="majorHAnsi" w:cs="Arial"/>
        </w:rPr>
      </w:pPr>
    </w:p>
    <w:p w:rsidR="0060646D" w:rsidRPr="0060646D" w:rsidRDefault="0060646D" w:rsidP="0060646D">
      <w:pPr>
        <w:rPr>
          <w:rFonts w:asciiTheme="majorHAnsi" w:hAnsiTheme="majorHAnsi" w:cs="Arial"/>
        </w:rPr>
      </w:pPr>
      <w:r w:rsidRPr="0060646D">
        <w:rPr>
          <w:rFonts w:asciiTheme="majorHAnsi" w:hAnsiTheme="majorHAnsi" w:cs="Arial"/>
        </w:rPr>
        <w:t>To overcome some of the issues the definition may need to specify exclusions or clarify what is meant by “on behalf of another person”. To overcome any transparency, fee and duty of care issues with unlicensed persons, a standard contract could be developed.</w:t>
      </w:r>
    </w:p>
    <w:p w:rsidR="0060646D" w:rsidRDefault="0060646D" w:rsidP="0060646D">
      <w:pPr>
        <w:rPr>
          <w:rFonts w:asciiTheme="majorHAnsi" w:hAnsiTheme="majorHAnsi" w:cs="Arial"/>
        </w:rPr>
      </w:pPr>
    </w:p>
    <w:p w:rsidR="0060646D" w:rsidRPr="0060646D" w:rsidRDefault="0060646D" w:rsidP="0060646D">
      <w:pPr>
        <w:rPr>
          <w:rFonts w:asciiTheme="majorHAnsi" w:hAnsiTheme="majorHAnsi" w:cs="Arial"/>
        </w:rPr>
      </w:pPr>
    </w:p>
    <w:p w:rsidR="0060646D" w:rsidRPr="0060646D" w:rsidRDefault="0060646D" w:rsidP="0060646D">
      <w:pPr>
        <w:rPr>
          <w:rFonts w:asciiTheme="majorHAnsi" w:hAnsiTheme="majorHAnsi" w:cs="Arial"/>
          <w:i/>
        </w:rPr>
      </w:pPr>
      <w:r w:rsidRPr="0060646D">
        <w:rPr>
          <w:rFonts w:asciiTheme="majorHAnsi" w:hAnsiTheme="majorHAnsi" w:cs="Arial"/>
          <w:i/>
        </w:rPr>
        <w:t>Training and Experience</w:t>
      </w:r>
    </w:p>
    <w:p w:rsidR="0060646D" w:rsidRDefault="0060646D" w:rsidP="0060646D">
      <w:pPr>
        <w:rPr>
          <w:rFonts w:asciiTheme="majorHAnsi" w:hAnsiTheme="majorHAnsi" w:cs="Arial"/>
        </w:rPr>
      </w:pPr>
      <w:r w:rsidRPr="0060646D">
        <w:rPr>
          <w:rFonts w:asciiTheme="majorHAnsi" w:hAnsiTheme="majorHAnsi" w:cs="Arial"/>
        </w:rPr>
        <w:t xml:space="preserve">There is some concern around both agents and conveyancers that met licencing requirement that would still not be considered competent. A review of training courses is needed in addition to increasing the work experience requirements (i.e. increasing the number of years they have to work under supervision.) </w:t>
      </w:r>
    </w:p>
    <w:p w:rsidR="0060646D" w:rsidRPr="0060646D" w:rsidRDefault="0060646D" w:rsidP="0060646D">
      <w:pPr>
        <w:rPr>
          <w:rFonts w:asciiTheme="majorHAnsi" w:hAnsiTheme="majorHAnsi" w:cs="Arial"/>
        </w:rPr>
      </w:pPr>
    </w:p>
    <w:p w:rsidR="0060646D" w:rsidRDefault="0060646D" w:rsidP="0060646D">
      <w:pPr>
        <w:rPr>
          <w:rFonts w:asciiTheme="majorHAnsi" w:hAnsiTheme="majorHAnsi" w:cs="Arial"/>
        </w:rPr>
      </w:pPr>
      <w:r w:rsidRPr="0060646D">
        <w:rPr>
          <w:rFonts w:asciiTheme="majorHAnsi" w:hAnsiTheme="majorHAnsi" w:cs="Arial"/>
        </w:rPr>
        <w:t>The Institute agree to the need for conveyances being required to undertake CPD that is aligned with requirements for property lawyers. However, of greater importance is the need for standards and vetting of CPD providers. Due to the level of influence CPD providers have on the conveyancing process, allowing CPD providers to inform conveyancers on processes and standards that are based on opinion rather than industry accepted standards can hold up the process and increase legal costs.</w:t>
      </w:r>
    </w:p>
    <w:p w:rsidR="0060646D" w:rsidRPr="0060646D" w:rsidRDefault="0060646D" w:rsidP="0060646D">
      <w:pPr>
        <w:rPr>
          <w:rFonts w:asciiTheme="majorHAnsi" w:hAnsiTheme="majorHAnsi" w:cs="Arial"/>
        </w:rPr>
      </w:pPr>
    </w:p>
    <w:p w:rsidR="0060646D" w:rsidRPr="0060646D" w:rsidRDefault="0060646D" w:rsidP="0060646D">
      <w:pPr>
        <w:rPr>
          <w:rFonts w:asciiTheme="majorHAnsi" w:hAnsiTheme="majorHAnsi" w:cs="Arial"/>
        </w:rPr>
      </w:pPr>
      <w:r w:rsidRPr="0060646D">
        <w:rPr>
          <w:rFonts w:asciiTheme="majorHAnsi" w:hAnsiTheme="majorHAnsi" w:cs="Arial"/>
        </w:rPr>
        <w:t>Prior to implementing CPD requirements for conveyances, a framework for ensuring quality and consistency of training needs to be implemented.</w:t>
      </w:r>
    </w:p>
    <w:p w:rsidR="0060646D" w:rsidRDefault="0060646D" w:rsidP="0060646D">
      <w:pPr>
        <w:rPr>
          <w:rFonts w:asciiTheme="majorHAnsi" w:hAnsiTheme="majorHAnsi" w:cs="Arial"/>
        </w:rPr>
      </w:pPr>
    </w:p>
    <w:p w:rsidR="0060646D" w:rsidRDefault="0060646D">
      <w:pPr>
        <w:spacing w:after="160" w:line="259" w:lineRule="auto"/>
        <w:rPr>
          <w:rFonts w:asciiTheme="majorHAnsi" w:hAnsiTheme="majorHAnsi" w:cs="Arial"/>
        </w:rPr>
      </w:pPr>
      <w:r>
        <w:rPr>
          <w:rFonts w:asciiTheme="majorHAnsi" w:hAnsiTheme="majorHAnsi" w:cs="Arial"/>
        </w:rPr>
        <w:br w:type="page"/>
      </w:r>
    </w:p>
    <w:p w:rsidR="0060646D" w:rsidRPr="0060646D" w:rsidRDefault="0060646D" w:rsidP="0060646D">
      <w:pPr>
        <w:rPr>
          <w:rFonts w:asciiTheme="majorHAnsi" w:hAnsiTheme="majorHAnsi" w:cs="Arial"/>
        </w:rPr>
      </w:pPr>
    </w:p>
    <w:p w:rsidR="0060646D" w:rsidRPr="0060646D" w:rsidRDefault="0060646D" w:rsidP="0060646D">
      <w:pPr>
        <w:rPr>
          <w:rFonts w:asciiTheme="majorHAnsi" w:hAnsiTheme="majorHAnsi" w:cs="Arial"/>
          <w:i/>
        </w:rPr>
      </w:pPr>
      <w:r w:rsidRPr="0060646D">
        <w:rPr>
          <w:rFonts w:asciiTheme="majorHAnsi" w:hAnsiTheme="majorHAnsi" w:cs="Arial"/>
          <w:i/>
        </w:rPr>
        <w:t>Roles &amp; Responsibilities of Estate Agents</w:t>
      </w:r>
    </w:p>
    <w:p w:rsidR="0060646D" w:rsidRPr="0060646D" w:rsidRDefault="0060646D" w:rsidP="0060646D">
      <w:pPr>
        <w:rPr>
          <w:rFonts w:asciiTheme="majorHAnsi" w:hAnsiTheme="majorHAnsi" w:cs="Arial"/>
        </w:rPr>
      </w:pPr>
      <w:r w:rsidRPr="0060646D">
        <w:rPr>
          <w:rFonts w:asciiTheme="majorHAnsi" w:hAnsiTheme="majorHAnsi" w:cs="Arial"/>
        </w:rPr>
        <w:t>The role, duties and obligations of estate agents is already spelt out in the Estate Agents (Professional Conduct) Regulations 2008 and several other pieces of legislation. Educating agents on their statutory obligations would be a more effective approach than attempting to make the Estate Agents Act the central repository of all legislation in relation to the role, duties and conduct of estate agents.</w:t>
      </w:r>
    </w:p>
    <w:p w:rsidR="0060646D" w:rsidRDefault="0060646D" w:rsidP="0060646D">
      <w:pPr>
        <w:rPr>
          <w:rFonts w:asciiTheme="majorHAnsi" w:hAnsiTheme="majorHAnsi" w:cs="Arial"/>
        </w:rPr>
      </w:pPr>
    </w:p>
    <w:p w:rsidR="0060646D" w:rsidRPr="0060646D" w:rsidRDefault="0060646D" w:rsidP="0060646D">
      <w:pPr>
        <w:rPr>
          <w:rFonts w:asciiTheme="majorHAnsi" w:hAnsiTheme="majorHAnsi" w:cs="Arial"/>
        </w:rPr>
      </w:pPr>
    </w:p>
    <w:p w:rsidR="0060646D" w:rsidRPr="0060646D" w:rsidRDefault="0060646D" w:rsidP="0060646D">
      <w:pPr>
        <w:rPr>
          <w:rFonts w:asciiTheme="majorHAnsi" w:hAnsiTheme="majorHAnsi" w:cs="Arial"/>
          <w:i/>
        </w:rPr>
      </w:pPr>
      <w:r w:rsidRPr="0060646D">
        <w:rPr>
          <w:rFonts w:asciiTheme="majorHAnsi" w:hAnsiTheme="majorHAnsi" w:cs="Arial"/>
          <w:i/>
        </w:rPr>
        <w:t>Trust accounting</w:t>
      </w:r>
    </w:p>
    <w:p w:rsidR="0060646D" w:rsidRDefault="0060646D" w:rsidP="0060646D">
      <w:pPr>
        <w:rPr>
          <w:rFonts w:asciiTheme="majorHAnsi" w:hAnsiTheme="majorHAnsi" w:cs="Arial"/>
        </w:rPr>
      </w:pPr>
      <w:r w:rsidRPr="0060646D">
        <w:rPr>
          <w:rFonts w:asciiTheme="majorHAnsi" w:hAnsiTheme="majorHAnsi" w:cs="Arial"/>
        </w:rPr>
        <w:t>It has been identified that a number of issues are increasingly arising from the mishandling of money by estate agents. A number of developers are stipulating that all deposits are to be paid into the solicitor’s trust account.</w:t>
      </w:r>
    </w:p>
    <w:p w:rsidR="0060646D" w:rsidRPr="0060646D" w:rsidRDefault="0060646D" w:rsidP="0060646D">
      <w:pPr>
        <w:rPr>
          <w:rFonts w:asciiTheme="majorHAnsi" w:hAnsiTheme="majorHAnsi" w:cs="Arial"/>
        </w:rPr>
      </w:pPr>
      <w:r w:rsidRPr="0060646D">
        <w:rPr>
          <w:rFonts w:asciiTheme="majorHAnsi" w:hAnsiTheme="majorHAnsi" w:cs="Arial"/>
        </w:rPr>
        <w:t xml:space="preserve"> </w:t>
      </w:r>
    </w:p>
    <w:p w:rsidR="0060646D" w:rsidRPr="0060646D" w:rsidRDefault="0060646D" w:rsidP="0060646D">
      <w:pPr>
        <w:rPr>
          <w:rFonts w:asciiTheme="majorHAnsi" w:hAnsiTheme="majorHAnsi" w:cs="Arial"/>
        </w:rPr>
      </w:pPr>
      <w:r w:rsidRPr="0060646D">
        <w:rPr>
          <w:rFonts w:asciiTheme="majorHAnsi" w:hAnsiTheme="majorHAnsi" w:cs="Arial"/>
        </w:rPr>
        <w:t>This change in practice suggests that imposing strict obligations in relation to trust money has not been effective. The Institute are of the opinion that the combination of training and CPD on the handling of trust monies and the imposition of higher penalties for breaches.</w:t>
      </w:r>
    </w:p>
    <w:p w:rsidR="0060646D" w:rsidRDefault="0060646D" w:rsidP="0060646D">
      <w:pPr>
        <w:rPr>
          <w:rFonts w:asciiTheme="majorHAnsi" w:hAnsiTheme="majorHAnsi" w:cs="Arial"/>
        </w:rPr>
      </w:pPr>
    </w:p>
    <w:p w:rsidR="0060646D" w:rsidRPr="0060646D" w:rsidRDefault="0060646D" w:rsidP="0060646D">
      <w:pPr>
        <w:rPr>
          <w:rFonts w:asciiTheme="majorHAnsi" w:hAnsiTheme="majorHAnsi" w:cs="Arial"/>
        </w:rPr>
      </w:pPr>
    </w:p>
    <w:p w:rsidR="0060646D" w:rsidRPr="0060646D" w:rsidRDefault="0060646D" w:rsidP="0060646D">
      <w:pPr>
        <w:rPr>
          <w:rFonts w:asciiTheme="majorHAnsi" w:hAnsiTheme="majorHAnsi"/>
          <w:b/>
          <w:lang w:val="en-US"/>
        </w:rPr>
      </w:pPr>
      <w:r w:rsidRPr="0060646D">
        <w:rPr>
          <w:rFonts w:asciiTheme="majorHAnsi" w:hAnsiTheme="majorHAnsi"/>
          <w:b/>
          <w:lang w:val="en-US"/>
        </w:rPr>
        <w:t>Part B – Conduct of Owners Corporation Managers</w:t>
      </w:r>
    </w:p>
    <w:p w:rsidR="0060646D" w:rsidRPr="0060646D" w:rsidRDefault="0060646D" w:rsidP="0060646D">
      <w:pPr>
        <w:rPr>
          <w:rFonts w:asciiTheme="majorHAnsi" w:hAnsiTheme="majorHAnsi"/>
          <w:lang w:val="en-US"/>
        </w:rPr>
      </w:pPr>
      <w:r w:rsidRPr="0060646D">
        <w:rPr>
          <w:rFonts w:asciiTheme="majorHAnsi" w:hAnsiTheme="majorHAnsi"/>
          <w:lang w:val="en-US"/>
        </w:rPr>
        <w:t>While there has been very few reported cases of owners corporation managers’ misconduct, the Institute believe that the current review provides an opportunity to make long term amendments in the following areas:</w:t>
      </w:r>
    </w:p>
    <w:p w:rsidR="0060646D" w:rsidRPr="0060646D" w:rsidRDefault="0060646D" w:rsidP="0060646D">
      <w:pPr>
        <w:pStyle w:val="HWLELvl3"/>
        <w:spacing w:before="0" w:after="0" w:line="240" w:lineRule="auto"/>
        <w:ind w:left="1412" w:hanging="706"/>
        <w:rPr>
          <w:rFonts w:asciiTheme="majorHAnsi" w:hAnsiTheme="majorHAnsi"/>
          <w:color w:val="000000"/>
          <w:sz w:val="22"/>
          <w:szCs w:val="22"/>
          <w:lang w:val="en-AU"/>
        </w:rPr>
      </w:pPr>
      <w:r w:rsidRPr="0060646D">
        <w:rPr>
          <w:rFonts w:asciiTheme="majorHAnsi" w:hAnsiTheme="majorHAnsi"/>
          <w:color w:val="000000"/>
          <w:sz w:val="22"/>
          <w:szCs w:val="22"/>
          <w:lang w:val="en-AU"/>
        </w:rPr>
        <w:t>serviced apartments;</w:t>
      </w:r>
    </w:p>
    <w:p w:rsidR="0060646D" w:rsidRPr="0060646D" w:rsidRDefault="0060646D" w:rsidP="0060646D">
      <w:pPr>
        <w:pStyle w:val="HWLELvl3"/>
        <w:spacing w:before="0" w:after="0" w:line="240" w:lineRule="auto"/>
        <w:ind w:left="1412" w:hanging="706"/>
        <w:rPr>
          <w:rFonts w:asciiTheme="majorHAnsi" w:hAnsiTheme="majorHAnsi"/>
          <w:color w:val="000000"/>
          <w:sz w:val="22"/>
          <w:szCs w:val="22"/>
          <w:lang w:val="en-AU"/>
        </w:rPr>
      </w:pPr>
      <w:r w:rsidRPr="0060646D">
        <w:rPr>
          <w:rFonts w:asciiTheme="majorHAnsi" w:hAnsiTheme="majorHAnsi"/>
          <w:color w:val="000000"/>
          <w:sz w:val="22"/>
          <w:szCs w:val="22"/>
          <w:lang w:val="en-AU"/>
        </w:rPr>
        <w:t>short term letting;</w:t>
      </w:r>
    </w:p>
    <w:p w:rsidR="0060646D" w:rsidRPr="0060646D" w:rsidRDefault="0060646D" w:rsidP="0060646D">
      <w:pPr>
        <w:pStyle w:val="HWLELvl3"/>
        <w:spacing w:before="0" w:after="0" w:line="240" w:lineRule="auto"/>
        <w:ind w:left="1412" w:hanging="706"/>
        <w:rPr>
          <w:rFonts w:asciiTheme="majorHAnsi" w:hAnsiTheme="majorHAnsi"/>
          <w:color w:val="000000"/>
          <w:sz w:val="22"/>
          <w:szCs w:val="22"/>
          <w:lang w:val="en-AU"/>
        </w:rPr>
      </w:pPr>
      <w:r w:rsidRPr="0060646D">
        <w:rPr>
          <w:rFonts w:asciiTheme="majorHAnsi" w:hAnsiTheme="majorHAnsi"/>
          <w:color w:val="000000"/>
          <w:sz w:val="22"/>
          <w:szCs w:val="22"/>
          <w:lang w:val="en-AU"/>
        </w:rPr>
        <w:t xml:space="preserve">apportionment of costs (the </w:t>
      </w:r>
      <w:r w:rsidRPr="0060646D">
        <w:rPr>
          <w:rFonts w:asciiTheme="majorHAnsi" w:hAnsiTheme="majorHAnsi"/>
          <w:i/>
          <w:iCs/>
          <w:color w:val="000000"/>
          <w:sz w:val="22"/>
          <w:szCs w:val="22"/>
          <w:lang w:val="en-AU"/>
        </w:rPr>
        <w:t>Owners Corporations Amendment Act</w:t>
      </w:r>
      <w:r w:rsidRPr="0060646D">
        <w:rPr>
          <w:rFonts w:asciiTheme="majorHAnsi" w:hAnsiTheme="majorHAnsi"/>
          <w:color w:val="000000"/>
          <w:sz w:val="22"/>
          <w:szCs w:val="22"/>
          <w:lang w:val="en-AU"/>
        </w:rPr>
        <w:t xml:space="preserve"> 2013 remains unclear);</w:t>
      </w:r>
    </w:p>
    <w:p w:rsidR="0060646D" w:rsidRPr="0060646D" w:rsidRDefault="0060646D" w:rsidP="0060646D">
      <w:pPr>
        <w:pStyle w:val="HWLELvl3"/>
        <w:spacing w:before="0" w:after="0" w:line="240" w:lineRule="auto"/>
        <w:ind w:left="1412" w:hanging="706"/>
        <w:rPr>
          <w:rFonts w:asciiTheme="majorHAnsi" w:hAnsiTheme="majorHAnsi"/>
          <w:color w:val="000000"/>
          <w:sz w:val="22"/>
          <w:szCs w:val="22"/>
          <w:lang w:val="en-AU"/>
        </w:rPr>
      </w:pPr>
      <w:r w:rsidRPr="0060646D">
        <w:rPr>
          <w:rFonts w:asciiTheme="majorHAnsi" w:hAnsiTheme="majorHAnsi"/>
          <w:color w:val="000000"/>
          <w:sz w:val="22"/>
          <w:szCs w:val="22"/>
          <w:lang w:val="en-AU"/>
        </w:rPr>
        <w:t>termination of schemes; and</w:t>
      </w:r>
    </w:p>
    <w:p w:rsidR="0060646D" w:rsidRPr="0060646D" w:rsidRDefault="0060646D" w:rsidP="0060646D">
      <w:pPr>
        <w:pStyle w:val="HWLELvl3"/>
        <w:spacing w:before="0" w:after="0" w:line="240" w:lineRule="auto"/>
        <w:ind w:left="1412" w:hanging="706"/>
        <w:rPr>
          <w:rFonts w:asciiTheme="majorHAnsi" w:hAnsiTheme="majorHAnsi"/>
          <w:color w:val="000000"/>
          <w:sz w:val="22"/>
          <w:szCs w:val="22"/>
          <w:lang w:val="en-AU"/>
        </w:rPr>
      </w:pPr>
      <w:proofErr w:type="gramStart"/>
      <w:r w:rsidRPr="0060646D">
        <w:rPr>
          <w:rFonts w:asciiTheme="majorHAnsi" w:hAnsiTheme="majorHAnsi"/>
          <w:color w:val="000000"/>
          <w:sz w:val="22"/>
          <w:szCs w:val="22"/>
          <w:lang w:val="en-AU"/>
        </w:rPr>
        <w:t>building</w:t>
      </w:r>
      <w:proofErr w:type="gramEnd"/>
      <w:r w:rsidRPr="0060646D">
        <w:rPr>
          <w:rFonts w:asciiTheme="majorHAnsi" w:hAnsiTheme="majorHAnsi"/>
          <w:color w:val="000000"/>
          <w:sz w:val="22"/>
          <w:szCs w:val="22"/>
          <w:lang w:val="en-AU"/>
        </w:rPr>
        <w:t xml:space="preserve"> defects, Domestic Building Warranty Insurance, the Brookfield Multiplex Decision.</w:t>
      </w:r>
    </w:p>
    <w:p w:rsidR="0060646D" w:rsidRDefault="0060646D" w:rsidP="0060646D">
      <w:pPr>
        <w:pStyle w:val="HWLELvl2"/>
        <w:numPr>
          <w:ilvl w:val="0"/>
          <w:numId w:val="0"/>
        </w:numPr>
        <w:spacing w:before="0" w:after="0" w:line="240" w:lineRule="auto"/>
        <w:rPr>
          <w:rFonts w:asciiTheme="majorHAnsi" w:hAnsiTheme="majorHAnsi"/>
          <w:color w:val="000000"/>
          <w:sz w:val="22"/>
          <w:szCs w:val="22"/>
          <w:lang w:val="en-AU"/>
        </w:rPr>
      </w:pPr>
    </w:p>
    <w:p w:rsidR="0060646D" w:rsidRDefault="0060646D" w:rsidP="0060646D">
      <w:pPr>
        <w:pStyle w:val="HWLELvl2"/>
        <w:numPr>
          <w:ilvl w:val="0"/>
          <w:numId w:val="0"/>
        </w:numPr>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Notwithstanding that, the Institute would like to provide the following comments on the specific matters raised in Part B of the issues paper.</w:t>
      </w:r>
    </w:p>
    <w:p w:rsidR="0060646D" w:rsidRDefault="0060646D" w:rsidP="0060646D">
      <w:pPr>
        <w:pStyle w:val="HWLELvl2"/>
        <w:numPr>
          <w:ilvl w:val="0"/>
          <w:numId w:val="0"/>
        </w:numPr>
        <w:spacing w:before="0" w:after="0" w:line="240" w:lineRule="auto"/>
        <w:rPr>
          <w:rFonts w:asciiTheme="majorHAnsi" w:hAnsiTheme="majorHAnsi"/>
          <w:color w:val="000000"/>
          <w:sz w:val="22"/>
          <w:szCs w:val="22"/>
        </w:rPr>
      </w:pPr>
    </w:p>
    <w:p w:rsidR="0060646D" w:rsidRPr="0060646D" w:rsidRDefault="0060646D" w:rsidP="0060646D">
      <w:pPr>
        <w:pStyle w:val="HWLELvl2"/>
        <w:numPr>
          <w:ilvl w:val="0"/>
          <w:numId w:val="0"/>
        </w:numPr>
        <w:spacing w:before="0" w:after="0" w:line="240" w:lineRule="auto"/>
        <w:rPr>
          <w:rFonts w:asciiTheme="majorHAnsi" w:hAnsiTheme="majorHAnsi"/>
          <w:color w:val="000000"/>
          <w:sz w:val="22"/>
          <w:szCs w:val="22"/>
        </w:rPr>
      </w:pPr>
    </w:p>
    <w:p w:rsidR="0060646D" w:rsidRPr="0060646D" w:rsidRDefault="0060646D" w:rsidP="0060646D">
      <w:pPr>
        <w:pStyle w:val="HWLELvl2"/>
        <w:numPr>
          <w:ilvl w:val="0"/>
          <w:numId w:val="0"/>
        </w:numPr>
        <w:spacing w:before="0" w:after="0" w:line="240" w:lineRule="auto"/>
        <w:rPr>
          <w:rFonts w:asciiTheme="majorHAnsi" w:hAnsiTheme="majorHAnsi"/>
          <w:i/>
          <w:color w:val="000000"/>
          <w:sz w:val="22"/>
          <w:szCs w:val="22"/>
          <w:lang w:val="en-AU"/>
        </w:rPr>
      </w:pPr>
      <w:r w:rsidRPr="0060646D">
        <w:rPr>
          <w:rFonts w:asciiTheme="majorHAnsi" w:hAnsiTheme="majorHAnsi"/>
          <w:i/>
          <w:color w:val="000000"/>
          <w:sz w:val="22"/>
          <w:szCs w:val="22"/>
          <w:lang w:val="en-AU"/>
        </w:rPr>
        <w:t>Registration and Unsuitable Managers</w:t>
      </w:r>
    </w:p>
    <w:p w:rsidR="0060646D" w:rsidRPr="0060646D" w:rsidRDefault="0060646D" w:rsidP="0060646D">
      <w:pPr>
        <w:pStyle w:val="HWLELvl2"/>
        <w:numPr>
          <w:ilvl w:val="0"/>
          <w:numId w:val="0"/>
        </w:numPr>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 xml:space="preserve">Currently the requirements for registration is minimal. Introducing a licencing scheme with a grandfathering process is recommended to ensure managers hold appropriate expertise, experience and qualifications. Additionally, it should be noted that </w:t>
      </w:r>
      <w:proofErr w:type="gramStart"/>
      <w:r w:rsidRPr="0060646D">
        <w:rPr>
          <w:rFonts w:asciiTheme="majorHAnsi" w:hAnsiTheme="majorHAnsi"/>
          <w:color w:val="000000"/>
          <w:sz w:val="22"/>
          <w:szCs w:val="22"/>
          <w:lang w:val="en-AU"/>
        </w:rPr>
        <w:t>owners</w:t>
      </w:r>
      <w:proofErr w:type="gramEnd"/>
      <w:r w:rsidRPr="0060646D">
        <w:rPr>
          <w:rFonts w:asciiTheme="majorHAnsi" w:hAnsiTheme="majorHAnsi"/>
          <w:color w:val="000000"/>
          <w:sz w:val="22"/>
          <w:szCs w:val="22"/>
          <w:lang w:val="en-AU"/>
        </w:rPr>
        <w:t xml:space="preserve"> corporation management has little or nothing to do with property/ facilities management or the practice of an estate agency.</w:t>
      </w:r>
    </w:p>
    <w:p w:rsidR="0060646D" w:rsidRDefault="0060646D" w:rsidP="0060646D">
      <w:pPr>
        <w:rPr>
          <w:rFonts w:asciiTheme="majorHAnsi" w:hAnsiTheme="majorHAnsi" w:cs="Arial"/>
          <w:i/>
          <w:color w:val="000000"/>
        </w:rPr>
      </w:pPr>
      <w:r>
        <w:rPr>
          <w:rFonts w:asciiTheme="majorHAnsi" w:hAnsiTheme="majorHAnsi"/>
          <w:i/>
          <w:color w:val="000000"/>
        </w:rPr>
        <w:br w:type="page"/>
      </w:r>
    </w:p>
    <w:p w:rsidR="0060646D" w:rsidRPr="0060646D" w:rsidRDefault="0060646D" w:rsidP="0060646D">
      <w:pPr>
        <w:pStyle w:val="HWLELvl3"/>
        <w:numPr>
          <w:ilvl w:val="0"/>
          <w:numId w:val="0"/>
        </w:numPr>
        <w:tabs>
          <w:tab w:val="left" w:pos="720"/>
        </w:tabs>
        <w:spacing w:before="0" w:after="0" w:line="240" w:lineRule="auto"/>
        <w:ind w:left="709" w:hanging="709"/>
        <w:rPr>
          <w:rFonts w:asciiTheme="majorHAnsi" w:hAnsiTheme="majorHAnsi"/>
          <w:i/>
          <w:color w:val="000000"/>
          <w:sz w:val="22"/>
          <w:szCs w:val="22"/>
          <w:lang w:val="en-AU"/>
        </w:rPr>
      </w:pPr>
      <w:r w:rsidRPr="0060646D">
        <w:rPr>
          <w:rFonts w:asciiTheme="majorHAnsi" w:hAnsiTheme="majorHAnsi"/>
          <w:i/>
          <w:color w:val="000000"/>
          <w:sz w:val="22"/>
          <w:szCs w:val="22"/>
          <w:lang w:val="en-AU"/>
        </w:rPr>
        <w:t>Conflicts of Interest and other duties in procuring goods and services</w:t>
      </w: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The current SCA (Vic) Standard Form Contract of Appointment mandates the disclosure of commissions, including insurance commissions. Actual commissions should be disclosed and it is not recommended that insurance commissions are abolished as the “fee for service” alternative will only increase insurance premium and possibly excesses. The position taken in NSW should be given further consideration on this matter.</w:t>
      </w: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i/>
          <w:color w:val="000000"/>
          <w:sz w:val="22"/>
          <w:szCs w:val="22"/>
          <w:lang w:val="en-AU"/>
        </w:rPr>
      </w:pPr>
      <w:r w:rsidRPr="0060646D">
        <w:rPr>
          <w:rFonts w:asciiTheme="majorHAnsi" w:hAnsiTheme="majorHAnsi"/>
          <w:i/>
          <w:color w:val="000000"/>
          <w:sz w:val="22"/>
          <w:szCs w:val="22"/>
          <w:lang w:val="en-AU"/>
        </w:rPr>
        <w:t>Unfair terms in management clauses &amp; Termination of management contracts</w:t>
      </w: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 xml:space="preserve">Contract clauses and rollover clauses are not regarded as unfair terms. There is a difference between the fairness of terms of Contracts of Appointment entered into by developers and those entered into by </w:t>
      </w:r>
      <w:proofErr w:type="gramStart"/>
      <w:r w:rsidRPr="0060646D">
        <w:rPr>
          <w:rFonts w:asciiTheme="majorHAnsi" w:hAnsiTheme="majorHAnsi"/>
          <w:color w:val="000000"/>
          <w:sz w:val="22"/>
          <w:szCs w:val="22"/>
          <w:lang w:val="en-AU"/>
        </w:rPr>
        <w:t>owners</w:t>
      </w:r>
      <w:proofErr w:type="gramEnd"/>
      <w:r w:rsidRPr="0060646D">
        <w:rPr>
          <w:rFonts w:asciiTheme="majorHAnsi" w:hAnsiTheme="majorHAnsi"/>
          <w:color w:val="000000"/>
          <w:sz w:val="22"/>
          <w:szCs w:val="22"/>
          <w:lang w:val="en-AU"/>
        </w:rPr>
        <w:t xml:space="preserve"> corporations after registration of Plans of Subdivision.</w:t>
      </w: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To enable the building to settle and be populated, a three year cap on the on a management contract is too short. It is recommended that a 5 year cap apply. However, further consideration needs to be given to larger developments that release buildings in stages. For, example the cap may apply from when a large proportion of lots from the overall development have been sold.</w:t>
      </w: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Rollover clauses are important for continuity and efficiency.  Managers frequently deal with circumstances where no quorum is achieved at a meeting, meaning decisions made are interim subject to the statutory criteria. If rollover clauses are abolished it may be that a meeting has not occurred or decisions made are interim, when for example insurance premiums become payable.  If a manager's management is deemed to cease in those periods the ramifications could be detrimental. </w:t>
      </w: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 xml:space="preserve"> The current legislation allows owners corporations to call meetings up to 15 months after the previous meeting, whereas the anniversary of management contracts will be yearly, which is a statutory recognition that black holes will be created if rollover clauses are abolished.</w:t>
      </w: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Long term management contracts may be in the owners’ corporation's interests.  For example the annual management fee may be reduced if a longer contract term is conferred.  Additionally, financiers will only lend money on management rights over extended periods.</w:t>
      </w: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i/>
          <w:color w:val="000000"/>
          <w:sz w:val="22"/>
          <w:szCs w:val="22"/>
          <w:lang w:val="en-AU"/>
        </w:rPr>
      </w:pPr>
      <w:r w:rsidRPr="0060646D">
        <w:rPr>
          <w:rFonts w:asciiTheme="majorHAnsi" w:hAnsiTheme="majorHAnsi"/>
          <w:i/>
          <w:color w:val="000000"/>
          <w:sz w:val="22"/>
          <w:szCs w:val="22"/>
          <w:lang w:val="en-AU"/>
        </w:rPr>
        <w:t>Manager’s conduct around voting</w:t>
      </w: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The existing restrictions imposed by section 86(4) appear sufficient.</w:t>
      </w:r>
    </w:p>
    <w:p w:rsid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color w:val="000000"/>
          <w:sz w:val="22"/>
          <w:szCs w:val="22"/>
          <w:lang w:val="en-AU"/>
        </w:rPr>
      </w:pPr>
    </w:p>
    <w:p w:rsidR="0060646D" w:rsidRPr="0060646D" w:rsidRDefault="0060646D" w:rsidP="0060646D">
      <w:pPr>
        <w:pStyle w:val="HWLELvl3"/>
        <w:numPr>
          <w:ilvl w:val="0"/>
          <w:numId w:val="0"/>
        </w:numPr>
        <w:tabs>
          <w:tab w:val="left" w:pos="0"/>
        </w:tabs>
        <w:spacing w:before="0" w:after="0" w:line="240" w:lineRule="auto"/>
        <w:rPr>
          <w:rFonts w:asciiTheme="majorHAnsi" w:hAnsiTheme="majorHAnsi"/>
          <w:i/>
          <w:color w:val="000000"/>
          <w:sz w:val="22"/>
          <w:szCs w:val="22"/>
          <w:lang w:val="en-AU"/>
        </w:rPr>
      </w:pPr>
      <w:r w:rsidRPr="0060646D">
        <w:rPr>
          <w:rFonts w:asciiTheme="majorHAnsi" w:hAnsiTheme="majorHAnsi"/>
          <w:i/>
          <w:color w:val="000000"/>
          <w:sz w:val="22"/>
          <w:szCs w:val="22"/>
          <w:lang w:val="en-AU"/>
        </w:rPr>
        <w:t>Financial Transparency</w:t>
      </w:r>
    </w:p>
    <w:p w:rsidR="0060646D" w:rsidRPr="0060646D" w:rsidRDefault="0060646D" w:rsidP="0060646D">
      <w:pPr>
        <w:pStyle w:val="HWLELvl3"/>
        <w:numPr>
          <w:ilvl w:val="0"/>
          <w:numId w:val="0"/>
        </w:numPr>
        <w:tabs>
          <w:tab w:val="left" w:pos="720"/>
        </w:tabs>
        <w:spacing w:before="0" w:after="0" w:line="240" w:lineRule="auto"/>
        <w:rPr>
          <w:rFonts w:asciiTheme="majorHAnsi" w:hAnsiTheme="majorHAnsi"/>
          <w:color w:val="000000"/>
          <w:sz w:val="22"/>
          <w:szCs w:val="22"/>
          <w:lang w:val="en-AU"/>
        </w:rPr>
      </w:pPr>
      <w:r w:rsidRPr="0060646D">
        <w:rPr>
          <w:rFonts w:asciiTheme="majorHAnsi" w:hAnsiTheme="majorHAnsi"/>
          <w:color w:val="000000"/>
          <w:sz w:val="22"/>
          <w:szCs w:val="22"/>
          <w:lang w:val="en-AU"/>
        </w:rPr>
        <w:t xml:space="preserve">It is recommended that separate </w:t>
      </w:r>
      <w:proofErr w:type="gramStart"/>
      <w:r w:rsidRPr="0060646D">
        <w:rPr>
          <w:rFonts w:asciiTheme="majorHAnsi" w:hAnsiTheme="majorHAnsi"/>
          <w:color w:val="000000"/>
          <w:sz w:val="22"/>
          <w:szCs w:val="22"/>
          <w:lang w:val="en-AU"/>
        </w:rPr>
        <w:t>owners</w:t>
      </w:r>
      <w:proofErr w:type="gramEnd"/>
      <w:r w:rsidRPr="0060646D">
        <w:rPr>
          <w:rFonts w:asciiTheme="majorHAnsi" w:hAnsiTheme="majorHAnsi"/>
          <w:color w:val="000000"/>
          <w:sz w:val="22"/>
          <w:szCs w:val="22"/>
          <w:lang w:val="en-AU"/>
        </w:rPr>
        <w:t xml:space="preserve"> corporations establish and maintain separate accounts.  Owners corporations, including multiple </w:t>
      </w:r>
      <w:proofErr w:type="gramStart"/>
      <w:r w:rsidRPr="0060646D">
        <w:rPr>
          <w:rFonts w:asciiTheme="majorHAnsi" w:hAnsiTheme="majorHAnsi"/>
          <w:color w:val="000000"/>
          <w:sz w:val="22"/>
          <w:szCs w:val="22"/>
          <w:lang w:val="en-AU"/>
        </w:rPr>
        <w:t>owners</w:t>
      </w:r>
      <w:proofErr w:type="gramEnd"/>
      <w:r w:rsidRPr="0060646D">
        <w:rPr>
          <w:rFonts w:asciiTheme="majorHAnsi" w:hAnsiTheme="majorHAnsi"/>
          <w:color w:val="000000"/>
          <w:sz w:val="22"/>
          <w:szCs w:val="22"/>
          <w:lang w:val="en-AU"/>
        </w:rPr>
        <w:t xml:space="preserve"> corporations within one Plan of Subdivision are separate legal entities which must be managed, administered and accounted separately.  That should extend to separate accounts.</w:t>
      </w:r>
      <w:r w:rsidRPr="0060646D">
        <w:rPr>
          <w:rFonts w:asciiTheme="majorHAnsi" w:hAnsiTheme="majorHAnsi"/>
          <w:color w:val="000000"/>
          <w:sz w:val="22"/>
          <w:szCs w:val="22"/>
          <w:lang w:val="en-AU"/>
        </w:rPr>
        <w:br/>
      </w:r>
      <w:r w:rsidRPr="0060646D">
        <w:rPr>
          <w:rFonts w:asciiTheme="majorHAnsi" w:hAnsiTheme="majorHAnsi"/>
          <w:color w:val="000000"/>
          <w:sz w:val="22"/>
          <w:szCs w:val="22"/>
          <w:lang w:val="en-AU"/>
        </w:rPr>
        <w:br/>
        <w:t xml:space="preserve">Pooled accounts enable criminal activity.  They create significant problems when an owner requests to inspect the </w:t>
      </w:r>
      <w:proofErr w:type="gramStart"/>
      <w:r w:rsidRPr="0060646D">
        <w:rPr>
          <w:rFonts w:asciiTheme="majorHAnsi" w:hAnsiTheme="majorHAnsi"/>
          <w:color w:val="000000"/>
          <w:sz w:val="22"/>
          <w:szCs w:val="22"/>
          <w:lang w:val="en-AU"/>
        </w:rPr>
        <w:t>owners</w:t>
      </w:r>
      <w:proofErr w:type="gramEnd"/>
      <w:r w:rsidRPr="0060646D">
        <w:rPr>
          <w:rFonts w:asciiTheme="majorHAnsi" w:hAnsiTheme="majorHAnsi"/>
          <w:color w:val="000000"/>
          <w:sz w:val="22"/>
          <w:szCs w:val="22"/>
          <w:lang w:val="en-AU"/>
        </w:rPr>
        <w:t xml:space="preserve"> corporation's records under section 146 or when VCAT or a Court orders discovery.</w:t>
      </w:r>
    </w:p>
    <w:p w:rsidR="00E722B5" w:rsidRPr="0060646D" w:rsidRDefault="00E722B5" w:rsidP="0060646D">
      <w:pPr>
        <w:rPr>
          <w:rFonts w:asciiTheme="majorHAnsi" w:hAnsiTheme="majorHAnsi"/>
        </w:rPr>
      </w:pPr>
    </w:p>
    <w:sectPr w:rsidR="00E722B5" w:rsidRPr="0060646D" w:rsidSect="0060646D">
      <w:headerReference w:type="default" r:id="rId12"/>
      <w:pgSz w:w="12240" w:h="15840"/>
      <w:pgMar w:top="22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E2" w:rsidRDefault="00EF0DE2">
      <w:r>
        <w:separator/>
      </w:r>
    </w:p>
  </w:endnote>
  <w:endnote w:type="continuationSeparator" w:id="0">
    <w:p w:rsidR="00EF0DE2" w:rsidRDefault="00EF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E2" w:rsidRDefault="00EF0DE2">
      <w:r>
        <w:separator/>
      </w:r>
    </w:p>
  </w:footnote>
  <w:footnote w:type="continuationSeparator" w:id="0">
    <w:p w:rsidR="00EF0DE2" w:rsidRDefault="00EF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6" w:rsidRPr="00AE0FA0" w:rsidRDefault="00A43596" w:rsidP="00A43596">
    <w:pPr>
      <w:pStyle w:val="Header"/>
      <w:rPr>
        <w:rFonts w:asciiTheme="majorHAnsi" w:hAnsiTheme="majorHAnsi"/>
        <w:color w:val="2E74B5"/>
        <w:sz w:val="44"/>
      </w:rPr>
    </w:pPr>
    <w:r w:rsidRPr="00AE0FA0">
      <w:rPr>
        <w:rFonts w:asciiTheme="majorHAnsi" w:hAnsiTheme="majorHAnsi"/>
        <w:noProof/>
        <w:color w:val="2E74B5"/>
        <w:sz w:val="44"/>
        <w:lang w:eastAsia="en-AU"/>
      </w:rPr>
      <w:drawing>
        <wp:anchor distT="0" distB="0" distL="114300" distR="114300" simplePos="0" relativeHeight="251659264" behindDoc="0" locked="0" layoutInCell="1" allowOverlap="1" wp14:anchorId="32F2C18D" wp14:editId="25F81E82">
          <wp:simplePos x="0" y="0"/>
          <wp:positionH relativeFrom="column">
            <wp:posOffset>4846320</wp:posOffset>
          </wp:positionH>
          <wp:positionV relativeFrom="paragraph">
            <wp:posOffset>-198120</wp:posOffset>
          </wp:positionV>
          <wp:extent cx="1040130" cy="920750"/>
          <wp:effectExtent l="0" t="0" r="7620" b="0"/>
          <wp:wrapSquare wrapText="bothSides"/>
          <wp:docPr id="22" name="Picture 22" descr="075_122 40th Anniversary Logo_Lockup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5_122 40th Anniversary Logo_Lockup_Blue"/>
                  <pic:cNvPicPr>
                    <a:picLocks noChangeAspect="1" noChangeArrowheads="1"/>
                  </pic:cNvPicPr>
                </pic:nvPicPr>
                <pic:blipFill rotWithShape="1">
                  <a:blip r:embed="rId1">
                    <a:extLst>
                      <a:ext uri="{28A0092B-C50C-407E-A947-70E740481C1C}">
                        <a14:useLocalDpi xmlns:a14="http://schemas.microsoft.com/office/drawing/2010/main" val="0"/>
                      </a:ext>
                    </a:extLst>
                  </a:blip>
                  <a:srcRect r="53066"/>
                  <a:stretch/>
                </pic:blipFill>
                <pic:spPr bwMode="auto">
                  <a:xfrm>
                    <a:off x="0" y="0"/>
                    <a:ext cx="1040130" cy="92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0FA0">
      <w:rPr>
        <w:rFonts w:asciiTheme="majorHAnsi" w:hAnsiTheme="majorHAnsi"/>
        <w:color w:val="2E74B5"/>
        <w:sz w:val="44"/>
      </w:rPr>
      <w:t xml:space="preserve">Industry Submission  </w:t>
    </w:r>
  </w:p>
  <w:p w:rsidR="00A43596" w:rsidRPr="00AE0FA0" w:rsidRDefault="00A43596" w:rsidP="00A43596">
    <w:pPr>
      <w:pStyle w:val="Header"/>
      <w:rPr>
        <w:rFonts w:asciiTheme="majorHAnsi" w:hAnsiTheme="majorHAnsi"/>
        <w:sz w:val="32"/>
      </w:rPr>
    </w:pPr>
    <w:r>
      <w:rPr>
        <w:rFonts w:asciiTheme="majorHAnsi" w:hAnsiTheme="majorHAnsi"/>
        <w:sz w:val="32"/>
      </w:rPr>
      <w:t>Property Law Reform: Issues Paper 1</w:t>
    </w:r>
  </w:p>
  <w:p w:rsidR="00A43596" w:rsidRDefault="00A43596" w:rsidP="00A43596">
    <w:pPr>
      <w:pStyle w:val="Header"/>
      <w:tabs>
        <w:tab w:val="clear" w:pos="4680"/>
        <w:tab w:val="left" w:pos="9360"/>
      </w:tabs>
    </w:pPr>
    <w:r>
      <w:rPr>
        <w:noProof/>
        <w:lang w:eastAsia="en-AU"/>
      </w:rPr>
      <mc:AlternateContent>
        <mc:Choice Requires="wps">
          <w:drawing>
            <wp:anchor distT="0" distB="0" distL="114300" distR="114300" simplePos="0" relativeHeight="251660288" behindDoc="0" locked="0" layoutInCell="1" allowOverlap="1" wp14:anchorId="3AB7245D" wp14:editId="1EFAD409">
              <wp:simplePos x="0" y="0"/>
              <wp:positionH relativeFrom="column">
                <wp:posOffset>8890</wp:posOffset>
              </wp:positionH>
              <wp:positionV relativeFrom="paragraph">
                <wp:posOffset>224155</wp:posOffset>
              </wp:positionV>
              <wp:extent cx="59150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28575">
                        <a:solidFill>
                          <a:srgbClr val="2E74B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41A1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7.65pt" to="466.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YS3QEAAA4EAAAOAAAAZHJzL2Uyb0RvYy54bWysU9uO0zAQfUfiHyy/01xE2CVquhJdlhcE&#10;FQsf4Dp2Ysk3jU2T/j1jp82uAAmBeHFiz5wzc87Y27vZaHISEJSzHa02JSXCctcrO3T029eHV7eU&#10;hMhsz7SzoqNnEejd7uWL7eRbUbvR6V4AQRIb2sl3dIzRt0UR+CgMCxvnhcWgdGBYxC0MRQ9sQnaj&#10;i7os3xSTg96D4yIEPL1fgnSX+aUUPH6WMohIdEext5hXyOsxrcVuy9oBmB8Vv7TB/qELw5TFoivV&#10;PYuMfAf1C5VRHFxwMm64M4WTUnGRNaCaqvxJzePIvMha0JzgV5vC/6Pln04HIKrH2VFimcERPUZg&#10;ahgj2Ttr0UAHpEo+TT60mL63B7jsgj9AEj1LMOmLcsicvT2v3oo5Eo6HzduqKeuGEn6NFU9ADyF+&#10;EM6Q9NNRrWySzVp2+hgiFsPUa0o61pZMHa1vm5smpwWnVf+gtE7BAMNxr4GcGI68fn/z+l2TukeK&#10;Z2m40xYPk6ZFRf6LZy2WAl+ERFew72qpkO6jWGkZ58LG7EpmwuwEk9jCCiz/DLzkJ6jId/VvwCsi&#10;V3Y2rmCjrIPfVY/ztWW55F8dWHQnC46uP+f5Zmvw0mXnLg8k3ern+wx/esa7HwAAAP//AwBQSwME&#10;FAAGAAgAAAAhAH8v0znaAAAABwEAAA8AAABkcnMvZG93bnJldi54bWxMjjtPwzAUhXck/oN1kVhQ&#10;69C0qA1xqqgSAxNqYWFz40scNb6OYufBv+ciBjqeh8758v3sWjFiHxpPCh6XCQikypuGagUf7y+L&#10;LYgQNRndekIF3xhgX9ze5DozfqIjjqdYCx6hkGkFNsYukzJUFp0OS98hcfble6cjy76WptcTj7tW&#10;rpLkSTrdED9Y3eHBYnU5DU6Bb8u3cbhUh1c/PXx2tpTH9WZU6v5uLp9BRJzjfxl+8RkdCmY6+4FM&#10;EC3rNRcVpJsUBMe7dLUDcf4zZJHLa/7iBwAA//8DAFBLAQItABQABgAIAAAAIQC2gziS/gAAAOEB&#10;AAATAAAAAAAAAAAAAAAAAAAAAABbQ29udGVudF9UeXBlc10ueG1sUEsBAi0AFAAGAAgAAAAhADj9&#10;If/WAAAAlAEAAAsAAAAAAAAAAAAAAAAALwEAAF9yZWxzLy5yZWxzUEsBAi0AFAAGAAgAAAAhAHmO&#10;1hLdAQAADgQAAA4AAAAAAAAAAAAAAAAALgIAAGRycy9lMm9Eb2MueG1sUEsBAi0AFAAGAAgAAAAh&#10;AH8v0znaAAAABwEAAA8AAAAAAAAAAAAAAAAANwQAAGRycy9kb3ducmV2LnhtbFBLBQYAAAAABAAE&#10;APMAAAA+BQAAAAA=&#10;" strokecolor="#2e74b5" strokeweight="2.25pt">
              <v:stroke joinstyle="miter"/>
            </v:line>
          </w:pict>
        </mc:Fallback>
      </mc:AlternateContent>
    </w:r>
  </w:p>
  <w:p w:rsidR="00A43596" w:rsidRDefault="00A43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846B4"/>
    <w:multiLevelType w:val="multilevel"/>
    <w:tmpl w:val="C6DA277C"/>
    <w:lvl w:ilvl="0">
      <w:start w:val="1"/>
      <w:numFmt w:val="decimal"/>
      <w:pStyle w:val="HWLELvl1"/>
      <w:lvlText w:val="%1."/>
      <w:lvlJc w:val="left"/>
      <w:pPr>
        <w:tabs>
          <w:tab w:val="num" w:pos="709"/>
        </w:tabs>
        <w:ind w:left="709" w:hanging="709"/>
      </w:p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lvl>
    <w:lvl w:ilvl="3">
      <w:start w:val="1"/>
      <w:numFmt w:val="lowerRoman"/>
      <w:pStyle w:val="HWLELvl4"/>
      <w:lvlText w:val="(%4)"/>
      <w:lvlJc w:val="left"/>
      <w:pPr>
        <w:tabs>
          <w:tab w:val="num" w:pos="2126"/>
        </w:tabs>
        <w:ind w:left="2126" w:hanging="708"/>
      </w:pPr>
    </w:lvl>
    <w:lvl w:ilvl="4">
      <w:start w:val="1"/>
      <w:numFmt w:val="upperLetter"/>
      <w:pStyle w:val="HWLELvl5"/>
      <w:lvlText w:val="(%5)"/>
      <w:lvlJc w:val="left"/>
      <w:pPr>
        <w:tabs>
          <w:tab w:val="num" w:pos="2835"/>
        </w:tabs>
        <w:ind w:left="2835" w:hanging="709"/>
      </w:pPr>
    </w:lvl>
    <w:lvl w:ilvl="5">
      <w:start w:val="1"/>
      <w:numFmt w:val="decimal"/>
      <w:pStyle w:val="HWLELvl6"/>
      <w:lvlText w:val="(%6)"/>
      <w:lvlJc w:val="left"/>
      <w:pPr>
        <w:tabs>
          <w:tab w:val="num" w:pos="3544"/>
        </w:tabs>
        <w:ind w:left="3544" w:hanging="709"/>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F9D07BB"/>
    <w:multiLevelType w:val="hybridMultilevel"/>
    <w:tmpl w:val="6F020AC8"/>
    <w:lvl w:ilvl="0" w:tplc="5F7225F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C4"/>
    <w:rsid w:val="00002652"/>
    <w:rsid w:val="0001197B"/>
    <w:rsid w:val="0001221C"/>
    <w:rsid w:val="00017AF3"/>
    <w:rsid w:val="0002627E"/>
    <w:rsid w:val="000318EF"/>
    <w:rsid w:val="0003452B"/>
    <w:rsid w:val="00044311"/>
    <w:rsid w:val="000450E1"/>
    <w:rsid w:val="000466E8"/>
    <w:rsid w:val="000524A0"/>
    <w:rsid w:val="00056511"/>
    <w:rsid w:val="00066561"/>
    <w:rsid w:val="00072822"/>
    <w:rsid w:val="0008138B"/>
    <w:rsid w:val="000839CB"/>
    <w:rsid w:val="0008437E"/>
    <w:rsid w:val="000863C9"/>
    <w:rsid w:val="000A0EC8"/>
    <w:rsid w:val="000A526B"/>
    <w:rsid w:val="000B205F"/>
    <w:rsid w:val="000B2D1C"/>
    <w:rsid w:val="000C12CF"/>
    <w:rsid w:val="000D0A49"/>
    <w:rsid w:val="000E4D92"/>
    <w:rsid w:val="000E5881"/>
    <w:rsid w:val="000E7E12"/>
    <w:rsid w:val="000F3CDD"/>
    <w:rsid w:val="001038E0"/>
    <w:rsid w:val="0010396E"/>
    <w:rsid w:val="00114087"/>
    <w:rsid w:val="001218F7"/>
    <w:rsid w:val="00122BB8"/>
    <w:rsid w:val="00125686"/>
    <w:rsid w:val="00130122"/>
    <w:rsid w:val="00133718"/>
    <w:rsid w:val="001414AD"/>
    <w:rsid w:val="0015040E"/>
    <w:rsid w:val="00155540"/>
    <w:rsid w:val="00160C3F"/>
    <w:rsid w:val="00160E3D"/>
    <w:rsid w:val="00162949"/>
    <w:rsid w:val="001632DD"/>
    <w:rsid w:val="001704A0"/>
    <w:rsid w:val="0017571F"/>
    <w:rsid w:val="001777D7"/>
    <w:rsid w:val="00192840"/>
    <w:rsid w:val="001A6B1E"/>
    <w:rsid w:val="001B3987"/>
    <w:rsid w:val="001C0FF4"/>
    <w:rsid w:val="001C77E0"/>
    <w:rsid w:val="001D183A"/>
    <w:rsid w:val="001D7D0C"/>
    <w:rsid w:val="001E462B"/>
    <w:rsid w:val="001E5A13"/>
    <w:rsid w:val="001E6109"/>
    <w:rsid w:val="001F77E7"/>
    <w:rsid w:val="00201E56"/>
    <w:rsid w:val="00202435"/>
    <w:rsid w:val="00206ED5"/>
    <w:rsid w:val="002116BA"/>
    <w:rsid w:val="00213348"/>
    <w:rsid w:val="0021633F"/>
    <w:rsid w:val="00217128"/>
    <w:rsid w:val="00217337"/>
    <w:rsid w:val="0022003C"/>
    <w:rsid w:val="00227BC7"/>
    <w:rsid w:val="002337DF"/>
    <w:rsid w:val="002425FE"/>
    <w:rsid w:val="002449D0"/>
    <w:rsid w:val="00250236"/>
    <w:rsid w:val="00263EF1"/>
    <w:rsid w:val="00266070"/>
    <w:rsid w:val="002744F2"/>
    <w:rsid w:val="002825A6"/>
    <w:rsid w:val="002840B8"/>
    <w:rsid w:val="0028724A"/>
    <w:rsid w:val="00292D47"/>
    <w:rsid w:val="00293591"/>
    <w:rsid w:val="002A2DBF"/>
    <w:rsid w:val="002A3240"/>
    <w:rsid w:val="002A3266"/>
    <w:rsid w:val="002A456F"/>
    <w:rsid w:val="002B1D37"/>
    <w:rsid w:val="002B6AF9"/>
    <w:rsid w:val="002B79AB"/>
    <w:rsid w:val="002B7D2A"/>
    <w:rsid w:val="002C2788"/>
    <w:rsid w:val="002C69F7"/>
    <w:rsid w:val="002C7A37"/>
    <w:rsid w:val="002D3306"/>
    <w:rsid w:val="002D7C87"/>
    <w:rsid w:val="002E3726"/>
    <w:rsid w:val="002E4B09"/>
    <w:rsid w:val="002F13D9"/>
    <w:rsid w:val="002F314A"/>
    <w:rsid w:val="002F3778"/>
    <w:rsid w:val="002F5864"/>
    <w:rsid w:val="002F63F5"/>
    <w:rsid w:val="0030619B"/>
    <w:rsid w:val="00315C29"/>
    <w:rsid w:val="00325110"/>
    <w:rsid w:val="0033009D"/>
    <w:rsid w:val="00332C3F"/>
    <w:rsid w:val="003332AD"/>
    <w:rsid w:val="003365F0"/>
    <w:rsid w:val="00337FF1"/>
    <w:rsid w:val="00346A99"/>
    <w:rsid w:val="00350888"/>
    <w:rsid w:val="003510C4"/>
    <w:rsid w:val="003679A8"/>
    <w:rsid w:val="0037093A"/>
    <w:rsid w:val="00376EF6"/>
    <w:rsid w:val="00377E17"/>
    <w:rsid w:val="003940C0"/>
    <w:rsid w:val="003B0D15"/>
    <w:rsid w:val="003B10F9"/>
    <w:rsid w:val="003B5A95"/>
    <w:rsid w:val="003B6B1B"/>
    <w:rsid w:val="003D3E5D"/>
    <w:rsid w:val="003F59FD"/>
    <w:rsid w:val="00405B83"/>
    <w:rsid w:val="00413983"/>
    <w:rsid w:val="004240DD"/>
    <w:rsid w:val="00427ADA"/>
    <w:rsid w:val="004312C4"/>
    <w:rsid w:val="0043146E"/>
    <w:rsid w:val="00435E33"/>
    <w:rsid w:val="00437D4A"/>
    <w:rsid w:val="00443B6E"/>
    <w:rsid w:val="004477AC"/>
    <w:rsid w:val="004525E2"/>
    <w:rsid w:val="00453B08"/>
    <w:rsid w:val="004553F9"/>
    <w:rsid w:val="0045685A"/>
    <w:rsid w:val="0046258A"/>
    <w:rsid w:val="00463A7D"/>
    <w:rsid w:val="00485D9C"/>
    <w:rsid w:val="00497F05"/>
    <w:rsid w:val="004A039E"/>
    <w:rsid w:val="004B43AB"/>
    <w:rsid w:val="004D15AF"/>
    <w:rsid w:val="004D22B7"/>
    <w:rsid w:val="004E19D3"/>
    <w:rsid w:val="004E20F9"/>
    <w:rsid w:val="005019D4"/>
    <w:rsid w:val="00503935"/>
    <w:rsid w:val="005073E0"/>
    <w:rsid w:val="00512162"/>
    <w:rsid w:val="00512EB3"/>
    <w:rsid w:val="005230D8"/>
    <w:rsid w:val="00525F3D"/>
    <w:rsid w:val="00527433"/>
    <w:rsid w:val="00530E80"/>
    <w:rsid w:val="00535E9D"/>
    <w:rsid w:val="00544F50"/>
    <w:rsid w:val="00551B6A"/>
    <w:rsid w:val="005524AC"/>
    <w:rsid w:val="00554B2B"/>
    <w:rsid w:val="00560BBA"/>
    <w:rsid w:val="005665F6"/>
    <w:rsid w:val="00570F80"/>
    <w:rsid w:val="005765B6"/>
    <w:rsid w:val="00576F84"/>
    <w:rsid w:val="00582DDD"/>
    <w:rsid w:val="00583A14"/>
    <w:rsid w:val="005954B4"/>
    <w:rsid w:val="00595B89"/>
    <w:rsid w:val="00596A09"/>
    <w:rsid w:val="005A103A"/>
    <w:rsid w:val="005A5813"/>
    <w:rsid w:val="005A75AA"/>
    <w:rsid w:val="005C00D1"/>
    <w:rsid w:val="005C00D6"/>
    <w:rsid w:val="005C019D"/>
    <w:rsid w:val="005C1727"/>
    <w:rsid w:val="005C7266"/>
    <w:rsid w:val="005D4D8E"/>
    <w:rsid w:val="005D59E1"/>
    <w:rsid w:val="005E0926"/>
    <w:rsid w:val="005E1E28"/>
    <w:rsid w:val="005E33AF"/>
    <w:rsid w:val="005E618D"/>
    <w:rsid w:val="005F1C1F"/>
    <w:rsid w:val="005F423A"/>
    <w:rsid w:val="005F45EC"/>
    <w:rsid w:val="005F5AF8"/>
    <w:rsid w:val="005F5C3E"/>
    <w:rsid w:val="005F64E9"/>
    <w:rsid w:val="00603BD1"/>
    <w:rsid w:val="0060646D"/>
    <w:rsid w:val="0061039F"/>
    <w:rsid w:val="00613585"/>
    <w:rsid w:val="00623A78"/>
    <w:rsid w:val="00633899"/>
    <w:rsid w:val="0063724A"/>
    <w:rsid w:val="00642D59"/>
    <w:rsid w:val="006445E5"/>
    <w:rsid w:val="00647916"/>
    <w:rsid w:val="00651733"/>
    <w:rsid w:val="00656666"/>
    <w:rsid w:val="006646B8"/>
    <w:rsid w:val="006663B8"/>
    <w:rsid w:val="00666E1F"/>
    <w:rsid w:val="006703D0"/>
    <w:rsid w:val="006714C8"/>
    <w:rsid w:val="0067188E"/>
    <w:rsid w:val="00674EBA"/>
    <w:rsid w:val="00682034"/>
    <w:rsid w:val="00683FD1"/>
    <w:rsid w:val="00685021"/>
    <w:rsid w:val="0068510A"/>
    <w:rsid w:val="00694444"/>
    <w:rsid w:val="00696971"/>
    <w:rsid w:val="006B1CF7"/>
    <w:rsid w:val="006B218E"/>
    <w:rsid w:val="006C356A"/>
    <w:rsid w:val="006C4221"/>
    <w:rsid w:val="006C502D"/>
    <w:rsid w:val="006D4018"/>
    <w:rsid w:val="006E1086"/>
    <w:rsid w:val="006E262B"/>
    <w:rsid w:val="006E40F1"/>
    <w:rsid w:val="006F2AEA"/>
    <w:rsid w:val="007003F7"/>
    <w:rsid w:val="00703254"/>
    <w:rsid w:val="007064F6"/>
    <w:rsid w:val="00706633"/>
    <w:rsid w:val="00715445"/>
    <w:rsid w:val="00715F79"/>
    <w:rsid w:val="00720EDE"/>
    <w:rsid w:val="00723F70"/>
    <w:rsid w:val="007243A2"/>
    <w:rsid w:val="00725869"/>
    <w:rsid w:val="007271EC"/>
    <w:rsid w:val="00730DAC"/>
    <w:rsid w:val="007322F5"/>
    <w:rsid w:val="00733439"/>
    <w:rsid w:val="00735F00"/>
    <w:rsid w:val="00742B8D"/>
    <w:rsid w:val="007472BB"/>
    <w:rsid w:val="00752635"/>
    <w:rsid w:val="007739D2"/>
    <w:rsid w:val="0077627A"/>
    <w:rsid w:val="00785C0D"/>
    <w:rsid w:val="00786D76"/>
    <w:rsid w:val="00797EC3"/>
    <w:rsid w:val="007A1277"/>
    <w:rsid w:val="007A201B"/>
    <w:rsid w:val="007A5FCA"/>
    <w:rsid w:val="007A6D0D"/>
    <w:rsid w:val="007A71DC"/>
    <w:rsid w:val="007B49C6"/>
    <w:rsid w:val="007B4F19"/>
    <w:rsid w:val="007B78A0"/>
    <w:rsid w:val="007C00EA"/>
    <w:rsid w:val="007C0CCD"/>
    <w:rsid w:val="007C792B"/>
    <w:rsid w:val="007C7C7B"/>
    <w:rsid w:val="007D0A63"/>
    <w:rsid w:val="007D2D42"/>
    <w:rsid w:val="007D334C"/>
    <w:rsid w:val="007D5CDD"/>
    <w:rsid w:val="007D66FD"/>
    <w:rsid w:val="007D73FF"/>
    <w:rsid w:val="007E4227"/>
    <w:rsid w:val="007E6FCE"/>
    <w:rsid w:val="007F03B7"/>
    <w:rsid w:val="007F3C81"/>
    <w:rsid w:val="007F59E5"/>
    <w:rsid w:val="007F7514"/>
    <w:rsid w:val="007F78E6"/>
    <w:rsid w:val="008045E5"/>
    <w:rsid w:val="008046D4"/>
    <w:rsid w:val="00804A79"/>
    <w:rsid w:val="00804F9F"/>
    <w:rsid w:val="008074B7"/>
    <w:rsid w:val="008153E3"/>
    <w:rsid w:val="00815FFF"/>
    <w:rsid w:val="00823230"/>
    <w:rsid w:val="00826023"/>
    <w:rsid w:val="0083375D"/>
    <w:rsid w:val="0083447A"/>
    <w:rsid w:val="0084597E"/>
    <w:rsid w:val="00852180"/>
    <w:rsid w:val="0085553B"/>
    <w:rsid w:val="008555BE"/>
    <w:rsid w:val="00860DC4"/>
    <w:rsid w:val="00871E92"/>
    <w:rsid w:val="00871F75"/>
    <w:rsid w:val="008748B3"/>
    <w:rsid w:val="008751A1"/>
    <w:rsid w:val="00882300"/>
    <w:rsid w:val="00884456"/>
    <w:rsid w:val="0088529B"/>
    <w:rsid w:val="00892517"/>
    <w:rsid w:val="008A26D1"/>
    <w:rsid w:val="008A2D17"/>
    <w:rsid w:val="008A52C9"/>
    <w:rsid w:val="008A581C"/>
    <w:rsid w:val="008B5EDF"/>
    <w:rsid w:val="008B70EA"/>
    <w:rsid w:val="008B7711"/>
    <w:rsid w:val="008B79E5"/>
    <w:rsid w:val="008D115C"/>
    <w:rsid w:val="008D3A08"/>
    <w:rsid w:val="008D661E"/>
    <w:rsid w:val="008E4C2C"/>
    <w:rsid w:val="008F05B3"/>
    <w:rsid w:val="008F7E09"/>
    <w:rsid w:val="00900285"/>
    <w:rsid w:val="00901065"/>
    <w:rsid w:val="00903B5D"/>
    <w:rsid w:val="00906AE9"/>
    <w:rsid w:val="00913721"/>
    <w:rsid w:val="00920D92"/>
    <w:rsid w:val="00922648"/>
    <w:rsid w:val="00924D90"/>
    <w:rsid w:val="0093020B"/>
    <w:rsid w:val="00930E42"/>
    <w:rsid w:val="009313B5"/>
    <w:rsid w:val="00934CB1"/>
    <w:rsid w:val="00936162"/>
    <w:rsid w:val="009379F5"/>
    <w:rsid w:val="009436E2"/>
    <w:rsid w:val="009472FF"/>
    <w:rsid w:val="00952147"/>
    <w:rsid w:val="0095358E"/>
    <w:rsid w:val="009558A5"/>
    <w:rsid w:val="009579C5"/>
    <w:rsid w:val="00957DF9"/>
    <w:rsid w:val="0096346B"/>
    <w:rsid w:val="00964755"/>
    <w:rsid w:val="009649F0"/>
    <w:rsid w:val="00966188"/>
    <w:rsid w:val="00981BF4"/>
    <w:rsid w:val="00986215"/>
    <w:rsid w:val="00993668"/>
    <w:rsid w:val="0099560A"/>
    <w:rsid w:val="00995F03"/>
    <w:rsid w:val="009973A9"/>
    <w:rsid w:val="00997CE4"/>
    <w:rsid w:val="009A0157"/>
    <w:rsid w:val="009A0CBC"/>
    <w:rsid w:val="009A1133"/>
    <w:rsid w:val="009A1336"/>
    <w:rsid w:val="009A437A"/>
    <w:rsid w:val="009B605C"/>
    <w:rsid w:val="009B61D9"/>
    <w:rsid w:val="009B757A"/>
    <w:rsid w:val="009D387E"/>
    <w:rsid w:val="009D4B82"/>
    <w:rsid w:val="009D5BF4"/>
    <w:rsid w:val="009E33EB"/>
    <w:rsid w:val="009F0EE7"/>
    <w:rsid w:val="009F444F"/>
    <w:rsid w:val="00A04C49"/>
    <w:rsid w:val="00A06E42"/>
    <w:rsid w:val="00A12B09"/>
    <w:rsid w:val="00A15E06"/>
    <w:rsid w:val="00A222D2"/>
    <w:rsid w:val="00A23FA7"/>
    <w:rsid w:val="00A32AAA"/>
    <w:rsid w:val="00A33ED8"/>
    <w:rsid w:val="00A43596"/>
    <w:rsid w:val="00A5322C"/>
    <w:rsid w:val="00A5679B"/>
    <w:rsid w:val="00A67B59"/>
    <w:rsid w:val="00A7600F"/>
    <w:rsid w:val="00A77EA1"/>
    <w:rsid w:val="00A831C6"/>
    <w:rsid w:val="00A83AD7"/>
    <w:rsid w:val="00A843CD"/>
    <w:rsid w:val="00A84A1F"/>
    <w:rsid w:val="00A86075"/>
    <w:rsid w:val="00A90BE2"/>
    <w:rsid w:val="00AA1CEB"/>
    <w:rsid w:val="00AA53CA"/>
    <w:rsid w:val="00AA6671"/>
    <w:rsid w:val="00AB15B3"/>
    <w:rsid w:val="00AB292A"/>
    <w:rsid w:val="00AC166E"/>
    <w:rsid w:val="00AC555E"/>
    <w:rsid w:val="00AE0FA0"/>
    <w:rsid w:val="00AE5019"/>
    <w:rsid w:val="00AE7EB7"/>
    <w:rsid w:val="00AF40A7"/>
    <w:rsid w:val="00B00C1E"/>
    <w:rsid w:val="00B02054"/>
    <w:rsid w:val="00B04586"/>
    <w:rsid w:val="00B04C19"/>
    <w:rsid w:val="00B128E1"/>
    <w:rsid w:val="00B159D5"/>
    <w:rsid w:val="00B17B97"/>
    <w:rsid w:val="00B206A5"/>
    <w:rsid w:val="00B232FD"/>
    <w:rsid w:val="00B24AC7"/>
    <w:rsid w:val="00B369FC"/>
    <w:rsid w:val="00B3722C"/>
    <w:rsid w:val="00B45C77"/>
    <w:rsid w:val="00B52BFC"/>
    <w:rsid w:val="00B54EB7"/>
    <w:rsid w:val="00B55286"/>
    <w:rsid w:val="00B56A6E"/>
    <w:rsid w:val="00B56C28"/>
    <w:rsid w:val="00B60949"/>
    <w:rsid w:val="00B62463"/>
    <w:rsid w:val="00B638DB"/>
    <w:rsid w:val="00B676A3"/>
    <w:rsid w:val="00B72137"/>
    <w:rsid w:val="00B724DF"/>
    <w:rsid w:val="00B7362D"/>
    <w:rsid w:val="00B75A12"/>
    <w:rsid w:val="00B77393"/>
    <w:rsid w:val="00B825D8"/>
    <w:rsid w:val="00B8287F"/>
    <w:rsid w:val="00B84678"/>
    <w:rsid w:val="00B90BBE"/>
    <w:rsid w:val="00B96165"/>
    <w:rsid w:val="00BB27E6"/>
    <w:rsid w:val="00BB3782"/>
    <w:rsid w:val="00BD6E10"/>
    <w:rsid w:val="00BE1B4F"/>
    <w:rsid w:val="00BE4738"/>
    <w:rsid w:val="00C03170"/>
    <w:rsid w:val="00C052ED"/>
    <w:rsid w:val="00C13E82"/>
    <w:rsid w:val="00C14188"/>
    <w:rsid w:val="00C1601B"/>
    <w:rsid w:val="00C21575"/>
    <w:rsid w:val="00C35DA3"/>
    <w:rsid w:val="00C4102F"/>
    <w:rsid w:val="00C4147F"/>
    <w:rsid w:val="00C44827"/>
    <w:rsid w:val="00C45FAE"/>
    <w:rsid w:val="00C51935"/>
    <w:rsid w:val="00C54B7D"/>
    <w:rsid w:val="00C603C3"/>
    <w:rsid w:val="00C62B16"/>
    <w:rsid w:val="00C62CF2"/>
    <w:rsid w:val="00C62D1B"/>
    <w:rsid w:val="00C65772"/>
    <w:rsid w:val="00C76F68"/>
    <w:rsid w:val="00C80799"/>
    <w:rsid w:val="00C81AC1"/>
    <w:rsid w:val="00C95361"/>
    <w:rsid w:val="00C955F4"/>
    <w:rsid w:val="00CA2E45"/>
    <w:rsid w:val="00CB0ECC"/>
    <w:rsid w:val="00CD0F9D"/>
    <w:rsid w:val="00CD239C"/>
    <w:rsid w:val="00CD3C58"/>
    <w:rsid w:val="00CE1AA0"/>
    <w:rsid w:val="00CE409F"/>
    <w:rsid w:val="00CE426F"/>
    <w:rsid w:val="00CE718B"/>
    <w:rsid w:val="00CF74BC"/>
    <w:rsid w:val="00D00E65"/>
    <w:rsid w:val="00D0400B"/>
    <w:rsid w:val="00D11532"/>
    <w:rsid w:val="00D146D8"/>
    <w:rsid w:val="00D14A00"/>
    <w:rsid w:val="00D26723"/>
    <w:rsid w:val="00D35B51"/>
    <w:rsid w:val="00D35C72"/>
    <w:rsid w:val="00D41202"/>
    <w:rsid w:val="00D44AB3"/>
    <w:rsid w:val="00D461E3"/>
    <w:rsid w:val="00D47B14"/>
    <w:rsid w:val="00D60EC8"/>
    <w:rsid w:val="00D615C8"/>
    <w:rsid w:val="00D64ECC"/>
    <w:rsid w:val="00D67D4D"/>
    <w:rsid w:val="00D701FA"/>
    <w:rsid w:val="00D739F4"/>
    <w:rsid w:val="00D75CFB"/>
    <w:rsid w:val="00D77AD1"/>
    <w:rsid w:val="00D77FA6"/>
    <w:rsid w:val="00D826C8"/>
    <w:rsid w:val="00D833EC"/>
    <w:rsid w:val="00D86419"/>
    <w:rsid w:val="00D95861"/>
    <w:rsid w:val="00D95F5E"/>
    <w:rsid w:val="00DA07AF"/>
    <w:rsid w:val="00DA2DB8"/>
    <w:rsid w:val="00DC2CFB"/>
    <w:rsid w:val="00DC4A0C"/>
    <w:rsid w:val="00DC565D"/>
    <w:rsid w:val="00DC7FDC"/>
    <w:rsid w:val="00DD1CAB"/>
    <w:rsid w:val="00DE1F9B"/>
    <w:rsid w:val="00DE2F69"/>
    <w:rsid w:val="00DE4DFF"/>
    <w:rsid w:val="00DE5E12"/>
    <w:rsid w:val="00DF1BE5"/>
    <w:rsid w:val="00DF6E0C"/>
    <w:rsid w:val="00DF6FD9"/>
    <w:rsid w:val="00E03828"/>
    <w:rsid w:val="00E04D43"/>
    <w:rsid w:val="00E05A1C"/>
    <w:rsid w:val="00E06571"/>
    <w:rsid w:val="00E06D67"/>
    <w:rsid w:val="00E16FAA"/>
    <w:rsid w:val="00E22EA6"/>
    <w:rsid w:val="00E24A33"/>
    <w:rsid w:val="00E26272"/>
    <w:rsid w:val="00E279EC"/>
    <w:rsid w:val="00E404C4"/>
    <w:rsid w:val="00E4054F"/>
    <w:rsid w:val="00E42D50"/>
    <w:rsid w:val="00E45847"/>
    <w:rsid w:val="00E46376"/>
    <w:rsid w:val="00E533E5"/>
    <w:rsid w:val="00E57CBE"/>
    <w:rsid w:val="00E71083"/>
    <w:rsid w:val="00E722B5"/>
    <w:rsid w:val="00E87202"/>
    <w:rsid w:val="00E8781E"/>
    <w:rsid w:val="00E9163E"/>
    <w:rsid w:val="00E9731D"/>
    <w:rsid w:val="00EA6B97"/>
    <w:rsid w:val="00EB4A44"/>
    <w:rsid w:val="00EB6024"/>
    <w:rsid w:val="00EC4E18"/>
    <w:rsid w:val="00ED2FD4"/>
    <w:rsid w:val="00ED4C32"/>
    <w:rsid w:val="00ED67D4"/>
    <w:rsid w:val="00EE547B"/>
    <w:rsid w:val="00EE6AEB"/>
    <w:rsid w:val="00EF0DE2"/>
    <w:rsid w:val="00EF4043"/>
    <w:rsid w:val="00EF56EC"/>
    <w:rsid w:val="00F04E4C"/>
    <w:rsid w:val="00F05A74"/>
    <w:rsid w:val="00F139F1"/>
    <w:rsid w:val="00F13E52"/>
    <w:rsid w:val="00F14CDD"/>
    <w:rsid w:val="00F15246"/>
    <w:rsid w:val="00F22FBD"/>
    <w:rsid w:val="00F362BD"/>
    <w:rsid w:val="00F4212C"/>
    <w:rsid w:val="00F4329D"/>
    <w:rsid w:val="00F47F7D"/>
    <w:rsid w:val="00F51388"/>
    <w:rsid w:val="00F564D3"/>
    <w:rsid w:val="00F57501"/>
    <w:rsid w:val="00F72B3B"/>
    <w:rsid w:val="00F74067"/>
    <w:rsid w:val="00F7531E"/>
    <w:rsid w:val="00F76AFA"/>
    <w:rsid w:val="00F86B5B"/>
    <w:rsid w:val="00F90C00"/>
    <w:rsid w:val="00F90E1F"/>
    <w:rsid w:val="00F91D49"/>
    <w:rsid w:val="00F9426B"/>
    <w:rsid w:val="00F95502"/>
    <w:rsid w:val="00FA661C"/>
    <w:rsid w:val="00FA6CDD"/>
    <w:rsid w:val="00FA7296"/>
    <w:rsid w:val="00FB0CA8"/>
    <w:rsid w:val="00FB7C6E"/>
    <w:rsid w:val="00FC6D63"/>
    <w:rsid w:val="00FE0B7F"/>
    <w:rsid w:val="00FE7A13"/>
    <w:rsid w:val="00FF0DE6"/>
    <w:rsid w:val="00FF36A6"/>
    <w:rsid w:val="00FF447B"/>
    <w:rsid w:val="00FF4FDC"/>
    <w:rsid w:val="00FF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62511C8-CFBB-44C5-B8DF-DD07D09F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2C4"/>
    <w:pPr>
      <w:spacing w:after="0" w:line="240" w:lineRule="auto"/>
    </w:pPr>
    <w:rPr>
      <w:rFonts w:ascii="Calibri" w:hAnsi="Calibri" w:cs="Times New Roman"/>
      <w:lang w:val="en-AU"/>
    </w:rPr>
  </w:style>
  <w:style w:type="paragraph" w:styleId="Heading1">
    <w:name w:val="heading 1"/>
    <w:basedOn w:val="Normal"/>
    <w:next w:val="Normal"/>
    <w:link w:val="Heading1Char"/>
    <w:uiPriority w:val="9"/>
    <w:qFormat/>
    <w:rsid w:val="00683F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5A1C"/>
    <w:pPr>
      <w:keepNext/>
      <w:keepLines/>
      <w:numPr>
        <w:numId w:val="1"/>
      </w:numPr>
      <w:spacing w:before="40"/>
      <w:ind w:left="36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683FD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83F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83FD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2C4"/>
    <w:pPr>
      <w:ind w:left="720"/>
      <w:contextualSpacing/>
    </w:pPr>
  </w:style>
  <w:style w:type="paragraph" w:styleId="Header">
    <w:name w:val="header"/>
    <w:basedOn w:val="Normal"/>
    <w:link w:val="HeaderChar"/>
    <w:uiPriority w:val="99"/>
    <w:unhideWhenUsed/>
    <w:rsid w:val="004312C4"/>
    <w:pPr>
      <w:tabs>
        <w:tab w:val="center" w:pos="4680"/>
        <w:tab w:val="right" w:pos="9360"/>
      </w:tabs>
    </w:pPr>
  </w:style>
  <w:style w:type="character" w:customStyle="1" w:styleId="HeaderChar">
    <w:name w:val="Header Char"/>
    <w:basedOn w:val="DefaultParagraphFont"/>
    <w:link w:val="Header"/>
    <w:uiPriority w:val="99"/>
    <w:rsid w:val="004312C4"/>
    <w:rPr>
      <w:rFonts w:ascii="Calibri" w:hAnsi="Calibri" w:cs="Times New Roman"/>
      <w:lang w:val="en-AU"/>
    </w:rPr>
  </w:style>
  <w:style w:type="paragraph" w:styleId="Footer">
    <w:name w:val="footer"/>
    <w:basedOn w:val="Normal"/>
    <w:link w:val="FooterChar"/>
    <w:uiPriority w:val="99"/>
    <w:unhideWhenUsed/>
    <w:rsid w:val="004312C4"/>
    <w:pPr>
      <w:tabs>
        <w:tab w:val="center" w:pos="4680"/>
        <w:tab w:val="right" w:pos="9360"/>
      </w:tabs>
    </w:pPr>
  </w:style>
  <w:style w:type="character" w:customStyle="1" w:styleId="FooterChar">
    <w:name w:val="Footer Char"/>
    <w:basedOn w:val="DefaultParagraphFont"/>
    <w:link w:val="Footer"/>
    <w:uiPriority w:val="99"/>
    <w:rsid w:val="004312C4"/>
    <w:rPr>
      <w:rFonts w:ascii="Calibri" w:hAnsi="Calibri" w:cs="Times New Roman"/>
      <w:lang w:val="en-AU"/>
    </w:rPr>
  </w:style>
  <w:style w:type="paragraph" w:styleId="PlainText">
    <w:name w:val="Plain Text"/>
    <w:basedOn w:val="Normal"/>
    <w:link w:val="PlainTextChar"/>
    <w:uiPriority w:val="99"/>
    <w:unhideWhenUsed/>
    <w:rsid w:val="004312C4"/>
    <w:rPr>
      <w:rFonts w:cstheme="minorBidi"/>
      <w:szCs w:val="21"/>
    </w:rPr>
  </w:style>
  <w:style w:type="character" w:customStyle="1" w:styleId="PlainTextChar">
    <w:name w:val="Plain Text Char"/>
    <w:basedOn w:val="DefaultParagraphFont"/>
    <w:link w:val="PlainText"/>
    <w:uiPriority w:val="99"/>
    <w:rsid w:val="004312C4"/>
    <w:rPr>
      <w:rFonts w:ascii="Calibri" w:hAnsi="Calibri"/>
      <w:szCs w:val="21"/>
      <w:lang w:val="en-AU"/>
    </w:rPr>
  </w:style>
  <w:style w:type="character" w:customStyle="1" w:styleId="apple-converted-space">
    <w:name w:val="apple-converted-space"/>
    <w:basedOn w:val="DefaultParagraphFont"/>
    <w:rsid w:val="00EF4043"/>
  </w:style>
  <w:style w:type="paragraph" w:styleId="NormalWeb">
    <w:name w:val="Normal (Web)"/>
    <w:basedOn w:val="Normal"/>
    <w:uiPriority w:val="99"/>
    <w:semiHidden/>
    <w:unhideWhenUsed/>
    <w:rsid w:val="00162949"/>
    <w:pPr>
      <w:spacing w:before="100" w:beforeAutospacing="1" w:after="100" w:afterAutospacing="1"/>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EC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E18"/>
    <w:rPr>
      <w:rFonts w:ascii="Segoe UI" w:hAnsi="Segoe UI" w:cs="Segoe UI"/>
      <w:sz w:val="18"/>
      <w:szCs w:val="18"/>
      <w:lang w:val="en-AU"/>
    </w:rPr>
  </w:style>
  <w:style w:type="paragraph" w:styleId="FootnoteText">
    <w:name w:val="footnote text"/>
    <w:basedOn w:val="Normal"/>
    <w:link w:val="FootnoteTextChar"/>
    <w:uiPriority w:val="99"/>
    <w:semiHidden/>
    <w:unhideWhenUsed/>
    <w:rsid w:val="00266070"/>
    <w:rPr>
      <w:sz w:val="20"/>
      <w:szCs w:val="20"/>
    </w:rPr>
  </w:style>
  <w:style w:type="character" w:customStyle="1" w:styleId="FootnoteTextChar">
    <w:name w:val="Footnote Text Char"/>
    <w:basedOn w:val="DefaultParagraphFont"/>
    <w:link w:val="FootnoteText"/>
    <w:uiPriority w:val="99"/>
    <w:semiHidden/>
    <w:rsid w:val="00266070"/>
    <w:rPr>
      <w:rFonts w:ascii="Calibri" w:hAnsi="Calibri" w:cs="Times New Roman"/>
      <w:sz w:val="20"/>
      <w:szCs w:val="20"/>
      <w:lang w:val="en-AU"/>
    </w:rPr>
  </w:style>
  <w:style w:type="character" w:styleId="FootnoteReference">
    <w:name w:val="footnote reference"/>
    <w:basedOn w:val="DefaultParagraphFont"/>
    <w:uiPriority w:val="99"/>
    <w:semiHidden/>
    <w:unhideWhenUsed/>
    <w:rsid w:val="00266070"/>
    <w:rPr>
      <w:vertAlign w:val="superscript"/>
    </w:rPr>
  </w:style>
  <w:style w:type="character" w:styleId="Hyperlink">
    <w:name w:val="Hyperlink"/>
    <w:basedOn w:val="DefaultParagraphFont"/>
    <w:uiPriority w:val="99"/>
    <w:unhideWhenUsed/>
    <w:rsid w:val="002F13D9"/>
    <w:rPr>
      <w:color w:val="0563C1" w:themeColor="hyperlink"/>
      <w:u w:val="single"/>
    </w:rPr>
  </w:style>
  <w:style w:type="paragraph" w:customStyle="1" w:styleId="Default">
    <w:name w:val="Default"/>
    <w:rsid w:val="009558A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7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locked/>
    <w:rsid w:val="00E87202"/>
    <w:rPr>
      <w:rFonts w:ascii="Arial" w:eastAsia="Times New Roman" w:hAnsi="Arial" w:cs="Arial" w:hint="default"/>
      <w:sz w:val="48"/>
      <w:szCs w:val="48"/>
    </w:rPr>
  </w:style>
  <w:style w:type="paragraph" w:styleId="Title">
    <w:name w:val="Title"/>
    <w:basedOn w:val="Normal"/>
    <w:next w:val="Normal"/>
    <w:link w:val="TitleChar"/>
    <w:uiPriority w:val="10"/>
    <w:qFormat/>
    <w:rsid w:val="00E87202"/>
    <w:pPr>
      <w:contextualSpacing/>
    </w:pPr>
    <w:rPr>
      <w:rFonts w:ascii="Arial" w:eastAsia="Times New Roman" w:hAnsi="Arial" w:cs="Arial"/>
      <w:sz w:val="48"/>
      <w:szCs w:val="48"/>
      <w:lang w:val="en-US"/>
    </w:rPr>
  </w:style>
  <w:style w:type="character" w:customStyle="1" w:styleId="TitleChar1">
    <w:name w:val="Title Char1"/>
    <w:basedOn w:val="DefaultParagraphFont"/>
    <w:uiPriority w:val="10"/>
    <w:rsid w:val="00E87202"/>
    <w:rPr>
      <w:rFonts w:asciiTheme="majorHAnsi" w:eastAsiaTheme="majorEastAsia" w:hAnsiTheme="majorHAnsi" w:cstheme="majorBidi"/>
      <w:spacing w:val="-10"/>
      <w:kern w:val="28"/>
      <w:sz w:val="56"/>
      <w:szCs w:val="56"/>
      <w:lang w:val="en-AU"/>
    </w:rPr>
  </w:style>
  <w:style w:type="character" w:styleId="CommentReference">
    <w:name w:val="annotation reference"/>
    <w:basedOn w:val="DefaultParagraphFont"/>
    <w:uiPriority w:val="99"/>
    <w:semiHidden/>
    <w:unhideWhenUsed/>
    <w:rsid w:val="008045E5"/>
    <w:rPr>
      <w:sz w:val="16"/>
      <w:szCs w:val="16"/>
    </w:rPr>
  </w:style>
  <w:style w:type="paragraph" w:styleId="CommentText">
    <w:name w:val="annotation text"/>
    <w:basedOn w:val="Normal"/>
    <w:link w:val="CommentTextChar"/>
    <w:uiPriority w:val="99"/>
    <w:semiHidden/>
    <w:unhideWhenUsed/>
    <w:rsid w:val="008045E5"/>
    <w:rPr>
      <w:sz w:val="20"/>
      <w:szCs w:val="20"/>
    </w:rPr>
  </w:style>
  <w:style w:type="character" w:customStyle="1" w:styleId="CommentTextChar">
    <w:name w:val="Comment Text Char"/>
    <w:basedOn w:val="DefaultParagraphFont"/>
    <w:link w:val="CommentText"/>
    <w:uiPriority w:val="99"/>
    <w:semiHidden/>
    <w:rsid w:val="008045E5"/>
    <w:rPr>
      <w:rFonts w:ascii="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045E5"/>
    <w:rPr>
      <w:b/>
      <w:bCs/>
    </w:rPr>
  </w:style>
  <w:style w:type="character" w:customStyle="1" w:styleId="CommentSubjectChar">
    <w:name w:val="Comment Subject Char"/>
    <w:basedOn w:val="CommentTextChar"/>
    <w:link w:val="CommentSubject"/>
    <w:uiPriority w:val="99"/>
    <w:semiHidden/>
    <w:rsid w:val="008045E5"/>
    <w:rPr>
      <w:rFonts w:ascii="Calibri" w:hAnsi="Calibri" w:cs="Times New Roman"/>
      <w:b/>
      <w:bCs/>
      <w:sz w:val="20"/>
      <w:szCs w:val="20"/>
      <w:lang w:val="en-AU"/>
    </w:rPr>
  </w:style>
  <w:style w:type="character" w:customStyle="1" w:styleId="Heading1Char">
    <w:name w:val="Heading 1 Char"/>
    <w:basedOn w:val="DefaultParagraphFont"/>
    <w:link w:val="Heading1"/>
    <w:uiPriority w:val="9"/>
    <w:rsid w:val="00683FD1"/>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uiPriority w:val="9"/>
    <w:rsid w:val="00E05A1C"/>
    <w:rPr>
      <w:rFonts w:asciiTheme="majorHAnsi" w:eastAsiaTheme="majorEastAsia" w:hAnsiTheme="majorHAnsi" w:cstheme="majorBidi"/>
      <w:b/>
      <w:color w:val="2E74B5" w:themeColor="accent1" w:themeShade="BF"/>
      <w:sz w:val="26"/>
      <w:szCs w:val="26"/>
      <w:lang w:val="en-AU"/>
    </w:rPr>
  </w:style>
  <w:style w:type="character" w:customStyle="1" w:styleId="Heading3Char">
    <w:name w:val="Heading 3 Char"/>
    <w:basedOn w:val="DefaultParagraphFont"/>
    <w:link w:val="Heading3"/>
    <w:uiPriority w:val="9"/>
    <w:rsid w:val="00683FD1"/>
    <w:rPr>
      <w:rFonts w:asciiTheme="majorHAnsi" w:eastAsiaTheme="majorEastAsia" w:hAnsiTheme="majorHAnsi" w:cstheme="majorBidi"/>
      <w:color w:val="1F4D78" w:themeColor="accent1" w:themeShade="7F"/>
      <w:sz w:val="24"/>
      <w:szCs w:val="24"/>
      <w:lang w:val="en-AU"/>
    </w:rPr>
  </w:style>
  <w:style w:type="character" w:customStyle="1" w:styleId="Heading4Char">
    <w:name w:val="Heading 4 Char"/>
    <w:basedOn w:val="DefaultParagraphFont"/>
    <w:link w:val="Heading4"/>
    <w:uiPriority w:val="9"/>
    <w:rsid w:val="00683FD1"/>
    <w:rPr>
      <w:rFonts w:asciiTheme="majorHAnsi" w:eastAsiaTheme="majorEastAsia" w:hAnsiTheme="majorHAnsi" w:cstheme="majorBidi"/>
      <w:i/>
      <w:iCs/>
      <w:color w:val="2E74B5" w:themeColor="accent1" w:themeShade="BF"/>
      <w:lang w:val="en-AU"/>
    </w:rPr>
  </w:style>
  <w:style w:type="character" w:customStyle="1" w:styleId="Heading5Char">
    <w:name w:val="Heading 5 Char"/>
    <w:basedOn w:val="DefaultParagraphFont"/>
    <w:link w:val="Heading5"/>
    <w:uiPriority w:val="9"/>
    <w:rsid w:val="00683FD1"/>
    <w:rPr>
      <w:rFonts w:asciiTheme="majorHAnsi" w:eastAsiaTheme="majorEastAsia" w:hAnsiTheme="majorHAnsi" w:cstheme="majorBidi"/>
      <w:color w:val="2E74B5" w:themeColor="accent1" w:themeShade="BF"/>
      <w:lang w:val="en-AU"/>
    </w:rPr>
  </w:style>
  <w:style w:type="paragraph" w:styleId="TOCHeading">
    <w:name w:val="TOC Heading"/>
    <w:basedOn w:val="Heading1"/>
    <w:next w:val="Normal"/>
    <w:uiPriority w:val="39"/>
    <w:unhideWhenUsed/>
    <w:qFormat/>
    <w:rsid w:val="001038E0"/>
    <w:pPr>
      <w:spacing w:line="259" w:lineRule="auto"/>
      <w:outlineLvl w:val="9"/>
    </w:pPr>
    <w:rPr>
      <w:lang w:val="en-US"/>
    </w:rPr>
  </w:style>
  <w:style w:type="paragraph" w:styleId="TOC2">
    <w:name w:val="toc 2"/>
    <w:basedOn w:val="Normal"/>
    <w:next w:val="Normal"/>
    <w:autoRedefine/>
    <w:uiPriority w:val="39"/>
    <w:unhideWhenUsed/>
    <w:rsid w:val="005F64E9"/>
    <w:pPr>
      <w:tabs>
        <w:tab w:val="left" w:pos="900"/>
        <w:tab w:val="right" w:leader="dot" w:pos="9350"/>
      </w:tabs>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1038E0"/>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1038E0"/>
    <w:pPr>
      <w:spacing w:after="100" w:line="259" w:lineRule="auto"/>
      <w:ind w:left="440"/>
    </w:pPr>
    <w:rPr>
      <w:rFonts w:asciiTheme="minorHAnsi" w:eastAsiaTheme="minorEastAsia" w:hAnsiTheme="minorHAnsi"/>
      <w:lang w:val="en-US"/>
    </w:rPr>
  </w:style>
  <w:style w:type="paragraph" w:styleId="NoSpacing">
    <w:name w:val="No Spacing"/>
    <w:link w:val="NoSpacingChar"/>
    <w:uiPriority w:val="1"/>
    <w:qFormat/>
    <w:rsid w:val="001038E0"/>
    <w:pPr>
      <w:spacing w:after="0" w:line="240" w:lineRule="auto"/>
    </w:pPr>
    <w:rPr>
      <w:rFonts w:eastAsiaTheme="minorEastAsia"/>
    </w:rPr>
  </w:style>
  <w:style w:type="character" w:customStyle="1" w:styleId="NoSpacingChar">
    <w:name w:val="No Spacing Char"/>
    <w:basedOn w:val="DefaultParagraphFont"/>
    <w:link w:val="NoSpacing"/>
    <w:uiPriority w:val="1"/>
    <w:rsid w:val="001038E0"/>
    <w:rPr>
      <w:rFonts w:eastAsiaTheme="minorEastAsia"/>
    </w:rPr>
  </w:style>
  <w:style w:type="paragraph" w:customStyle="1" w:styleId="HWLELvl1">
    <w:name w:val="HWLE Lvl 1"/>
    <w:basedOn w:val="Normal"/>
    <w:rsid w:val="0060646D"/>
    <w:pPr>
      <w:numPr>
        <w:numId w:val="2"/>
      </w:numPr>
      <w:spacing w:before="240" w:after="240" w:line="260" w:lineRule="atLeast"/>
    </w:pPr>
    <w:rPr>
      <w:rFonts w:ascii="Arial" w:hAnsi="Arial" w:cs="Arial"/>
      <w:sz w:val="20"/>
      <w:szCs w:val="20"/>
      <w:lang w:val="en-US"/>
    </w:rPr>
  </w:style>
  <w:style w:type="paragraph" w:customStyle="1" w:styleId="HWLELvl2">
    <w:name w:val="HWLE Lvl 2"/>
    <w:basedOn w:val="Normal"/>
    <w:rsid w:val="0060646D"/>
    <w:pPr>
      <w:numPr>
        <w:ilvl w:val="1"/>
        <w:numId w:val="2"/>
      </w:numPr>
      <w:spacing w:before="240" w:after="240" w:line="260" w:lineRule="atLeast"/>
    </w:pPr>
    <w:rPr>
      <w:rFonts w:ascii="Arial" w:hAnsi="Arial" w:cs="Arial"/>
      <w:sz w:val="20"/>
      <w:szCs w:val="20"/>
      <w:lang w:val="en-US"/>
    </w:rPr>
  </w:style>
  <w:style w:type="paragraph" w:customStyle="1" w:styleId="HWLELvl3">
    <w:name w:val="HWLE Lvl 3"/>
    <w:basedOn w:val="Normal"/>
    <w:rsid w:val="0060646D"/>
    <w:pPr>
      <w:numPr>
        <w:ilvl w:val="2"/>
        <w:numId w:val="2"/>
      </w:numPr>
      <w:spacing w:before="240" w:after="240" w:line="260" w:lineRule="atLeast"/>
    </w:pPr>
    <w:rPr>
      <w:rFonts w:ascii="Arial" w:hAnsi="Arial" w:cs="Arial"/>
      <w:sz w:val="20"/>
      <w:szCs w:val="20"/>
      <w:lang w:val="en-US"/>
    </w:rPr>
  </w:style>
  <w:style w:type="paragraph" w:customStyle="1" w:styleId="HWLELvl4">
    <w:name w:val="HWLE Lvl 4"/>
    <w:basedOn w:val="Normal"/>
    <w:rsid w:val="0060646D"/>
    <w:pPr>
      <w:numPr>
        <w:ilvl w:val="3"/>
        <w:numId w:val="2"/>
      </w:numPr>
      <w:spacing w:before="240" w:after="240" w:line="260" w:lineRule="atLeast"/>
    </w:pPr>
    <w:rPr>
      <w:rFonts w:ascii="Arial" w:hAnsi="Arial" w:cs="Arial"/>
      <w:sz w:val="20"/>
      <w:szCs w:val="20"/>
      <w:lang w:val="en-US"/>
    </w:rPr>
  </w:style>
  <w:style w:type="paragraph" w:customStyle="1" w:styleId="HWLELvl5">
    <w:name w:val="HWLE Lvl 5"/>
    <w:basedOn w:val="Normal"/>
    <w:rsid w:val="0060646D"/>
    <w:pPr>
      <w:numPr>
        <w:ilvl w:val="4"/>
        <w:numId w:val="2"/>
      </w:numPr>
      <w:spacing w:before="240" w:after="240" w:line="260" w:lineRule="atLeast"/>
    </w:pPr>
    <w:rPr>
      <w:rFonts w:ascii="Arial" w:hAnsi="Arial" w:cs="Arial"/>
      <w:sz w:val="20"/>
      <w:szCs w:val="20"/>
      <w:lang w:val="en-US"/>
    </w:rPr>
  </w:style>
  <w:style w:type="paragraph" w:customStyle="1" w:styleId="HWLELvl6">
    <w:name w:val="HWLE Lvl 6"/>
    <w:basedOn w:val="Normal"/>
    <w:rsid w:val="0060646D"/>
    <w:pPr>
      <w:numPr>
        <w:ilvl w:val="5"/>
        <w:numId w:val="2"/>
      </w:numPr>
      <w:spacing w:before="240" w:after="240" w:line="260" w:lineRule="atLeast"/>
    </w:pPr>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476">
      <w:bodyDiv w:val="1"/>
      <w:marLeft w:val="0"/>
      <w:marRight w:val="0"/>
      <w:marTop w:val="0"/>
      <w:marBottom w:val="0"/>
      <w:divBdr>
        <w:top w:val="none" w:sz="0" w:space="0" w:color="auto"/>
        <w:left w:val="none" w:sz="0" w:space="0" w:color="auto"/>
        <w:bottom w:val="none" w:sz="0" w:space="0" w:color="auto"/>
        <w:right w:val="none" w:sz="0" w:space="0" w:color="auto"/>
      </w:divBdr>
    </w:div>
    <w:div w:id="213468200">
      <w:bodyDiv w:val="1"/>
      <w:marLeft w:val="0"/>
      <w:marRight w:val="0"/>
      <w:marTop w:val="0"/>
      <w:marBottom w:val="0"/>
      <w:divBdr>
        <w:top w:val="none" w:sz="0" w:space="0" w:color="auto"/>
        <w:left w:val="none" w:sz="0" w:space="0" w:color="auto"/>
        <w:bottom w:val="none" w:sz="0" w:space="0" w:color="auto"/>
        <w:right w:val="none" w:sz="0" w:space="0" w:color="auto"/>
      </w:divBdr>
    </w:div>
    <w:div w:id="223372309">
      <w:bodyDiv w:val="1"/>
      <w:marLeft w:val="0"/>
      <w:marRight w:val="0"/>
      <w:marTop w:val="0"/>
      <w:marBottom w:val="0"/>
      <w:divBdr>
        <w:top w:val="none" w:sz="0" w:space="0" w:color="auto"/>
        <w:left w:val="none" w:sz="0" w:space="0" w:color="auto"/>
        <w:bottom w:val="none" w:sz="0" w:space="0" w:color="auto"/>
        <w:right w:val="none" w:sz="0" w:space="0" w:color="auto"/>
      </w:divBdr>
    </w:div>
    <w:div w:id="254171087">
      <w:bodyDiv w:val="1"/>
      <w:marLeft w:val="0"/>
      <w:marRight w:val="0"/>
      <w:marTop w:val="0"/>
      <w:marBottom w:val="0"/>
      <w:divBdr>
        <w:top w:val="none" w:sz="0" w:space="0" w:color="auto"/>
        <w:left w:val="none" w:sz="0" w:space="0" w:color="auto"/>
        <w:bottom w:val="none" w:sz="0" w:space="0" w:color="auto"/>
        <w:right w:val="none" w:sz="0" w:space="0" w:color="auto"/>
      </w:divBdr>
    </w:div>
    <w:div w:id="457450314">
      <w:bodyDiv w:val="1"/>
      <w:marLeft w:val="0"/>
      <w:marRight w:val="0"/>
      <w:marTop w:val="0"/>
      <w:marBottom w:val="0"/>
      <w:divBdr>
        <w:top w:val="none" w:sz="0" w:space="0" w:color="auto"/>
        <w:left w:val="none" w:sz="0" w:space="0" w:color="auto"/>
        <w:bottom w:val="none" w:sz="0" w:space="0" w:color="auto"/>
        <w:right w:val="none" w:sz="0" w:space="0" w:color="auto"/>
      </w:divBdr>
    </w:div>
    <w:div w:id="492717110">
      <w:bodyDiv w:val="1"/>
      <w:marLeft w:val="0"/>
      <w:marRight w:val="0"/>
      <w:marTop w:val="0"/>
      <w:marBottom w:val="0"/>
      <w:divBdr>
        <w:top w:val="none" w:sz="0" w:space="0" w:color="auto"/>
        <w:left w:val="none" w:sz="0" w:space="0" w:color="auto"/>
        <w:bottom w:val="none" w:sz="0" w:space="0" w:color="auto"/>
        <w:right w:val="none" w:sz="0" w:space="0" w:color="auto"/>
      </w:divBdr>
    </w:div>
    <w:div w:id="517348784">
      <w:bodyDiv w:val="1"/>
      <w:marLeft w:val="0"/>
      <w:marRight w:val="0"/>
      <w:marTop w:val="0"/>
      <w:marBottom w:val="0"/>
      <w:divBdr>
        <w:top w:val="none" w:sz="0" w:space="0" w:color="auto"/>
        <w:left w:val="none" w:sz="0" w:space="0" w:color="auto"/>
        <w:bottom w:val="none" w:sz="0" w:space="0" w:color="auto"/>
        <w:right w:val="none" w:sz="0" w:space="0" w:color="auto"/>
      </w:divBdr>
    </w:div>
    <w:div w:id="533463612">
      <w:bodyDiv w:val="1"/>
      <w:marLeft w:val="0"/>
      <w:marRight w:val="0"/>
      <w:marTop w:val="0"/>
      <w:marBottom w:val="0"/>
      <w:divBdr>
        <w:top w:val="none" w:sz="0" w:space="0" w:color="auto"/>
        <w:left w:val="none" w:sz="0" w:space="0" w:color="auto"/>
        <w:bottom w:val="none" w:sz="0" w:space="0" w:color="auto"/>
        <w:right w:val="none" w:sz="0" w:space="0" w:color="auto"/>
      </w:divBdr>
    </w:div>
    <w:div w:id="593317162">
      <w:bodyDiv w:val="1"/>
      <w:marLeft w:val="0"/>
      <w:marRight w:val="0"/>
      <w:marTop w:val="0"/>
      <w:marBottom w:val="0"/>
      <w:divBdr>
        <w:top w:val="none" w:sz="0" w:space="0" w:color="auto"/>
        <w:left w:val="none" w:sz="0" w:space="0" w:color="auto"/>
        <w:bottom w:val="none" w:sz="0" w:space="0" w:color="auto"/>
        <w:right w:val="none" w:sz="0" w:space="0" w:color="auto"/>
      </w:divBdr>
    </w:div>
    <w:div w:id="673726584">
      <w:bodyDiv w:val="1"/>
      <w:marLeft w:val="0"/>
      <w:marRight w:val="0"/>
      <w:marTop w:val="0"/>
      <w:marBottom w:val="0"/>
      <w:divBdr>
        <w:top w:val="none" w:sz="0" w:space="0" w:color="auto"/>
        <w:left w:val="none" w:sz="0" w:space="0" w:color="auto"/>
        <w:bottom w:val="none" w:sz="0" w:space="0" w:color="auto"/>
        <w:right w:val="none" w:sz="0" w:space="0" w:color="auto"/>
      </w:divBdr>
    </w:div>
    <w:div w:id="758873499">
      <w:bodyDiv w:val="1"/>
      <w:marLeft w:val="0"/>
      <w:marRight w:val="0"/>
      <w:marTop w:val="0"/>
      <w:marBottom w:val="0"/>
      <w:divBdr>
        <w:top w:val="none" w:sz="0" w:space="0" w:color="auto"/>
        <w:left w:val="none" w:sz="0" w:space="0" w:color="auto"/>
        <w:bottom w:val="none" w:sz="0" w:space="0" w:color="auto"/>
        <w:right w:val="none" w:sz="0" w:space="0" w:color="auto"/>
      </w:divBdr>
    </w:div>
    <w:div w:id="786772723">
      <w:bodyDiv w:val="1"/>
      <w:marLeft w:val="0"/>
      <w:marRight w:val="0"/>
      <w:marTop w:val="0"/>
      <w:marBottom w:val="0"/>
      <w:divBdr>
        <w:top w:val="none" w:sz="0" w:space="0" w:color="auto"/>
        <w:left w:val="none" w:sz="0" w:space="0" w:color="auto"/>
        <w:bottom w:val="none" w:sz="0" w:space="0" w:color="auto"/>
        <w:right w:val="none" w:sz="0" w:space="0" w:color="auto"/>
      </w:divBdr>
    </w:div>
    <w:div w:id="842354049">
      <w:bodyDiv w:val="1"/>
      <w:marLeft w:val="0"/>
      <w:marRight w:val="0"/>
      <w:marTop w:val="0"/>
      <w:marBottom w:val="0"/>
      <w:divBdr>
        <w:top w:val="none" w:sz="0" w:space="0" w:color="auto"/>
        <w:left w:val="none" w:sz="0" w:space="0" w:color="auto"/>
        <w:bottom w:val="none" w:sz="0" w:space="0" w:color="auto"/>
        <w:right w:val="none" w:sz="0" w:space="0" w:color="auto"/>
      </w:divBdr>
    </w:div>
    <w:div w:id="939407302">
      <w:bodyDiv w:val="1"/>
      <w:marLeft w:val="0"/>
      <w:marRight w:val="0"/>
      <w:marTop w:val="0"/>
      <w:marBottom w:val="0"/>
      <w:divBdr>
        <w:top w:val="none" w:sz="0" w:space="0" w:color="auto"/>
        <w:left w:val="none" w:sz="0" w:space="0" w:color="auto"/>
        <w:bottom w:val="none" w:sz="0" w:space="0" w:color="auto"/>
        <w:right w:val="none" w:sz="0" w:space="0" w:color="auto"/>
      </w:divBdr>
    </w:div>
    <w:div w:id="948898503">
      <w:bodyDiv w:val="1"/>
      <w:marLeft w:val="0"/>
      <w:marRight w:val="0"/>
      <w:marTop w:val="0"/>
      <w:marBottom w:val="0"/>
      <w:divBdr>
        <w:top w:val="none" w:sz="0" w:space="0" w:color="auto"/>
        <w:left w:val="none" w:sz="0" w:space="0" w:color="auto"/>
        <w:bottom w:val="none" w:sz="0" w:space="0" w:color="auto"/>
        <w:right w:val="none" w:sz="0" w:space="0" w:color="auto"/>
      </w:divBdr>
    </w:div>
    <w:div w:id="993219790">
      <w:bodyDiv w:val="1"/>
      <w:marLeft w:val="0"/>
      <w:marRight w:val="0"/>
      <w:marTop w:val="0"/>
      <w:marBottom w:val="0"/>
      <w:divBdr>
        <w:top w:val="none" w:sz="0" w:space="0" w:color="auto"/>
        <w:left w:val="none" w:sz="0" w:space="0" w:color="auto"/>
        <w:bottom w:val="none" w:sz="0" w:space="0" w:color="auto"/>
        <w:right w:val="none" w:sz="0" w:space="0" w:color="auto"/>
      </w:divBdr>
    </w:div>
    <w:div w:id="1067533995">
      <w:bodyDiv w:val="1"/>
      <w:marLeft w:val="0"/>
      <w:marRight w:val="0"/>
      <w:marTop w:val="0"/>
      <w:marBottom w:val="0"/>
      <w:divBdr>
        <w:top w:val="none" w:sz="0" w:space="0" w:color="auto"/>
        <w:left w:val="none" w:sz="0" w:space="0" w:color="auto"/>
        <w:bottom w:val="none" w:sz="0" w:space="0" w:color="auto"/>
        <w:right w:val="none" w:sz="0" w:space="0" w:color="auto"/>
      </w:divBdr>
    </w:div>
    <w:div w:id="1110049476">
      <w:bodyDiv w:val="1"/>
      <w:marLeft w:val="0"/>
      <w:marRight w:val="0"/>
      <w:marTop w:val="0"/>
      <w:marBottom w:val="0"/>
      <w:divBdr>
        <w:top w:val="none" w:sz="0" w:space="0" w:color="auto"/>
        <w:left w:val="none" w:sz="0" w:space="0" w:color="auto"/>
        <w:bottom w:val="none" w:sz="0" w:space="0" w:color="auto"/>
        <w:right w:val="none" w:sz="0" w:space="0" w:color="auto"/>
      </w:divBdr>
    </w:div>
    <w:div w:id="1168054331">
      <w:bodyDiv w:val="1"/>
      <w:marLeft w:val="0"/>
      <w:marRight w:val="0"/>
      <w:marTop w:val="0"/>
      <w:marBottom w:val="0"/>
      <w:divBdr>
        <w:top w:val="none" w:sz="0" w:space="0" w:color="auto"/>
        <w:left w:val="none" w:sz="0" w:space="0" w:color="auto"/>
        <w:bottom w:val="none" w:sz="0" w:space="0" w:color="auto"/>
        <w:right w:val="none" w:sz="0" w:space="0" w:color="auto"/>
      </w:divBdr>
    </w:div>
    <w:div w:id="1249537351">
      <w:bodyDiv w:val="1"/>
      <w:marLeft w:val="0"/>
      <w:marRight w:val="0"/>
      <w:marTop w:val="0"/>
      <w:marBottom w:val="0"/>
      <w:divBdr>
        <w:top w:val="none" w:sz="0" w:space="0" w:color="auto"/>
        <w:left w:val="none" w:sz="0" w:space="0" w:color="auto"/>
        <w:bottom w:val="none" w:sz="0" w:space="0" w:color="auto"/>
        <w:right w:val="none" w:sz="0" w:space="0" w:color="auto"/>
      </w:divBdr>
    </w:div>
    <w:div w:id="1251306205">
      <w:bodyDiv w:val="1"/>
      <w:marLeft w:val="0"/>
      <w:marRight w:val="0"/>
      <w:marTop w:val="0"/>
      <w:marBottom w:val="0"/>
      <w:divBdr>
        <w:top w:val="none" w:sz="0" w:space="0" w:color="auto"/>
        <w:left w:val="none" w:sz="0" w:space="0" w:color="auto"/>
        <w:bottom w:val="none" w:sz="0" w:space="0" w:color="auto"/>
        <w:right w:val="none" w:sz="0" w:space="0" w:color="auto"/>
      </w:divBdr>
    </w:div>
    <w:div w:id="1328829941">
      <w:bodyDiv w:val="1"/>
      <w:marLeft w:val="0"/>
      <w:marRight w:val="0"/>
      <w:marTop w:val="0"/>
      <w:marBottom w:val="0"/>
      <w:divBdr>
        <w:top w:val="none" w:sz="0" w:space="0" w:color="auto"/>
        <w:left w:val="none" w:sz="0" w:space="0" w:color="auto"/>
        <w:bottom w:val="none" w:sz="0" w:space="0" w:color="auto"/>
        <w:right w:val="none" w:sz="0" w:space="0" w:color="auto"/>
      </w:divBdr>
    </w:div>
    <w:div w:id="1342926774">
      <w:bodyDiv w:val="1"/>
      <w:marLeft w:val="0"/>
      <w:marRight w:val="0"/>
      <w:marTop w:val="0"/>
      <w:marBottom w:val="0"/>
      <w:divBdr>
        <w:top w:val="none" w:sz="0" w:space="0" w:color="auto"/>
        <w:left w:val="none" w:sz="0" w:space="0" w:color="auto"/>
        <w:bottom w:val="none" w:sz="0" w:space="0" w:color="auto"/>
        <w:right w:val="none" w:sz="0" w:space="0" w:color="auto"/>
      </w:divBdr>
    </w:div>
    <w:div w:id="1371685864">
      <w:bodyDiv w:val="1"/>
      <w:marLeft w:val="0"/>
      <w:marRight w:val="0"/>
      <w:marTop w:val="0"/>
      <w:marBottom w:val="0"/>
      <w:divBdr>
        <w:top w:val="none" w:sz="0" w:space="0" w:color="auto"/>
        <w:left w:val="none" w:sz="0" w:space="0" w:color="auto"/>
        <w:bottom w:val="none" w:sz="0" w:space="0" w:color="auto"/>
        <w:right w:val="none" w:sz="0" w:space="0" w:color="auto"/>
      </w:divBdr>
    </w:div>
    <w:div w:id="1424571612">
      <w:bodyDiv w:val="1"/>
      <w:marLeft w:val="0"/>
      <w:marRight w:val="0"/>
      <w:marTop w:val="0"/>
      <w:marBottom w:val="0"/>
      <w:divBdr>
        <w:top w:val="none" w:sz="0" w:space="0" w:color="auto"/>
        <w:left w:val="none" w:sz="0" w:space="0" w:color="auto"/>
        <w:bottom w:val="none" w:sz="0" w:space="0" w:color="auto"/>
        <w:right w:val="none" w:sz="0" w:space="0" w:color="auto"/>
      </w:divBdr>
    </w:div>
    <w:div w:id="1497844768">
      <w:bodyDiv w:val="1"/>
      <w:marLeft w:val="0"/>
      <w:marRight w:val="0"/>
      <w:marTop w:val="0"/>
      <w:marBottom w:val="0"/>
      <w:divBdr>
        <w:top w:val="none" w:sz="0" w:space="0" w:color="auto"/>
        <w:left w:val="none" w:sz="0" w:space="0" w:color="auto"/>
        <w:bottom w:val="none" w:sz="0" w:space="0" w:color="auto"/>
        <w:right w:val="none" w:sz="0" w:space="0" w:color="auto"/>
      </w:divBdr>
    </w:div>
    <w:div w:id="1510438906">
      <w:bodyDiv w:val="1"/>
      <w:marLeft w:val="0"/>
      <w:marRight w:val="0"/>
      <w:marTop w:val="0"/>
      <w:marBottom w:val="0"/>
      <w:divBdr>
        <w:top w:val="none" w:sz="0" w:space="0" w:color="auto"/>
        <w:left w:val="none" w:sz="0" w:space="0" w:color="auto"/>
        <w:bottom w:val="none" w:sz="0" w:space="0" w:color="auto"/>
        <w:right w:val="none" w:sz="0" w:space="0" w:color="auto"/>
      </w:divBdr>
    </w:div>
    <w:div w:id="1538080736">
      <w:bodyDiv w:val="1"/>
      <w:marLeft w:val="0"/>
      <w:marRight w:val="0"/>
      <w:marTop w:val="0"/>
      <w:marBottom w:val="0"/>
      <w:divBdr>
        <w:top w:val="none" w:sz="0" w:space="0" w:color="auto"/>
        <w:left w:val="none" w:sz="0" w:space="0" w:color="auto"/>
        <w:bottom w:val="none" w:sz="0" w:space="0" w:color="auto"/>
        <w:right w:val="none" w:sz="0" w:space="0" w:color="auto"/>
      </w:divBdr>
    </w:div>
    <w:div w:id="1547914036">
      <w:bodyDiv w:val="1"/>
      <w:marLeft w:val="0"/>
      <w:marRight w:val="0"/>
      <w:marTop w:val="0"/>
      <w:marBottom w:val="0"/>
      <w:divBdr>
        <w:top w:val="none" w:sz="0" w:space="0" w:color="auto"/>
        <w:left w:val="none" w:sz="0" w:space="0" w:color="auto"/>
        <w:bottom w:val="none" w:sz="0" w:space="0" w:color="auto"/>
        <w:right w:val="none" w:sz="0" w:space="0" w:color="auto"/>
      </w:divBdr>
    </w:div>
    <w:div w:id="1554656462">
      <w:bodyDiv w:val="1"/>
      <w:marLeft w:val="0"/>
      <w:marRight w:val="0"/>
      <w:marTop w:val="0"/>
      <w:marBottom w:val="0"/>
      <w:divBdr>
        <w:top w:val="none" w:sz="0" w:space="0" w:color="auto"/>
        <w:left w:val="none" w:sz="0" w:space="0" w:color="auto"/>
        <w:bottom w:val="none" w:sz="0" w:space="0" w:color="auto"/>
        <w:right w:val="none" w:sz="0" w:space="0" w:color="auto"/>
      </w:divBdr>
    </w:div>
    <w:div w:id="1565991225">
      <w:bodyDiv w:val="1"/>
      <w:marLeft w:val="0"/>
      <w:marRight w:val="0"/>
      <w:marTop w:val="0"/>
      <w:marBottom w:val="0"/>
      <w:divBdr>
        <w:top w:val="none" w:sz="0" w:space="0" w:color="auto"/>
        <w:left w:val="none" w:sz="0" w:space="0" w:color="auto"/>
        <w:bottom w:val="none" w:sz="0" w:space="0" w:color="auto"/>
        <w:right w:val="none" w:sz="0" w:space="0" w:color="auto"/>
      </w:divBdr>
    </w:div>
    <w:div w:id="1682198680">
      <w:bodyDiv w:val="1"/>
      <w:marLeft w:val="0"/>
      <w:marRight w:val="0"/>
      <w:marTop w:val="0"/>
      <w:marBottom w:val="0"/>
      <w:divBdr>
        <w:top w:val="none" w:sz="0" w:space="0" w:color="auto"/>
        <w:left w:val="none" w:sz="0" w:space="0" w:color="auto"/>
        <w:bottom w:val="none" w:sz="0" w:space="0" w:color="auto"/>
        <w:right w:val="none" w:sz="0" w:space="0" w:color="auto"/>
      </w:divBdr>
    </w:div>
    <w:div w:id="1692223608">
      <w:bodyDiv w:val="1"/>
      <w:marLeft w:val="0"/>
      <w:marRight w:val="0"/>
      <w:marTop w:val="0"/>
      <w:marBottom w:val="0"/>
      <w:divBdr>
        <w:top w:val="none" w:sz="0" w:space="0" w:color="auto"/>
        <w:left w:val="none" w:sz="0" w:space="0" w:color="auto"/>
        <w:bottom w:val="none" w:sz="0" w:space="0" w:color="auto"/>
        <w:right w:val="none" w:sz="0" w:space="0" w:color="auto"/>
      </w:divBdr>
    </w:div>
    <w:div w:id="1774469204">
      <w:bodyDiv w:val="1"/>
      <w:marLeft w:val="0"/>
      <w:marRight w:val="0"/>
      <w:marTop w:val="0"/>
      <w:marBottom w:val="0"/>
      <w:divBdr>
        <w:top w:val="none" w:sz="0" w:space="0" w:color="auto"/>
        <w:left w:val="none" w:sz="0" w:space="0" w:color="auto"/>
        <w:bottom w:val="none" w:sz="0" w:space="0" w:color="auto"/>
        <w:right w:val="none" w:sz="0" w:space="0" w:color="auto"/>
      </w:divBdr>
    </w:div>
    <w:div w:id="1781221163">
      <w:bodyDiv w:val="1"/>
      <w:marLeft w:val="0"/>
      <w:marRight w:val="0"/>
      <w:marTop w:val="0"/>
      <w:marBottom w:val="0"/>
      <w:divBdr>
        <w:top w:val="none" w:sz="0" w:space="0" w:color="auto"/>
        <w:left w:val="none" w:sz="0" w:space="0" w:color="auto"/>
        <w:bottom w:val="none" w:sz="0" w:space="0" w:color="auto"/>
        <w:right w:val="none" w:sz="0" w:space="0" w:color="auto"/>
      </w:divBdr>
    </w:div>
    <w:div w:id="1791241206">
      <w:bodyDiv w:val="1"/>
      <w:marLeft w:val="0"/>
      <w:marRight w:val="0"/>
      <w:marTop w:val="0"/>
      <w:marBottom w:val="0"/>
      <w:divBdr>
        <w:top w:val="none" w:sz="0" w:space="0" w:color="auto"/>
        <w:left w:val="none" w:sz="0" w:space="0" w:color="auto"/>
        <w:bottom w:val="none" w:sz="0" w:space="0" w:color="auto"/>
        <w:right w:val="none" w:sz="0" w:space="0" w:color="auto"/>
      </w:divBdr>
    </w:div>
    <w:div w:id="1839729232">
      <w:bodyDiv w:val="1"/>
      <w:marLeft w:val="0"/>
      <w:marRight w:val="0"/>
      <w:marTop w:val="0"/>
      <w:marBottom w:val="0"/>
      <w:divBdr>
        <w:top w:val="none" w:sz="0" w:space="0" w:color="auto"/>
        <w:left w:val="none" w:sz="0" w:space="0" w:color="auto"/>
        <w:bottom w:val="none" w:sz="0" w:space="0" w:color="auto"/>
        <w:right w:val="none" w:sz="0" w:space="0" w:color="auto"/>
      </w:divBdr>
    </w:div>
    <w:div w:id="1913152678">
      <w:bodyDiv w:val="1"/>
      <w:marLeft w:val="0"/>
      <w:marRight w:val="0"/>
      <w:marTop w:val="0"/>
      <w:marBottom w:val="0"/>
      <w:divBdr>
        <w:top w:val="none" w:sz="0" w:space="0" w:color="auto"/>
        <w:left w:val="none" w:sz="0" w:space="0" w:color="auto"/>
        <w:bottom w:val="none" w:sz="0" w:space="0" w:color="auto"/>
        <w:right w:val="none" w:sz="0" w:space="0" w:color="auto"/>
      </w:divBdr>
    </w:div>
    <w:div w:id="1985620028">
      <w:bodyDiv w:val="1"/>
      <w:marLeft w:val="0"/>
      <w:marRight w:val="0"/>
      <w:marTop w:val="0"/>
      <w:marBottom w:val="0"/>
      <w:divBdr>
        <w:top w:val="none" w:sz="0" w:space="0" w:color="auto"/>
        <w:left w:val="none" w:sz="0" w:space="0" w:color="auto"/>
        <w:bottom w:val="none" w:sz="0" w:space="0" w:color="auto"/>
        <w:right w:val="none" w:sz="0" w:space="0" w:color="auto"/>
      </w:divBdr>
    </w:div>
    <w:div w:id="2080901645">
      <w:bodyDiv w:val="1"/>
      <w:marLeft w:val="0"/>
      <w:marRight w:val="0"/>
      <w:marTop w:val="0"/>
      <w:marBottom w:val="0"/>
      <w:divBdr>
        <w:top w:val="none" w:sz="0" w:space="0" w:color="auto"/>
        <w:left w:val="none" w:sz="0" w:space="0" w:color="auto"/>
        <w:bottom w:val="none" w:sz="0" w:space="0" w:color="auto"/>
        <w:right w:val="none" w:sz="0" w:space="0" w:color="auto"/>
      </w:divBdr>
    </w:div>
    <w:div w:id="2084640523">
      <w:bodyDiv w:val="1"/>
      <w:marLeft w:val="0"/>
      <w:marRight w:val="0"/>
      <w:marTop w:val="0"/>
      <w:marBottom w:val="0"/>
      <w:divBdr>
        <w:top w:val="none" w:sz="0" w:space="0" w:color="auto"/>
        <w:left w:val="none" w:sz="0" w:space="0" w:color="auto"/>
        <w:bottom w:val="none" w:sz="0" w:space="0" w:color="auto"/>
        <w:right w:val="none" w:sz="0" w:space="0" w:color="auto"/>
      </w:divBdr>
    </w:div>
    <w:div w:id="21201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i@udiavic.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iavic.com.au" TargetMode="External"/><Relationship Id="rId5" Type="http://schemas.openxmlformats.org/officeDocument/2006/relationships/webSettings" Target="webSettings.xml"/><Relationship Id="rId10" Type="http://schemas.openxmlformats.org/officeDocument/2006/relationships/hyperlink" Target="mailto:john@udiavic.com.au" TargetMode="External"/><Relationship Id="rId4" Type="http://schemas.openxmlformats.org/officeDocument/2006/relationships/settings" Target="settings.xml"/><Relationship Id="rId9" Type="http://schemas.openxmlformats.org/officeDocument/2006/relationships/hyperlink" Target="http://www.udiavic.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F16E-C251-4256-8549-9FD7FA44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 Urban Development Institute of Australia</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Development Institute of Australia</dc:creator>
  <cp:keywords/>
  <dc:description/>
  <cp:lastModifiedBy>Fiona Creedy</cp:lastModifiedBy>
  <cp:revision>7</cp:revision>
  <cp:lastPrinted>2016-03-16T23:51:00Z</cp:lastPrinted>
  <dcterms:created xsi:type="dcterms:W3CDTF">2016-03-22T04:34:00Z</dcterms:created>
  <dcterms:modified xsi:type="dcterms:W3CDTF">2016-04-15T03:01:00Z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-199112276</vt:i4>
  </property>
  <property fmtid="{D5CDD505-2E9C-101B-9397-08002B2CF9AE}" pid="3" name="TRIMID">
    <vt:lpwstr/>
  </property>
</Properties>
</file>