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B6" w:rsidRPr="00C8554E" w:rsidRDefault="00AB7DB6" w:rsidP="00AB7DB6">
      <w:pPr>
        <w:spacing w:after="0" w:line="240" w:lineRule="auto"/>
        <w:jc w:val="right"/>
        <w:rPr>
          <w:szCs w:val="24"/>
        </w:rPr>
      </w:pPr>
      <w:bookmarkStart w:id="0" w:name="_GoBack"/>
      <w:bookmarkEnd w:id="0"/>
      <w:r w:rsidRPr="00C8554E">
        <w:rPr>
          <w:szCs w:val="24"/>
        </w:rPr>
        <w:t>7C Park Crescent</w:t>
      </w:r>
    </w:p>
    <w:p w:rsidR="00AB7DB6" w:rsidRDefault="00AB7DB6" w:rsidP="00AB7DB6">
      <w:pPr>
        <w:spacing w:after="0" w:line="240" w:lineRule="auto"/>
        <w:jc w:val="right"/>
        <w:rPr>
          <w:szCs w:val="24"/>
        </w:rPr>
      </w:pPr>
      <w:r w:rsidRPr="00C8554E">
        <w:rPr>
          <w:szCs w:val="24"/>
        </w:rPr>
        <w:t>Fairfield VIC 3078</w:t>
      </w:r>
    </w:p>
    <w:p w:rsidR="00263BF8" w:rsidRPr="00C8554E" w:rsidRDefault="00263BF8" w:rsidP="00263BF8">
      <w:pPr>
        <w:spacing w:after="0" w:line="240" w:lineRule="auto"/>
        <w:jc w:val="right"/>
        <w:rPr>
          <w:szCs w:val="24"/>
        </w:rPr>
      </w:pPr>
    </w:p>
    <w:p w:rsidR="00263BF8" w:rsidRPr="00C8554E" w:rsidRDefault="00263BF8" w:rsidP="00AB7DB6">
      <w:pPr>
        <w:spacing w:after="0" w:line="240" w:lineRule="auto"/>
        <w:jc w:val="right"/>
        <w:rPr>
          <w:szCs w:val="24"/>
        </w:rPr>
      </w:pPr>
    </w:p>
    <w:p w:rsidR="00263BF8" w:rsidRDefault="00263BF8" w:rsidP="00AB7DB6">
      <w:pPr>
        <w:spacing w:after="0" w:line="240" w:lineRule="auto"/>
        <w:rPr>
          <w:szCs w:val="24"/>
        </w:rPr>
      </w:pPr>
    </w:p>
    <w:p w:rsidR="00AB7DB6" w:rsidRPr="00C8554E" w:rsidRDefault="004966BC" w:rsidP="00AB7DB6">
      <w:pPr>
        <w:spacing w:after="0" w:line="240" w:lineRule="auto"/>
        <w:rPr>
          <w:szCs w:val="24"/>
        </w:rPr>
      </w:pPr>
      <w:r>
        <w:rPr>
          <w:szCs w:val="24"/>
        </w:rPr>
        <w:t>1 April</w:t>
      </w:r>
      <w:r w:rsidR="00AB7DB6" w:rsidRPr="00C8554E">
        <w:rPr>
          <w:szCs w:val="24"/>
        </w:rPr>
        <w:t xml:space="preserve"> 2016</w:t>
      </w:r>
    </w:p>
    <w:p w:rsidR="00AB7DB6" w:rsidRPr="00C8554E" w:rsidRDefault="00AB7DB6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Consumer Property Law Review</w:t>
      </w:r>
      <w:r w:rsidRPr="00C8554E">
        <w:rPr>
          <w:szCs w:val="24"/>
        </w:rPr>
        <w:br/>
        <w:t>Policy and Legislation Branch</w:t>
      </w:r>
      <w:r w:rsidRPr="00C8554E">
        <w:rPr>
          <w:szCs w:val="24"/>
        </w:rPr>
        <w:br/>
        <w:t>Consumer Affairs Victoria</w:t>
      </w:r>
      <w:r w:rsidRPr="00C8554E">
        <w:rPr>
          <w:szCs w:val="24"/>
        </w:rPr>
        <w:br/>
        <w:t>GPO Box 123</w:t>
      </w:r>
    </w:p>
    <w:p w:rsidR="00AB7DB6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Melbourne VIC 3001</w:t>
      </w:r>
    </w:p>
    <w:p w:rsidR="00FC6290" w:rsidRDefault="00815CD8" w:rsidP="00AB7DB6">
      <w:pPr>
        <w:spacing w:after="0" w:line="240" w:lineRule="auto"/>
        <w:rPr>
          <w:szCs w:val="24"/>
        </w:rPr>
      </w:pPr>
      <w:hyperlink r:id="rId5" w:history="1">
        <w:r w:rsidR="00FC6290" w:rsidRPr="001A3388">
          <w:rPr>
            <w:rStyle w:val="Hyperlink"/>
            <w:szCs w:val="24"/>
          </w:rPr>
          <w:t>consumerpropertylawreview@justice.vic.gov.au</w:t>
        </w:r>
      </w:hyperlink>
    </w:p>
    <w:p w:rsidR="00AB7DB6" w:rsidRPr="00C8554E" w:rsidRDefault="00AB7DB6" w:rsidP="00AB7DB6">
      <w:pPr>
        <w:spacing w:after="0" w:line="240" w:lineRule="auto"/>
        <w:rPr>
          <w:szCs w:val="24"/>
        </w:rPr>
      </w:pPr>
    </w:p>
    <w:p w:rsidR="00263BF8" w:rsidRDefault="00263BF8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Dear Sir/Madam</w:t>
      </w:r>
    </w:p>
    <w:p w:rsidR="00AB7DB6" w:rsidRPr="00C8554E" w:rsidRDefault="00AB7DB6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Thank you for the opportunity to provide a submission to your current issue paper (</w:t>
      </w:r>
      <w:r w:rsidR="00263BF8">
        <w:rPr>
          <w:szCs w:val="24"/>
        </w:rPr>
        <w:t>no.</w:t>
      </w:r>
      <w:r w:rsidRPr="00C8554E">
        <w:rPr>
          <w:szCs w:val="24"/>
        </w:rPr>
        <w:t xml:space="preserve"> 2).</w:t>
      </w:r>
      <w:r w:rsidRPr="00C8554E">
        <w:rPr>
          <w:szCs w:val="24"/>
        </w:rPr>
        <w:br/>
      </w:r>
    </w:p>
    <w:p w:rsidR="00AB7DB6" w:rsidRPr="00C8554E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I must note that I whilst I am a Volunteer Manager for an owners corporation, I am providing this submission as an individual lot owner and not on behalf of my owners corporation.</w:t>
      </w:r>
    </w:p>
    <w:p w:rsidR="00AB7DB6" w:rsidRPr="00C8554E" w:rsidRDefault="00AB7DB6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b/>
          <w:sz w:val="28"/>
          <w:szCs w:val="24"/>
        </w:rPr>
      </w:pPr>
      <w:r w:rsidRPr="00C8554E">
        <w:rPr>
          <w:b/>
          <w:sz w:val="28"/>
          <w:szCs w:val="24"/>
        </w:rPr>
        <w:t>Consumer Property Acts Review Issues Paper No. 2</w:t>
      </w:r>
    </w:p>
    <w:p w:rsidR="00AB7DB6" w:rsidRPr="00C8554E" w:rsidRDefault="00AB7DB6" w:rsidP="00AB7DB6">
      <w:pPr>
        <w:spacing w:after="0" w:line="240" w:lineRule="auto"/>
        <w:rPr>
          <w:b/>
          <w:sz w:val="28"/>
          <w:szCs w:val="24"/>
        </w:rPr>
      </w:pPr>
      <w:r w:rsidRPr="00C8554E">
        <w:rPr>
          <w:b/>
          <w:sz w:val="28"/>
          <w:szCs w:val="24"/>
        </w:rPr>
        <w:t>Owners corporations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I would like to provide comments to six of the questions raised in the issues paper: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5B1F50">
      <w:pPr>
        <w:spacing w:after="0" w:line="240" w:lineRule="auto"/>
        <w:ind w:left="720" w:hanging="720"/>
        <w:rPr>
          <w:b/>
          <w:szCs w:val="24"/>
        </w:rPr>
      </w:pPr>
      <w:r w:rsidRPr="00C8554E">
        <w:rPr>
          <w:b/>
          <w:szCs w:val="24"/>
        </w:rPr>
        <w:t xml:space="preserve">25: </w:t>
      </w:r>
      <w:r w:rsidR="005B1F50" w:rsidRPr="00C8554E">
        <w:rPr>
          <w:b/>
          <w:szCs w:val="24"/>
        </w:rPr>
        <w:tab/>
      </w:r>
      <w:r w:rsidRPr="00C8554E">
        <w:rPr>
          <w:b/>
          <w:szCs w:val="24"/>
        </w:rPr>
        <w:t>Should lot owners be able to 'opt out' of the insurance policy taken out by the owners</w:t>
      </w:r>
      <w:r w:rsidR="005B1F50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corporation when they take out their own insurance (and not, therefore, pay their portion</w:t>
      </w:r>
      <w:r w:rsidR="005B1F50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of the owners corporation's policy)?</w:t>
      </w:r>
    </w:p>
    <w:p w:rsidR="005B1F50" w:rsidRPr="00C8554E" w:rsidRDefault="005B1F50" w:rsidP="00AB7DB6">
      <w:pPr>
        <w:spacing w:after="0" w:line="240" w:lineRule="auto"/>
        <w:rPr>
          <w:b/>
          <w:szCs w:val="24"/>
        </w:rPr>
      </w:pPr>
    </w:p>
    <w:p w:rsidR="00AB7DB6" w:rsidRPr="00C8554E" w:rsidRDefault="00AB7DB6" w:rsidP="005B1F50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 xml:space="preserve">No. The 'opt out' provision is at odds with </w:t>
      </w:r>
      <w:r w:rsidR="005B1F50" w:rsidRPr="00C8554E">
        <w:rPr>
          <w:szCs w:val="24"/>
        </w:rPr>
        <w:t>most</w:t>
      </w:r>
      <w:r w:rsidRPr="00C8554E">
        <w:rPr>
          <w:szCs w:val="24"/>
        </w:rPr>
        <w:t xml:space="preserve"> insurers who insist that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all lots and common property must come under the one policy. When individual lot owners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take out their own insurance and a major incident occurs affecting multiple lots and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common property, the situation is complicated by multiple insurers more focussed on how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the liability will be carved up, rather than the best interest of the insured lot owners.</w:t>
      </w:r>
    </w:p>
    <w:p w:rsidR="005B1F50" w:rsidRPr="00C8554E" w:rsidRDefault="005B1F50" w:rsidP="005B1F50">
      <w:pPr>
        <w:spacing w:after="0" w:line="240" w:lineRule="auto"/>
        <w:ind w:left="720"/>
        <w:rPr>
          <w:szCs w:val="24"/>
        </w:rPr>
      </w:pPr>
    </w:p>
    <w:p w:rsidR="005B1F50" w:rsidRPr="00C8554E" w:rsidRDefault="00AB7DB6" w:rsidP="005B1F50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>Unfortunately 'opting out' will become more common place when lot owners believe they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can obtain a better price direct from an insurer, rather than coming under an owners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 xml:space="preserve">corporation policy where </w:t>
      </w:r>
      <w:r w:rsidR="005B1F50" w:rsidRPr="00C8554E">
        <w:rPr>
          <w:szCs w:val="24"/>
        </w:rPr>
        <w:t>commissions are built into the premium</w:t>
      </w:r>
      <w:r w:rsidRPr="00C8554E">
        <w:rPr>
          <w:szCs w:val="24"/>
        </w:rPr>
        <w:t>. The burden of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such commissions will be borne by the remaining lot owners who chose to come under the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owners corporation policy.</w:t>
      </w:r>
    </w:p>
    <w:p w:rsidR="005B1F50" w:rsidRPr="00C8554E" w:rsidRDefault="005B1F50" w:rsidP="005B1F50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5B1F50">
      <w:pPr>
        <w:spacing w:after="0" w:line="240" w:lineRule="auto"/>
        <w:ind w:left="720" w:hanging="720"/>
        <w:rPr>
          <w:b/>
          <w:szCs w:val="24"/>
        </w:rPr>
      </w:pPr>
      <w:r w:rsidRPr="00C8554E">
        <w:rPr>
          <w:b/>
          <w:szCs w:val="24"/>
        </w:rPr>
        <w:t xml:space="preserve">40: </w:t>
      </w:r>
      <w:r w:rsidR="005B1F50" w:rsidRPr="00C8554E">
        <w:rPr>
          <w:b/>
          <w:szCs w:val="24"/>
        </w:rPr>
        <w:tab/>
      </w:r>
      <w:r w:rsidRPr="00C8554E">
        <w:rPr>
          <w:b/>
          <w:szCs w:val="24"/>
        </w:rPr>
        <w:t>Are there any other issues about the external appearance of lots? What has been your</w:t>
      </w:r>
      <w:r w:rsidR="005B1F50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experience?</w:t>
      </w:r>
    </w:p>
    <w:p w:rsidR="005B1F50" w:rsidRPr="00C8554E" w:rsidRDefault="005B1F50" w:rsidP="005B1F50">
      <w:pPr>
        <w:spacing w:after="0" w:line="240" w:lineRule="auto"/>
        <w:ind w:left="720" w:hanging="720"/>
        <w:rPr>
          <w:b/>
          <w:szCs w:val="24"/>
        </w:rPr>
      </w:pPr>
    </w:p>
    <w:p w:rsidR="00AB7DB6" w:rsidRDefault="00AB7DB6" w:rsidP="005B1F50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>There could be issues for properties affected by strata. From experience, where the owners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 xml:space="preserve">corporation comprises of individual lots </w:t>
      </w:r>
      <w:r w:rsidR="00F77358">
        <w:rPr>
          <w:szCs w:val="24"/>
        </w:rPr>
        <w:t xml:space="preserve">plus common property </w:t>
      </w:r>
      <w:r w:rsidRPr="00C8554E">
        <w:rPr>
          <w:szCs w:val="24"/>
        </w:rPr>
        <w:t>(not strata), these issues tend to be similar to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'neighbour disputes'. Example, the position of an air-conditioner compressor on a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townhouse rooftop and the neighbouring townhouse complains about its visibility. I believe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this distinction (strata vs individual lots) needs to be very clear.</w:t>
      </w:r>
    </w:p>
    <w:p w:rsidR="00263BF8" w:rsidRPr="00C8554E" w:rsidRDefault="00263BF8" w:rsidP="005B1F50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5B1F50">
      <w:pPr>
        <w:spacing w:after="0" w:line="240" w:lineRule="auto"/>
        <w:ind w:left="720" w:hanging="720"/>
        <w:rPr>
          <w:b/>
          <w:szCs w:val="24"/>
        </w:rPr>
      </w:pPr>
      <w:r w:rsidRPr="00C8554E">
        <w:rPr>
          <w:b/>
          <w:szCs w:val="24"/>
        </w:rPr>
        <w:t xml:space="preserve">44: </w:t>
      </w:r>
      <w:r w:rsidR="005B1F50" w:rsidRPr="00C8554E">
        <w:rPr>
          <w:b/>
          <w:szCs w:val="24"/>
        </w:rPr>
        <w:tab/>
      </w:r>
      <w:r w:rsidRPr="00C8554E">
        <w:rPr>
          <w:b/>
          <w:szCs w:val="24"/>
        </w:rPr>
        <w:t>Should there be Model Rules regarding pets and smoking? If so, should there be a choice</w:t>
      </w:r>
      <w:r w:rsidR="005B1F50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of rules such as is allowed in New South Wales (with or without a default option)?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5B1F50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>There could be a choice of rules for properties affected by strata, however, I believe such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rules would be completely unnecessary and a burden for owners corporations that are not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strata affected (i.e. individual lots). I believe this distinction (strata vs individual lots) needs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to be very clear.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5B1F50">
      <w:pPr>
        <w:spacing w:after="0" w:line="240" w:lineRule="auto"/>
        <w:ind w:left="720" w:hanging="720"/>
        <w:rPr>
          <w:b/>
          <w:szCs w:val="24"/>
        </w:rPr>
      </w:pPr>
      <w:r w:rsidRPr="00C8554E">
        <w:rPr>
          <w:b/>
          <w:szCs w:val="24"/>
        </w:rPr>
        <w:t xml:space="preserve">46: </w:t>
      </w:r>
      <w:r w:rsidR="005B1F50" w:rsidRPr="00C8554E">
        <w:rPr>
          <w:b/>
          <w:szCs w:val="24"/>
        </w:rPr>
        <w:tab/>
      </w:r>
      <w:r w:rsidRPr="00C8554E">
        <w:rPr>
          <w:b/>
          <w:szCs w:val="24"/>
        </w:rPr>
        <w:t>What are your views about owners corporation rules that prevent lot owners installing</w:t>
      </w:r>
      <w:r w:rsidR="005B1F50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'sustainability' items in or on their units?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5B1F50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>If local council planning rules do not require permits</w:t>
      </w:r>
      <w:r w:rsidR="00F77358">
        <w:rPr>
          <w:szCs w:val="24"/>
        </w:rPr>
        <w:t xml:space="preserve"> for installation</w:t>
      </w:r>
      <w:r w:rsidRPr="00C8554E">
        <w:rPr>
          <w:szCs w:val="24"/>
        </w:rPr>
        <w:t>, then no, rules should not prevent lot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owners installing such devices (on their lots). Example, if the local council does not require a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lot owner to obtain a planning permit to install solar panels, why should the owners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corporation rules disallow such an installation? I completely agree with the Queensland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legislation, it is far more important that lot owners are able to install energy-saving and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other sustainability items, rather than just 'keeping up appearances'.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b/>
          <w:szCs w:val="24"/>
        </w:rPr>
      </w:pPr>
      <w:r w:rsidRPr="00C8554E">
        <w:rPr>
          <w:b/>
          <w:szCs w:val="24"/>
        </w:rPr>
        <w:t xml:space="preserve">61: </w:t>
      </w:r>
      <w:r w:rsidR="005B1F50" w:rsidRPr="00C8554E">
        <w:rPr>
          <w:b/>
          <w:szCs w:val="24"/>
        </w:rPr>
        <w:tab/>
      </w:r>
      <w:r w:rsidRPr="00C8554E">
        <w:rPr>
          <w:b/>
          <w:szCs w:val="24"/>
        </w:rPr>
        <w:t>What are your views about: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 w:rsidRPr="00C8554E">
        <w:rPr>
          <w:b/>
          <w:szCs w:val="24"/>
        </w:rPr>
        <w:t>who should set the initial lot liability and entitlement, and any criteria that should</w:t>
      </w:r>
      <w:r w:rsidR="005B1F50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be followed</w:t>
      </w:r>
    </w:p>
    <w:p w:rsidR="005B1F50" w:rsidRPr="00C8554E" w:rsidRDefault="005B1F50" w:rsidP="005B1F50">
      <w:pPr>
        <w:pStyle w:val="ListParagraph"/>
        <w:spacing w:after="0" w:line="240" w:lineRule="auto"/>
        <w:rPr>
          <w:b/>
          <w:szCs w:val="24"/>
        </w:rPr>
      </w:pPr>
    </w:p>
    <w:p w:rsidR="00AB7DB6" w:rsidRPr="00C8554E" w:rsidRDefault="00AB7DB6" w:rsidP="00F77358">
      <w:pPr>
        <w:spacing w:after="0" w:line="240" w:lineRule="auto"/>
        <w:ind w:left="1080"/>
        <w:rPr>
          <w:szCs w:val="24"/>
        </w:rPr>
      </w:pPr>
      <w:r w:rsidRPr="00C8554E">
        <w:rPr>
          <w:szCs w:val="24"/>
        </w:rPr>
        <w:t>It cannot be at the developer's discretion, especially if the developer has an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interest in the lots after subdivision. In this situation, it is a clear conflict against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other lot owners. It must be set by an independent body, i.e.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licensed surveyor,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which has no connection with the developer.</w:t>
      </w:r>
    </w:p>
    <w:p w:rsidR="005B1F50" w:rsidRPr="00C8554E" w:rsidRDefault="005B1F50" w:rsidP="005B1F50">
      <w:pPr>
        <w:spacing w:after="0" w:line="240" w:lineRule="auto"/>
        <w:ind w:left="720"/>
        <w:rPr>
          <w:szCs w:val="24"/>
        </w:rPr>
      </w:pPr>
    </w:p>
    <w:p w:rsidR="00AB7DB6" w:rsidRPr="00C8554E" w:rsidRDefault="005B1F50" w:rsidP="005B1F50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4"/>
        </w:rPr>
      </w:pPr>
      <w:r w:rsidRPr="00C8554E">
        <w:rPr>
          <w:b/>
          <w:szCs w:val="24"/>
        </w:rPr>
        <w:t>h</w:t>
      </w:r>
      <w:r w:rsidR="00AB7DB6" w:rsidRPr="00C8554E">
        <w:rPr>
          <w:b/>
          <w:szCs w:val="24"/>
        </w:rPr>
        <w:t>ow lot liability and en</w:t>
      </w:r>
      <w:r w:rsidRPr="00C8554E">
        <w:rPr>
          <w:b/>
          <w:szCs w:val="24"/>
        </w:rPr>
        <w:t>titlement should be changed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AB7DB6" w:rsidRPr="00C8554E" w:rsidRDefault="00AB7DB6" w:rsidP="00F77358">
      <w:pPr>
        <w:spacing w:after="0" w:line="240" w:lineRule="auto"/>
        <w:ind w:left="1080"/>
        <w:rPr>
          <w:szCs w:val="24"/>
        </w:rPr>
      </w:pPr>
      <w:r w:rsidRPr="00C8554E">
        <w:rPr>
          <w:szCs w:val="24"/>
        </w:rPr>
        <w:t>If lot owners request that lot liability and entitlement be reviewed, it will most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probably be as a result of these owners believing the existing arrangements are not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just and equitable. Therefore, in this situation, the review will not progress as it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>requires a unanimous resolution. As a result, the review will never be</w:t>
      </w:r>
      <w:r w:rsidR="005B1F50" w:rsidRPr="00C8554E">
        <w:rPr>
          <w:szCs w:val="24"/>
        </w:rPr>
        <w:t xml:space="preserve"> </w:t>
      </w:r>
      <w:r w:rsidRPr="00C8554E">
        <w:rPr>
          <w:szCs w:val="24"/>
        </w:rPr>
        <w:t xml:space="preserve">undertaken. </w:t>
      </w:r>
    </w:p>
    <w:p w:rsidR="00803C31" w:rsidRPr="00C8554E" w:rsidRDefault="00803C31" w:rsidP="005B1F50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803C31">
      <w:pPr>
        <w:spacing w:after="0" w:line="240" w:lineRule="auto"/>
        <w:ind w:left="720" w:hanging="720"/>
        <w:rPr>
          <w:b/>
          <w:szCs w:val="24"/>
        </w:rPr>
      </w:pPr>
      <w:r w:rsidRPr="00C8554E">
        <w:rPr>
          <w:b/>
          <w:szCs w:val="24"/>
        </w:rPr>
        <w:t xml:space="preserve">62: </w:t>
      </w:r>
      <w:r w:rsidR="00803C31" w:rsidRPr="00C8554E">
        <w:rPr>
          <w:b/>
          <w:szCs w:val="24"/>
        </w:rPr>
        <w:tab/>
      </w:r>
      <w:r w:rsidRPr="00C8554E">
        <w:rPr>
          <w:b/>
          <w:szCs w:val="24"/>
        </w:rPr>
        <w:t>In the absence of a unanimous resolution, what requirements should be met before VCAT</w:t>
      </w:r>
      <w:r w:rsidR="00803C31" w:rsidRPr="00C8554E">
        <w:rPr>
          <w:b/>
          <w:szCs w:val="24"/>
        </w:rPr>
        <w:t xml:space="preserve"> </w:t>
      </w:r>
      <w:r w:rsidRPr="00C8554E">
        <w:rPr>
          <w:b/>
          <w:szCs w:val="24"/>
        </w:rPr>
        <w:t>can be empowered to change the lot liability and lot entitlement on a plan of subdivision?</w:t>
      </w:r>
    </w:p>
    <w:p w:rsidR="00803C31" w:rsidRPr="00C8554E" w:rsidRDefault="00803C31" w:rsidP="00803C31">
      <w:pPr>
        <w:spacing w:after="0" w:line="240" w:lineRule="auto"/>
        <w:ind w:left="720" w:hanging="720"/>
        <w:rPr>
          <w:b/>
          <w:szCs w:val="24"/>
        </w:rPr>
      </w:pPr>
    </w:p>
    <w:p w:rsidR="00AB7DB6" w:rsidRPr="00C8554E" w:rsidRDefault="00AB7DB6" w:rsidP="00F42D03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>I believe that any lot owner, at any time, should be able to apply to VCAT for a review of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their lot entitlement/liability arrangements. Alternatively, it should be changed so 50% or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 xml:space="preserve">more (rather than more than </w:t>
      </w:r>
      <w:r w:rsidR="00F42D03" w:rsidRPr="00C8554E">
        <w:rPr>
          <w:szCs w:val="24"/>
        </w:rPr>
        <w:t>50</w:t>
      </w:r>
      <w:r w:rsidRPr="00C8554E">
        <w:rPr>
          <w:szCs w:val="24"/>
        </w:rPr>
        <w:t>%) of lot owners with 50% or more (rather than more than</w:t>
      </w:r>
      <w:r w:rsidR="00F42D03" w:rsidRPr="00C8554E">
        <w:rPr>
          <w:szCs w:val="24"/>
        </w:rPr>
        <w:t xml:space="preserve"> 50</w:t>
      </w:r>
      <w:r w:rsidRPr="00C8554E">
        <w:rPr>
          <w:szCs w:val="24"/>
        </w:rPr>
        <w:t>%) of lot entitlements supporting the change can approach VCAT for a ruling.</w:t>
      </w:r>
    </w:p>
    <w:p w:rsidR="00F42D03" w:rsidRPr="00C8554E" w:rsidRDefault="00F42D03" w:rsidP="00F42D03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F42D03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>I will provide a</w:t>
      </w:r>
      <w:r w:rsidR="00F42D03" w:rsidRPr="00C8554E">
        <w:rPr>
          <w:szCs w:val="24"/>
        </w:rPr>
        <w:t xml:space="preserve"> real</w:t>
      </w:r>
      <w:r w:rsidRPr="00C8554E">
        <w:rPr>
          <w:szCs w:val="24"/>
        </w:rPr>
        <w:t xml:space="preserve"> example of how the current laws </w:t>
      </w:r>
      <w:r w:rsidR="00F77358">
        <w:rPr>
          <w:szCs w:val="24"/>
        </w:rPr>
        <w:t>appear</w:t>
      </w:r>
      <w:r w:rsidR="00F42D03" w:rsidRPr="00C8554E">
        <w:rPr>
          <w:szCs w:val="24"/>
        </w:rPr>
        <w:t xml:space="preserve"> to be</w:t>
      </w:r>
      <w:r w:rsidRPr="00C8554E">
        <w:rPr>
          <w:szCs w:val="24"/>
        </w:rPr>
        <w:t xml:space="preserve"> inadequate:</w:t>
      </w:r>
    </w:p>
    <w:p w:rsidR="00F42D03" w:rsidRPr="00C8554E" w:rsidRDefault="00F42D03" w:rsidP="00F42D03">
      <w:pPr>
        <w:spacing w:after="0" w:line="240" w:lineRule="auto"/>
        <w:ind w:left="720"/>
        <w:rPr>
          <w:szCs w:val="24"/>
        </w:rPr>
      </w:pPr>
    </w:p>
    <w:p w:rsidR="00AB7DB6" w:rsidRPr="00C8554E" w:rsidRDefault="007318B9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T</w:t>
      </w:r>
      <w:r w:rsidR="00AB7DB6" w:rsidRPr="00C8554E">
        <w:rPr>
          <w:szCs w:val="24"/>
        </w:rPr>
        <w:t>he developer subdivide</w:t>
      </w:r>
      <w:r>
        <w:rPr>
          <w:szCs w:val="24"/>
        </w:rPr>
        <w:t>s</w:t>
      </w:r>
      <w:r w:rsidR="00AB7DB6" w:rsidRPr="00C8554E">
        <w:rPr>
          <w:szCs w:val="24"/>
        </w:rPr>
        <w:t xml:space="preserve"> a large inner-city block to create six individual lots</w:t>
      </w:r>
      <w:r w:rsidR="00F42D03" w:rsidRPr="00C8554E">
        <w:rPr>
          <w:szCs w:val="24"/>
        </w:rPr>
        <w:t xml:space="preserve"> </w:t>
      </w:r>
      <w:r w:rsidR="00AB7DB6" w:rsidRPr="00C8554E">
        <w:rPr>
          <w:szCs w:val="24"/>
        </w:rPr>
        <w:t>and common property.</w:t>
      </w:r>
    </w:p>
    <w:p w:rsidR="00263BF8" w:rsidRDefault="00263BF8">
      <w:pPr>
        <w:rPr>
          <w:szCs w:val="24"/>
        </w:rPr>
      </w:pPr>
      <w:r>
        <w:rPr>
          <w:szCs w:val="24"/>
        </w:rPr>
        <w:br w:type="page"/>
      </w:r>
    </w:p>
    <w:p w:rsidR="00AB7DB6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>The developer allocate</w:t>
      </w:r>
      <w:r w:rsidR="00263BF8">
        <w:rPr>
          <w:szCs w:val="24"/>
        </w:rPr>
        <w:t>s</w:t>
      </w:r>
      <w:r w:rsidRPr="00C8554E">
        <w:rPr>
          <w:szCs w:val="24"/>
        </w:rPr>
        <w:t xml:space="preserve"> the following lot liability/entitlements:</w:t>
      </w:r>
    </w:p>
    <w:p w:rsidR="00F42D03" w:rsidRPr="00C8554E" w:rsidRDefault="00F42D03" w:rsidP="00F42D03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F42D03">
      <w:pPr>
        <w:spacing w:after="0" w:line="240" w:lineRule="auto"/>
        <w:ind w:left="1800"/>
        <w:rPr>
          <w:szCs w:val="24"/>
        </w:rPr>
      </w:pPr>
      <w:r w:rsidRPr="00C8554E">
        <w:rPr>
          <w:szCs w:val="24"/>
        </w:rPr>
        <w:t xml:space="preserve">Lot 1 </w:t>
      </w:r>
      <w:r w:rsidR="00F42D03" w:rsidRPr="00C8554E">
        <w:rPr>
          <w:szCs w:val="24"/>
        </w:rPr>
        <w:tab/>
        <w:t xml:space="preserve">  </w:t>
      </w:r>
      <w:r w:rsidRPr="00C8554E">
        <w:rPr>
          <w:szCs w:val="24"/>
        </w:rPr>
        <w:t>0.769%</w:t>
      </w:r>
    </w:p>
    <w:p w:rsidR="00AB7DB6" w:rsidRPr="00C8554E" w:rsidRDefault="00AB7DB6" w:rsidP="00F42D03">
      <w:pPr>
        <w:spacing w:after="0" w:line="240" w:lineRule="auto"/>
        <w:ind w:left="1800"/>
        <w:rPr>
          <w:szCs w:val="24"/>
        </w:rPr>
      </w:pPr>
      <w:r w:rsidRPr="00C8554E">
        <w:rPr>
          <w:szCs w:val="24"/>
        </w:rPr>
        <w:t xml:space="preserve">Lot 2 </w:t>
      </w:r>
      <w:r w:rsidR="00F42D03" w:rsidRPr="00C8554E">
        <w:rPr>
          <w:szCs w:val="24"/>
        </w:rPr>
        <w:tab/>
      </w:r>
      <w:r w:rsidRPr="00C8554E">
        <w:rPr>
          <w:szCs w:val="24"/>
        </w:rPr>
        <w:t>24.615%</w:t>
      </w:r>
    </w:p>
    <w:p w:rsidR="00AB7DB6" w:rsidRPr="00C8554E" w:rsidRDefault="00AB7DB6" w:rsidP="00F42D03">
      <w:pPr>
        <w:spacing w:after="0" w:line="240" w:lineRule="auto"/>
        <w:ind w:left="1800"/>
        <w:rPr>
          <w:szCs w:val="24"/>
        </w:rPr>
      </w:pPr>
      <w:r w:rsidRPr="00C8554E">
        <w:rPr>
          <w:szCs w:val="24"/>
        </w:rPr>
        <w:t xml:space="preserve">Lot 3 </w:t>
      </w:r>
      <w:r w:rsidR="00F42D03" w:rsidRPr="00C8554E">
        <w:rPr>
          <w:szCs w:val="24"/>
        </w:rPr>
        <w:tab/>
      </w:r>
      <w:r w:rsidRPr="00C8554E">
        <w:rPr>
          <w:szCs w:val="24"/>
        </w:rPr>
        <w:t>24.615%</w:t>
      </w:r>
    </w:p>
    <w:p w:rsidR="00AB7DB6" w:rsidRPr="00C8554E" w:rsidRDefault="00AB7DB6" w:rsidP="00F42D03">
      <w:pPr>
        <w:spacing w:after="0" w:line="240" w:lineRule="auto"/>
        <w:ind w:left="1800"/>
        <w:rPr>
          <w:szCs w:val="24"/>
        </w:rPr>
      </w:pPr>
      <w:r w:rsidRPr="00C8554E">
        <w:rPr>
          <w:szCs w:val="24"/>
        </w:rPr>
        <w:t>Lot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 xml:space="preserve">4 </w:t>
      </w:r>
      <w:r w:rsidR="00F42D03" w:rsidRPr="00C8554E">
        <w:rPr>
          <w:szCs w:val="24"/>
        </w:rPr>
        <w:tab/>
      </w:r>
      <w:r w:rsidRPr="00C8554E">
        <w:rPr>
          <w:szCs w:val="24"/>
        </w:rPr>
        <w:t>24.615%</w:t>
      </w:r>
    </w:p>
    <w:p w:rsidR="00AB7DB6" w:rsidRPr="00C8554E" w:rsidRDefault="00AB7DB6" w:rsidP="00F42D03">
      <w:pPr>
        <w:spacing w:after="0" w:line="240" w:lineRule="auto"/>
        <w:ind w:left="1800"/>
        <w:rPr>
          <w:szCs w:val="24"/>
        </w:rPr>
      </w:pPr>
      <w:r w:rsidRPr="00C8554E">
        <w:rPr>
          <w:szCs w:val="24"/>
        </w:rPr>
        <w:t xml:space="preserve">Lot 5 </w:t>
      </w:r>
      <w:r w:rsidR="00F42D03" w:rsidRPr="00C8554E">
        <w:rPr>
          <w:szCs w:val="24"/>
        </w:rPr>
        <w:tab/>
        <w:t xml:space="preserve">  </w:t>
      </w:r>
      <w:r w:rsidRPr="00C8554E">
        <w:rPr>
          <w:szCs w:val="24"/>
        </w:rPr>
        <w:t>0.769%</w:t>
      </w:r>
    </w:p>
    <w:p w:rsidR="00AB7DB6" w:rsidRPr="00C8554E" w:rsidRDefault="00AB7DB6" w:rsidP="00F42D03">
      <w:pPr>
        <w:spacing w:after="0" w:line="240" w:lineRule="auto"/>
        <w:ind w:left="1800"/>
        <w:rPr>
          <w:szCs w:val="24"/>
        </w:rPr>
      </w:pPr>
      <w:r w:rsidRPr="00C8554E">
        <w:rPr>
          <w:szCs w:val="24"/>
        </w:rPr>
        <w:t xml:space="preserve">Lot 6 </w:t>
      </w:r>
      <w:r w:rsidR="00F42D03" w:rsidRPr="00C8554E">
        <w:rPr>
          <w:szCs w:val="24"/>
        </w:rPr>
        <w:tab/>
      </w:r>
      <w:r w:rsidRPr="00C8554E">
        <w:rPr>
          <w:szCs w:val="24"/>
        </w:rPr>
        <w:t>24.615%</w:t>
      </w:r>
    </w:p>
    <w:p w:rsidR="00F42D03" w:rsidRPr="00C8554E" w:rsidRDefault="00F42D03" w:rsidP="00F42D03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 xml:space="preserve">The </w:t>
      </w:r>
      <w:r w:rsidR="007318B9">
        <w:rPr>
          <w:szCs w:val="24"/>
        </w:rPr>
        <w:t xml:space="preserve">developer (and </w:t>
      </w:r>
      <w:r w:rsidRPr="00C8554E">
        <w:rPr>
          <w:szCs w:val="24"/>
        </w:rPr>
        <w:t xml:space="preserve">extended family </w:t>
      </w:r>
      <w:r w:rsidR="007318B9">
        <w:rPr>
          <w:szCs w:val="24"/>
        </w:rPr>
        <w:t xml:space="preserve">members) </w:t>
      </w:r>
      <w:r w:rsidRPr="00C8554E">
        <w:rPr>
          <w:szCs w:val="24"/>
        </w:rPr>
        <w:t>are owners of lots 1, 2 and 5.</w:t>
      </w:r>
    </w:p>
    <w:p w:rsidR="00F42D03" w:rsidRPr="00C8554E" w:rsidRDefault="00F42D03" w:rsidP="00F42D03">
      <w:pPr>
        <w:spacing w:after="0" w:line="240" w:lineRule="auto"/>
        <w:ind w:left="720"/>
        <w:rPr>
          <w:szCs w:val="24"/>
        </w:rPr>
      </w:pPr>
    </w:p>
    <w:p w:rsidR="00F42D03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>The r</w:t>
      </w:r>
      <w:r w:rsidR="00F42D03" w:rsidRPr="00C8554E">
        <w:rPr>
          <w:szCs w:val="24"/>
        </w:rPr>
        <w:t>e</w:t>
      </w:r>
      <w:r w:rsidRPr="00C8554E">
        <w:rPr>
          <w:szCs w:val="24"/>
        </w:rPr>
        <w:t>maining three lot owners</w:t>
      </w:r>
      <w:r w:rsidR="00F77358">
        <w:rPr>
          <w:szCs w:val="24"/>
        </w:rPr>
        <w:t xml:space="preserve"> (lots 3, 4 and 6)</w:t>
      </w:r>
      <w:r w:rsidRPr="00C8554E">
        <w:rPr>
          <w:szCs w:val="24"/>
        </w:rPr>
        <w:t xml:space="preserve"> question why lots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1 and 5 do not share equal</w:t>
      </w:r>
      <w:r w:rsidR="00F42D03" w:rsidRPr="00C8554E">
        <w:rPr>
          <w:szCs w:val="24"/>
        </w:rPr>
        <w:t xml:space="preserve"> entitlement/li</w:t>
      </w:r>
      <w:r w:rsidRPr="00C8554E">
        <w:rPr>
          <w:szCs w:val="24"/>
        </w:rPr>
        <w:t>ability. The reason provided is that these two lots do not use the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common driveway.</w:t>
      </w:r>
      <w:r w:rsidR="00F42D03" w:rsidRPr="00C8554E">
        <w:rPr>
          <w:szCs w:val="24"/>
        </w:rPr>
        <w:t xml:space="preserve"> </w:t>
      </w:r>
    </w:p>
    <w:p w:rsidR="00F42D03" w:rsidRPr="00C8554E" w:rsidRDefault="00F42D03" w:rsidP="00F42D03">
      <w:pPr>
        <w:pStyle w:val="ListParagraph"/>
        <w:rPr>
          <w:szCs w:val="24"/>
        </w:rPr>
      </w:pPr>
    </w:p>
    <w:p w:rsidR="00F42D03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>These three lot owners believe that in allocating the lot liability/entitlements, the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developer did not consider the amount that would be just and equitable for the lot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owners to contribute towards the administrative and general expenses of the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owners corporation, nor were the value or size of the lots considered.</w:t>
      </w:r>
    </w:p>
    <w:p w:rsidR="00F42D03" w:rsidRPr="00C8554E" w:rsidRDefault="00F42D03" w:rsidP="00F42D03">
      <w:pPr>
        <w:pStyle w:val="ListParagraph"/>
        <w:rPr>
          <w:szCs w:val="24"/>
        </w:rPr>
      </w:pPr>
    </w:p>
    <w:p w:rsidR="00F42D03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 xml:space="preserve">These three lot owners raise the issue at </w:t>
      </w:r>
      <w:r w:rsidR="007318B9">
        <w:rPr>
          <w:szCs w:val="24"/>
        </w:rPr>
        <w:t>an</w:t>
      </w:r>
      <w:r w:rsidRPr="00C8554E">
        <w:rPr>
          <w:szCs w:val="24"/>
        </w:rPr>
        <w:t xml:space="preserve"> AGM, however</w:t>
      </w:r>
      <w:r w:rsidR="00F42D03" w:rsidRPr="00C8554E">
        <w:rPr>
          <w:szCs w:val="24"/>
        </w:rPr>
        <w:t>, t</w:t>
      </w:r>
      <w:r w:rsidRPr="00C8554E">
        <w:rPr>
          <w:szCs w:val="24"/>
        </w:rPr>
        <w:t>he resolution is defeated as the extended family vote against the resolution (it needs to be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unanimous).</w:t>
      </w:r>
    </w:p>
    <w:p w:rsidR="00F42D03" w:rsidRPr="00C8554E" w:rsidRDefault="00F42D03" w:rsidP="00F42D03">
      <w:pPr>
        <w:pStyle w:val="ListParagraph"/>
        <w:rPr>
          <w:szCs w:val="24"/>
        </w:rPr>
      </w:pPr>
    </w:p>
    <w:p w:rsidR="00F42D03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>These three lot owners, whilst representing 73.845% of lot liability and entitlement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are unable to apply to VCAT for a review as they don't represent over 50% of the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number of lot owners (6). They represent exactly 50%.</w:t>
      </w:r>
      <w:r w:rsidR="00F42D03" w:rsidRPr="00C8554E">
        <w:rPr>
          <w:szCs w:val="24"/>
        </w:rPr>
        <w:t xml:space="preserve"> </w:t>
      </w:r>
    </w:p>
    <w:p w:rsidR="00F42D03" w:rsidRPr="00C8554E" w:rsidRDefault="00F42D03" w:rsidP="00F42D03">
      <w:pPr>
        <w:pStyle w:val="ListParagraph"/>
        <w:rPr>
          <w:szCs w:val="24"/>
        </w:rPr>
      </w:pPr>
    </w:p>
    <w:p w:rsidR="00AB7DB6" w:rsidRPr="00C8554E" w:rsidRDefault="00AB7DB6" w:rsidP="00F42D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 w:rsidRPr="00C8554E">
        <w:rPr>
          <w:szCs w:val="24"/>
        </w:rPr>
        <w:t>The</w:t>
      </w:r>
      <w:r w:rsidR="00F42D03" w:rsidRPr="00C8554E">
        <w:rPr>
          <w:szCs w:val="24"/>
        </w:rPr>
        <w:t>se</w:t>
      </w:r>
      <w:r w:rsidRPr="00C8554E">
        <w:rPr>
          <w:szCs w:val="24"/>
        </w:rPr>
        <w:t xml:space="preserve"> three lot owners are left in a situation where they believe the allocation is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unjust and inequitable, and cannot apply to VCAT for a review.</w:t>
      </w:r>
    </w:p>
    <w:p w:rsidR="00F42D03" w:rsidRPr="00C8554E" w:rsidRDefault="00F42D03" w:rsidP="00F42D03">
      <w:pPr>
        <w:spacing w:after="0" w:line="240" w:lineRule="auto"/>
        <w:ind w:left="720"/>
        <w:rPr>
          <w:szCs w:val="24"/>
        </w:rPr>
      </w:pPr>
    </w:p>
    <w:p w:rsidR="00AB7DB6" w:rsidRPr="00C8554E" w:rsidRDefault="00AB7DB6" w:rsidP="00F42D03">
      <w:pPr>
        <w:spacing w:after="0" w:line="240" w:lineRule="auto"/>
        <w:ind w:left="720"/>
        <w:rPr>
          <w:szCs w:val="24"/>
        </w:rPr>
      </w:pPr>
      <w:r w:rsidRPr="00C8554E">
        <w:rPr>
          <w:szCs w:val="24"/>
        </w:rPr>
        <w:t xml:space="preserve">Unfortunately, whatever formula is </w:t>
      </w:r>
      <w:r w:rsidR="007318B9">
        <w:rPr>
          <w:szCs w:val="24"/>
        </w:rPr>
        <w:t>used</w:t>
      </w:r>
      <w:r w:rsidRPr="00C8554E">
        <w:rPr>
          <w:szCs w:val="24"/>
        </w:rPr>
        <w:t xml:space="preserve">, it will be 'worked' around. </w:t>
      </w:r>
      <w:r w:rsidR="00F77358">
        <w:rPr>
          <w:szCs w:val="24"/>
        </w:rPr>
        <w:t>As a result</w:t>
      </w:r>
      <w:r w:rsidRPr="00C8554E">
        <w:rPr>
          <w:szCs w:val="24"/>
        </w:rPr>
        <w:t>, I recommend</w:t>
      </w:r>
      <w:r w:rsidR="00F42D03" w:rsidRPr="00C8554E">
        <w:rPr>
          <w:szCs w:val="24"/>
        </w:rPr>
        <w:t xml:space="preserve"> </w:t>
      </w:r>
      <w:r w:rsidRPr="00C8554E">
        <w:rPr>
          <w:szCs w:val="24"/>
        </w:rPr>
        <w:t>that any lot owner at any time should be able to apply to VCAT for review.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263BF8" w:rsidRDefault="00263BF8" w:rsidP="00AB7DB6">
      <w:pPr>
        <w:spacing w:after="0" w:line="240" w:lineRule="auto"/>
        <w:rPr>
          <w:szCs w:val="24"/>
        </w:rPr>
      </w:pPr>
    </w:p>
    <w:p w:rsidR="00AB7DB6" w:rsidRPr="00C8554E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Thank you for the opportunity to provide this submission</w:t>
      </w:r>
      <w:r w:rsidR="00FC6290">
        <w:rPr>
          <w:szCs w:val="24"/>
        </w:rPr>
        <w:t xml:space="preserve"> by email</w:t>
      </w:r>
      <w:r w:rsidRPr="00C8554E">
        <w:rPr>
          <w:szCs w:val="24"/>
        </w:rPr>
        <w:t>.</w:t>
      </w:r>
      <w:r w:rsidR="00FC6290">
        <w:rPr>
          <w:szCs w:val="24"/>
        </w:rPr>
        <w:t xml:space="preserve"> I’ve also posted a signed copy.</w:t>
      </w: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263BF8" w:rsidRDefault="00263BF8" w:rsidP="00AB7DB6">
      <w:pPr>
        <w:spacing w:after="0" w:line="240" w:lineRule="auto"/>
        <w:rPr>
          <w:szCs w:val="24"/>
        </w:rPr>
      </w:pPr>
    </w:p>
    <w:p w:rsidR="005B1F50" w:rsidRDefault="00F77358" w:rsidP="00AB7DB6">
      <w:pPr>
        <w:spacing w:after="0" w:line="240" w:lineRule="auto"/>
        <w:rPr>
          <w:szCs w:val="24"/>
        </w:rPr>
      </w:pPr>
      <w:r w:rsidRPr="00F77358">
        <w:rPr>
          <w:szCs w:val="24"/>
        </w:rPr>
        <w:t>Yours faithfully</w:t>
      </w:r>
    </w:p>
    <w:p w:rsidR="00F77358" w:rsidRDefault="00F77358" w:rsidP="00AB7DB6">
      <w:pPr>
        <w:spacing w:after="0" w:line="240" w:lineRule="auto"/>
        <w:rPr>
          <w:szCs w:val="24"/>
        </w:rPr>
      </w:pPr>
    </w:p>
    <w:p w:rsidR="00F77358" w:rsidRPr="00C8554E" w:rsidRDefault="00F77358" w:rsidP="00AB7DB6">
      <w:pPr>
        <w:spacing w:after="0" w:line="240" w:lineRule="auto"/>
        <w:rPr>
          <w:szCs w:val="24"/>
        </w:rPr>
      </w:pP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5B1F50" w:rsidRPr="00C8554E" w:rsidRDefault="005B1F50" w:rsidP="00AB7DB6">
      <w:pPr>
        <w:spacing w:after="0" w:line="240" w:lineRule="auto"/>
        <w:rPr>
          <w:szCs w:val="24"/>
        </w:rPr>
      </w:pPr>
    </w:p>
    <w:p w:rsidR="00985177" w:rsidRDefault="00AB7DB6" w:rsidP="00AB7DB6">
      <w:pPr>
        <w:spacing w:after="0" w:line="240" w:lineRule="auto"/>
        <w:rPr>
          <w:szCs w:val="24"/>
        </w:rPr>
      </w:pPr>
      <w:r w:rsidRPr="00C8554E">
        <w:rPr>
          <w:szCs w:val="24"/>
        </w:rPr>
        <w:t>Matthew McCrory</w:t>
      </w:r>
    </w:p>
    <w:sectPr w:rsidR="0098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1C13"/>
    <w:multiLevelType w:val="hybridMultilevel"/>
    <w:tmpl w:val="1A463B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0C1108"/>
    <w:multiLevelType w:val="hybridMultilevel"/>
    <w:tmpl w:val="1D441D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B6"/>
    <w:rsid w:val="00000266"/>
    <w:rsid w:val="00001047"/>
    <w:rsid w:val="000010A4"/>
    <w:rsid w:val="00003FF7"/>
    <w:rsid w:val="000042B9"/>
    <w:rsid w:val="00010E21"/>
    <w:rsid w:val="00012F26"/>
    <w:rsid w:val="00022FCA"/>
    <w:rsid w:val="000246C0"/>
    <w:rsid w:val="00027F4D"/>
    <w:rsid w:val="00030790"/>
    <w:rsid w:val="00033A8F"/>
    <w:rsid w:val="00034621"/>
    <w:rsid w:val="00035034"/>
    <w:rsid w:val="000400CC"/>
    <w:rsid w:val="00041E55"/>
    <w:rsid w:val="00044726"/>
    <w:rsid w:val="00056E7A"/>
    <w:rsid w:val="000571AF"/>
    <w:rsid w:val="00057FDF"/>
    <w:rsid w:val="000615B6"/>
    <w:rsid w:val="00061919"/>
    <w:rsid w:val="00062793"/>
    <w:rsid w:val="00064A2E"/>
    <w:rsid w:val="000668A0"/>
    <w:rsid w:val="00073A2E"/>
    <w:rsid w:val="0007724D"/>
    <w:rsid w:val="00080F76"/>
    <w:rsid w:val="00081EDB"/>
    <w:rsid w:val="0008405B"/>
    <w:rsid w:val="00086EBB"/>
    <w:rsid w:val="00091726"/>
    <w:rsid w:val="000A07EB"/>
    <w:rsid w:val="000A4674"/>
    <w:rsid w:val="000A5956"/>
    <w:rsid w:val="000B2658"/>
    <w:rsid w:val="000C4EB4"/>
    <w:rsid w:val="000D0CAA"/>
    <w:rsid w:val="000D2C2C"/>
    <w:rsid w:val="000D2E41"/>
    <w:rsid w:val="000D57DA"/>
    <w:rsid w:val="000E4893"/>
    <w:rsid w:val="000F03D9"/>
    <w:rsid w:val="000F62EB"/>
    <w:rsid w:val="000F7579"/>
    <w:rsid w:val="00100B12"/>
    <w:rsid w:val="0011023B"/>
    <w:rsid w:val="001140B5"/>
    <w:rsid w:val="001204D5"/>
    <w:rsid w:val="00123E35"/>
    <w:rsid w:val="00130CC0"/>
    <w:rsid w:val="001343EB"/>
    <w:rsid w:val="001353B7"/>
    <w:rsid w:val="0013708A"/>
    <w:rsid w:val="00140694"/>
    <w:rsid w:val="00140CF0"/>
    <w:rsid w:val="00152627"/>
    <w:rsid w:val="00153E3C"/>
    <w:rsid w:val="0015417C"/>
    <w:rsid w:val="001646CB"/>
    <w:rsid w:val="00165A52"/>
    <w:rsid w:val="00171965"/>
    <w:rsid w:val="0017219C"/>
    <w:rsid w:val="00181F7D"/>
    <w:rsid w:val="00185507"/>
    <w:rsid w:val="00186F9C"/>
    <w:rsid w:val="00187576"/>
    <w:rsid w:val="00190ADB"/>
    <w:rsid w:val="00190BC3"/>
    <w:rsid w:val="00196C38"/>
    <w:rsid w:val="001A0185"/>
    <w:rsid w:val="001A426C"/>
    <w:rsid w:val="001A4701"/>
    <w:rsid w:val="001A500E"/>
    <w:rsid w:val="001A512D"/>
    <w:rsid w:val="001A7094"/>
    <w:rsid w:val="001B0C43"/>
    <w:rsid w:val="001B1821"/>
    <w:rsid w:val="001B2EBD"/>
    <w:rsid w:val="001B4C3D"/>
    <w:rsid w:val="001B59D5"/>
    <w:rsid w:val="001B7AAF"/>
    <w:rsid w:val="001C16BC"/>
    <w:rsid w:val="001C5857"/>
    <w:rsid w:val="001D0614"/>
    <w:rsid w:val="001D2D4C"/>
    <w:rsid w:val="001D31E5"/>
    <w:rsid w:val="001F2402"/>
    <w:rsid w:val="001F2645"/>
    <w:rsid w:val="001F6614"/>
    <w:rsid w:val="001F6F5A"/>
    <w:rsid w:val="0020018F"/>
    <w:rsid w:val="002004A0"/>
    <w:rsid w:val="002032C4"/>
    <w:rsid w:val="002041E6"/>
    <w:rsid w:val="00214E9E"/>
    <w:rsid w:val="00216D5C"/>
    <w:rsid w:val="00220F22"/>
    <w:rsid w:val="00222C4A"/>
    <w:rsid w:val="00224838"/>
    <w:rsid w:val="002333B4"/>
    <w:rsid w:val="00233F02"/>
    <w:rsid w:val="00236CC0"/>
    <w:rsid w:val="00240DF8"/>
    <w:rsid w:val="002422E2"/>
    <w:rsid w:val="00251F58"/>
    <w:rsid w:val="00253CC4"/>
    <w:rsid w:val="002552C6"/>
    <w:rsid w:val="002577FC"/>
    <w:rsid w:val="00257AC8"/>
    <w:rsid w:val="00260B68"/>
    <w:rsid w:val="00263BF8"/>
    <w:rsid w:val="00265AA7"/>
    <w:rsid w:val="00271835"/>
    <w:rsid w:val="0027334D"/>
    <w:rsid w:val="00273EF6"/>
    <w:rsid w:val="002744BF"/>
    <w:rsid w:val="002752D2"/>
    <w:rsid w:val="00277F31"/>
    <w:rsid w:val="00280296"/>
    <w:rsid w:val="00281FE9"/>
    <w:rsid w:val="002836EA"/>
    <w:rsid w:val="00283B8E"/>
    <w:rsid w:val="002856B9"/>
    <w:rsid w:val="002878CF"/>
    <w:rsid w:val="00292829"/>
    <w:rsid w:val="002948A4"/>
    <w:rsid w:val="002A1BFD"/>
    <w:rsid w:val="002B776D"/>
    <w:rsid w:val="002C0441"/>
    <w:rsid w:val="002C6325"/>
    <w:rsid w:val="002C74F0"/>
    <w:rsid w:val="002C777D"/>
    <w:rsid w:val="002D2640"/>
    <w:rsid w:val="002D5E90"/>
    <w:rsid w:val="002E4151"/>
    <w:rsid w:val="002E5DF2"/>
    <w:rsid w:val="002E5E13"/>
    <w:rsid w:val="002E7EC1"/>
    <w:rsid w:val="002F296D"/>
    <w:rsid w:val="002F3814"/>
    <w:rsid w:val="002F569E"/>
    <w:rsid w:val="002F6781"/>
    <w:rsid w:val="00306CDD"/>
    <w:rsid w:val="00312230"/>
    <w:rsid w:val="00315CDB"/>
    <w:rsid w:val="00315E67"/>
    <w:rsid w:val="00316AB1"/>
    <w:rsid w:val="00316C79"/>
    <w:rsid w:val="00317329"/>
    <w:rsid w:val="003202D7"/>
    <w:rsid w:val="0032265F"/>
    <w:rsid w:val="00323DB2"/>
    <w:rsid w:val="00325833"/>
    <w:rsid w:val="0033380B"/>
    <w:rsid w:val="0034047F"/>
    <w:rsid w:val="00344B81"/>
    <w:rsid w:val="00350728"/>
    <w:rsid w:val="00351374"/>
    <w:rsid w:val="00351CC1"/>
    <w:rsid w:val="00351DE0"/>
    <w:rsid w:val="003520A8"/>
    <w:rsid w:val="00354EBC"/>
    <w:rsid w:val="00355253"/>
    <w:rsid w:val="00356E30"/>
    <w:rsid w:val="003605C2"/>
    <w:rsid w:val="0036122E"/>
    <w:rsid w:val="00362EBD"/>
    <w:rsid w:val="00364441"/>
    <w:rsid w:val="003718CB"/>
    <w:rsid w:val="0037299E"/>
    <w:rsid w:val="00373041"/>
    <w:rsid w:val="00374F37"/>
    <w:rsid w:val="003766F6"/>
    <w:rsid w:val="0038186E"/>
    <w:rsid w:val="00384EA2"/>
    <w:rsid w:val="003870A0"/>
    <w:rsid w:val="00392F7E"/>
    <w:rsid w:val="003939EC"/>
    <w:rsid w:val="00394781"/>
    <w:rsid w:val="00394C45"/>
    <w:rsid w:val="00395569"/>
    <w:rsid w:val="00397232"/>
    <w:rsid w:val="003A0D99"/>
    <w:rsid w:val="003A181B"/>
    <w:rsid w:val="003A4E13"/>
    <w:rsid w:val="003A5F58"/>
    <w:rsid w:val="003A6679"/>
    <w:rsid w:val="003B145F"/>
    <w:rsid w:val="003B4F06"/>
    <w:rsid w:val="003B7D48"/>
    <w:rsid w:val="003C0727"/>
    <w:rsid w:val="003D133E"/>
    <w:rsid w:val="003D1582"/>
    <w:rsid w:val="003D15DF"/>
    <w:rsid w:val="003D5284"/>
    <w:rsid w:val="003E60ED"/>
    <w:rsid w:val="003F27D2"/>
    <w:rsid w:val="003F7498"/>
    <w:rsid w:val="00400AA7"/>
    <w:rsid w:val="00401F8C"/>
    <w:rsid w:val="004025DD"/>
    <w:rsid w:val="00404358"/>
    <w:rsid w:val="00404662"/>
    <w:rsid w:val="0041047C"/>
    <w:rsid w:val="004157F7"/>
    <w:rsid w:val="004172F9"/>
    <w:rsid w:val="00420C7A"/>
    <w:rsid w:val="0042169E"/>
    <w:rsid w:val="004227FE"/>
    <w:rsid w:val="00425BF0"/>
    <w:rsid w:val="0043122B"/>
    <w:rsid w:val="00432C19"/>
    <w:rsid w:val="00441A1E"/>
    <w:rsid w:val="00457BA9"/>
    <w:rsid w:val="00464F40"/>
    <w:rsid w:val="00472BC6"/>
    <w:rsid w:val="004774C4"/>
    <w:rsid w:val="0048132C"/>
    <w:rsid w:val="00483D2C"/>
    <w:rsid w:val="004877BD"/>
    <w:rsid w:val="00493613"/>
    <w:rsid w:val="004955F3"/>
    <w:rsid w:val="004966BC"/>
    <w:rsid w:val="004A3742"/>
    <w:rsid w:val="004A3FEF"/>
    <w:rsid w:val="004A4D16"/>
    <w:rsid w:val="004A5B91"/>
    <w:rsid w:val="004B1B7C"/>
    <w:rsid w:val="004B62B0"/>
    <w:rsid w:val="004D01B1"/>
    <w:rsid w:val="004D09AB"/>
    <w:rsid w:val="004D24DB"/>
    <w:rsid w:val="004D357D"/>
    <w:rsid w:val="004D35E8"/>
    <w:rsid w:val="004D4398"/>
    <w:rsid w:val="004D6F3A"/>
    <w:rsid w:val="004D768F"/>
    <w:rsid w:val="004E1139"/>
    <w:rsid w:val="004E325A"/>
    <w:rsid w:val="004F6F88"/>
    <w:rsid w:val="005004FA"/>
    <w:rsid w:val="00500CC6"/>
    <w:rsid w:val="00503256"/>
    <w:rsid w:val="00505132"/>
    <w:rsid w:val="0051016C"/>
    <w:rsid w:val="00513912"/>
    <w:rsid w:val="00513F9D"/>
    <w:rsid w:val="005159BA"/>
    <w:rsid w:val="00516279"/>
    <w:rsid w:val="00516C98"/>
    <w:rsid w:val="00521CF1"/>
    <w:rsid w:val="00524738"/>
    <w:rsid w:val="0052537A"/>
    <w:rsid w:val="005256A4"/>
    <w:rsid w:val="005279DE"/>
    <w:rsid w:val="00532E11"/>
    <w:rsid w:val="00535E54"/>
    <w:rsid w:val="005413B5"/>
    <w:rsid w:val="00543D23"/>
    <w:rsid w:val="00550FD9"/>
    <w:rsid w:val="00552B63"/>
    <w:rsid w:val="00556322"/>
    <w:rsid w:val="005572EB"/>
    <w:rsid w:val="00557620"/>
    <w:rsid w:val="00560685"/>
    <w:rsid w:val="0056233B"/>
    <w:rsid w:val="00564DC4"/>
    <w:rsid w:val="00565484"/>
    <w:rsid w:val="00565751"/>
    <w:rsid w:val="005718C9"/>
    <w:rsid w:val="00571DA1"/>
    <w:rsid w:val="00572373"/>
    <w:rsid w:val="00576D52"/>
    <w:rsid w:val="0057760E"/>
    <w:rsid w:val="00577966"/>
    <w:rsid w:val="00584BBE"/>
    <w:rsid w:val="00585C69"/>
    <w:rsid w:val="00586333"/>
    <w:rsid w:val="00587576"/>
    <w:rsid w:val="00596233"/>
    <w:rsid w:val="00596C76"/>
    <w:rsid w:val="005A0A79"/>
    <w:rsid w:val="005A2721"/>
    <w:rsid w:val="005B029B"/>
    <w:rsid w:val="005B1F50"/>
    <w:rsid w:val="005C38C2"/>
    <w:rsid w:val="005C419D"/>
    <w:rsid w:val="005C4C14"/>
    <w:rsid w:val="005C5EB1"/>
    <w:rsid w:val="005C6004"/>
    <w:rsid w:val="005D4E66"/>
    <w:rsid w:val="005E0E5C"/>
    <w:rsid w:val="005E3122"/>
    <w:rsid w:val="005F2D74"/>
    <w:rsid w:val="005F31D9"/>
    <w:rsid w:val="005F385A"/>
    <w:rsid w:val="005F4D77"/>
    <w:rsid w:val="00600C4E"/>
    <w:rsid w:val="0060119A"/>
    <w:rsid w:val="00606B82"/>
    <w:rsid w:val="0061142A"/>
    <w:rsid w:val="00611BFC"/>
    <w:rsid w:val="00613F7B"/>
    <w:rsid w:val="006155CA"/>
    <w:rsid w:val="006156C3"/>
    <w:rsid w:val="00634C10"/>
    <w:rsid w:val="006404FD"/>
    <w:rsid w:val="00642761"/>
    <w:rsid w:val="0064369E"/>
    <w:rsid w:val="006461E5"/>
    <w:rsid w:val="0065378A"/>
    <w:rsid w:val="0066636A"/>
    <w:rsid w:val="00667806"/>
    <w:rsid w:val="00671008"/>
    <w:rsid w:val="006721D7"/>
    <w:rsid w:val="006754CC"/>
    <w:rsid w:val="00683B8A"/>
    <w:rsid w:val="00685787"/>
    <w:rsid w:val="00686A1E"/>
    <w:rsid w:val="00691171"/>
    <w:rsid w:val="00696E72"/>
    <w:rsid w:val="006A31BD"/>
    <w:rsid w:val="006A62AD"/>
    <w:rsid w:val="006A6B6D"/>
    <w:rsid w:val="006B09D2"/>
    <w:rsid w:val="006B2CD7"/>
    <w:rsid w:val="006C4A72"/>
    <w:rsid w:val="006C5027"/>
    <w:rsid w:val="006D1E3C"/>
    <w:rsid w:val="006D2B3E"/>
    <w:rsid w:val="006D2E1C"/>
    <w:rsid w:val="006D3266"/>
    <w:rsid w:val="006D70FC"/>
    <w:rsid w:val="006E1F77"/>
    <w:rsid w:val="006E347A"/>
    <w:rsid w:val="006E79A7"/>
    <w:rsid w:val="006E7AA4"/>
    <w:rsid w:val="006F1130"/>
    <w:rsid w:val="006F38B7"/>
    <w:rsid w:val="006F583E"/>
    <w:rsid w:val="006F6C13"/>
    <w:rsid w:val="006F7971"/>
    <w:rsid w:val="0070355D"/>
    <w:rsid w:val="007060EE"/>
    <w:rsid w:val="0070707F"/>
    <w:rsid w:val="00707F90"/>
    <w:rsid w:val="007138C8"/>
    <w:rsid w:val="00715F99"/>
    <w:rsid w:val="007176F2"/>
    <w:rsid w:val="00717965"/>
    <w:rsid w:val="00721E00"/>
    <w:rsid w:val="007318B9"/>
    <w:rsid w:val="00734576"/>
    <w:rsid w:val="00735DBE"/>
    <w:rsid w:val="007406FD"/>
    <w:rsid w:val="00742C76"/>
    <w:rsid w:val="00742C90"/>
    <w:rsid w:val="00743CAF"/>
    <w:rsid w:val="00745BB2"/>
    <w:rsid w:val="00746FC6"/>
    <w:rsid w:val="00747077"/>
    <w:rsid w:val="007477C9"/>
    <w:rsid w:val="00747971"/>
    <w:rsid w:val="007505C3"/>
    <w:rsid w:val="00751DD6"/>
    <w:rsid w:val="00751E11"/>
    <w:rsid w:val="007530D7"/>
    <w:rsid w:val="00753494"/>
    <w:rsid w:val="0075570C"/>
    <w:rsid w:val="0075772A"/>
    <w:rsid w:val="007579B3"/>
    <w:rsid w:val="00761D63"/>
    <w:rsid w:val="00762AE3"/>
    <w:rsid w:val="00763E38"/>
    <w:rsid w:val="00763EA6"/>
    <w:rsid w:val="0076624D"/>
    <w:rsid w:val="00767066"/>
    <w:rsid w:val="00770574"/>
    <w:rsid w:val="00770CD7"/>
    <w:rsid w:val="0077432E"/>
    <w:rsid w:val="00774A3D"/>
    <w:rsid w:val="007755BC"/>
    <w:rsid w:val="0077654E"/>
    <w:rsid w:val="00782EDB"/>
    <w:rsid w:val="00783046"/>
    <w:rsid w:val="00784C91"/>
    <w:rsid w:val="00784DC3"/>
    <w:rsid w:val="007A1072"/>
    <w:rsid w:val="007A1B91"/>
    <w:rsid w:val="007A2451"/>
    <w:rsid w:val="007A357D"/>
    <w:rsid w:val="007A66EC"/>
    <w:rsid w:val="007B072F"/>
    <w:rsid w:val="007B138D"/>
    <w:rsid w:val="007B2584"/>
    <w:rsid w:val="007B5469"/>
    <w:rsid w:val="007C350B"/>
    <w:rsid w:val="007C611D"/>
    <w:rsid w:val="007C6D2E"/>
    <w:rsid w:val="007C7AE7"/>
    <w:rsid w:val="007D0C63"/>
    <w:rsid w:val="007D1944"/>
    <w:rsid w:val="007D3FF0"/>
    <w:rsid w:val="007E5169"/>
    <w:rsid w:val="007E6A9F"/>
    <w:rsid w:val="007F09D6"/>
    <w:rsid w:val="008010A8"/>
    <w:rsid w:val="008031F1"/>
    <w:rsid w:val="008035A1"/>
    <w:rsid w:val="008038E3"/>
    <w:rsid w:val="00803C31"/>
    <w:rsid w:val="00805A9F"/>
    <w:rsid w:val="008142B8"/>
    <w:rsid w:val="00815CD8"/>
    <w:rsid w:val="00823142"/>
    <w:rsid w:val="00831AF2"/>
    <w:rsid w:val="0084074A"/>
    <w:rsid w:val="00842311"/>
    <w:rsid w:val="0084381F"/>
    <w:rsid w:val="008448DF"/>
    <w:rsid w:val="008465AC"/>
    <w:rsid w:val="008467EB"/>
    <w:rsid w:val="00847142"/>
    <w:rsid w:val="008501FF"/>
    <w:rsid w:val="00851FD6"/>
    <w:rsid w:val="008533E0"/>
    <w:rsid w:val="00853849"/>
    <w:rsid w:val="0086009C"/>
    <w:rsid w:val="008615CB"/>
    <w:rsid w:val="0086448B"/>
    <w:rsid w:val="0086527E"/>
    <w:rsid w:val="00871331"/>
    <w:rsid w:val="00875B4E"/>
    <w:rsid w:val="00881DCE"/>
    <w:rsid w:val="00884CE8"/>
    <w:rsid w:val="00885583"/>
    <w:rsid w:val="0089559C"/>
    <w:rsid w:val="008A1442"/>
    <w:rsid w:val="008A77B3"/>
    <w:rsid w:val="008A7898"/>
    <w:rsid w:val="008B373B"/>
    <w:rsid w:val="008B6A38"/>
    <w:rsid w:val="008C129B"/>
    <w:rsid w:val="008C2D4A"/>
    <w:rsid w:val="008C4829"/>
    <w:rsid w:val="008D2EC4"/>
    <w:rsid w:val="008D5F4C"/>
    <w:rsid w:val="008E0E3A"/>
    <w:rsid w:val="008E14C3"/>
    <w:rsid w:val="008E17F0"/>
    <w:rsid w:val="008E4F54"/>
    <w:rsid w:val="008E55CB"/>
    <w:rsid w:val="008F14E3"/>
    <w:rsid w:val="008F7E3F"/>
    <w:rsid w:val="0090086B"/>
    <w:rsid w:val="0090142F"/>
    <w:rsid w:val="00901BD0"/>
    <w:rsid w:val="009073D6"/>
    <w:rsid w:val="00912D31"/>
    <w:rsid w:val="00912E2F"/>
    <w:rsid w:val="00913F2B"/>
    <w:rsid w:val="00916186"/>
    <w:rsid w:val="00916C67"/>
    <w:rsid w:val="00921E3B"/>
    <w:rsid w:val="009247E9"/>
    <w:rsid w:val="00927060"/>
    <w:rsid w:val="009331CD"/>
    <w:rsid w:val="00935315"/>
    <w:rsid w:val="009400DF"/>
    <w:rsid w:val="009426AA"/>
    <w:rsid w:val="00943157"/>
    <w:rsid w:val="0094317B"/>
    <w:rsid w:val="00943215"/>
    <w:rsid w:val="009433FF"/>
    <w:rsid w:val="00951BF6"/>
    <w:rsid w:val="00952FE5"/>
    <w:rsid w:val="00961AD6"/>
    <w:rsid w:val="009622E3"/>
    <w:rsid w:val="0096421C"/>
    <w:rsid w:val="00966077"/>
    <w:rsid w:val="00966B05"/>
    <w:rsid w:val="00971D83"/>
    <w:rsid w:val="00972B25"/>
    <w:rsid w:val="009757AF"/>
    <w:rsid w:val="00982221"/>
    <w:rsid w:val="009831CC"/>
    <w:rsid w:val="00985177"/>
    <w:rsid w:val="00986641"/>
    <w:rsid w:val="00990960"/>
    <w:rsid w:val="00992736"/>
    <w:rsid w:val="00993E49"/>
    <w:rsid w:val="00994CFC"/>
    <w:rsid w:val="00995D77"/>
    <w:rsid w:val="009A0545"/>
    <w:rsid w:val="009A2CFC"/>
    <w:rsid w:val="009A5340"/>
    <w:rsid w:val="009A72B8"/>
    <w:rsid w:val="009B16B9"/>
    <w:rsid w:val="009B2235"/>
    <w:rsid w:val="009B75C6"/>
    <w:rsid w:val="009C1644"/>
    <w:rsid w:val="009C17EF"/>
    <w:rsid w:val="009D0CCE"/>
    <w:rsid w:val="009D38C0"/>
    <w:rsid w:val="009D3943"/>
    <w:rsid w:val="009D7FCB"/>
    <w:rsid w:val="009E0537"/>
    <w:rsid w:val="009E57D6"/>
    <w:rsid w:val="009E59D1"/>
    <w:rsid w:val="009E5D68"/>
    <w:rsid w:val="009E687B"/>
    <w:rsid w:val="009E70D5"/>
    <w:rsid w:val="009F07CF"/>
    <w:rsid w:val="009F0821"/>
    <w:rsid w:val="009F3859"/>
    <w:rsid w:val="009F63C4"/>
    <w:rsid w:val="009F7B9A"/>
    <w:rsid w:val="00A0347E"/>
    <w:rsid w:val="00A04CFD"/>
    <w:rsid w:val="00A103C6"/>
    <w:rsid w:val="00A117EA"/>
    <w:rsid w:val="00A12B75"/>
    <w:rsid w:val="00A13CB3"/>
    <w:rsid w:val="00A3249E"/>
    <w:rsid w:val="00A32A55"/>
    <w:rsid w:val="00A3583E"/>
    <w:rsid w:val="00A456BA"/>
    <w:rsid w:val="00A50967"/>
    <w:rsid w:val="00A51B59"/>
    <w:rsid w:val="00A52D81"/>
    <w:rsid w:val="00A5391A"/>
    <w:rsid w:val="00A5623F"/>
    <w:rsid w:val="00A63155"/>
    <w:rsid w:val="00A64651"/>
    <w:rsid w:val="00A713AB"/>
    <w:rsid w:val="00A74559"/>
    <w:rsid w:val="00A7460B"/>
    <w:rsid w:val="00A82549"/>
    <w:rsid w:val="00A84C86"/>
    <w:rsid w:val="00A85053"/>
    <w:rsid w:val="00A8719E"/>
    <w:rsid w:val="00A875B0"/>
    <w:rsid w:val="00A9236A"/>
    <w:rsid w:val="00AB3F90"/>
    <w:rsid w:val="00AB4E7F"/>
    <w:rsid w:val="00AB7DB6"/>
    <w:rsid w:val="00AC77E9"/>
    <w:rsid w:val="00AD0D13"/>
    <w:rsid w:val="00AD5854"/>
    <w:rsid w:val="00AE0487"/>
    <w:rsid w:val="00AE2681"/>
    <w:rsid w:val="00AE3E90"/>
    <w:rsid w:val="00AE4BD3"/>
    <w:rsid w:val="00AF150A"/>
    <w:rsid w:val="00AF1780"/>
    <w:rsid w:val="00AF7F1A"/>
    <w:rsid w:val="00B001E0"/>
    <w:rsid w:val="00B010C3"/>
    <w:rsid w:val="00B0631E"/>
    <w:rsid w:val="00B072FD"/>
    <w:rsid w:val="00B105C5"/>
    <w:rsid w:val="00B10D59"/>
    <w:rsid w:val="00B11F0E"/>
    <w:rsid w:val="00B1249D"/>
    <w:rsid w:val="00B14D3F"/>
    <w:rsid w:val="00B14DC2"/>
    <w:rsid w:val="00B209D2"/>
    <w:rsid w:val="00B245B6"/>
    <w:rsid w:val="00B308F6"/>
    <w:rsid w:val="00B35D96"/>
    <w:rsid w:val="00B37CE0"/>
    <w:rsid w:val="00B41D46"/>
    <w:rsid w:val="00B41F55"/>
    <w:rsid w:val="00B47884"/>
    <w:rsid w:val="00B515B1"/>
    <w:rsid w:val="00B52B16"/>
    <w:rsid w:val="00B52EEC"/>
    <w:rsid w:val="00B604CB"/>
    <w:rsid w:val="00B65C5D"/>
    <w:rsid w:val="00B7274F"/>
    <w:rsid w:val="00B727F3"/>
    <w:rsid w:val="00B77E77"/>
    <w:rsid w:val="00B96B0A"/>
    <w:rsid w:val="00B97F7E"/>
    <w:rsid w:val="00BA0530"/>
    <w:rsid w:val="00BA0EEC"/>
    <w:rsid w:val="00BA103D"/>
    <w:rsid w:val="00BA37FB"/>
    <w:rsid w:val="00BA5241"/>
    <w:rsid w:val="00BA5D04"/>
    <w:rsid w:val="00BB7E65"/>
    <w:rsid w:val="00BC0ADD"/>
    <w:rsid w:val="00BC4634"/>
    <w:rsid w:val="00BC5FF6"/>
    <w:rsid w:val="00BD2AC7"/>
    <w:rsid w:val="00BD4000"/>
    <w:rsid w:val="00BE4C89"/>
    <w:rsid w:val="00BE55ED"/>
    <w:rsid w:val="00BE5620"/>
    <w:rsid w:val="00BE6422"/>
    <w:rsid w:val="00BE7063"/>
    <w:rsid w:val="00BF02D6"/>
    <w:rsid w:val="00BF66B8"/>
    <w:rsid w:val="00BF6E16"/>
    <w:rsid w:val="00C05076"/>
    <w:rsid w:val="00C078BA"/>
    <w:rsid w:val="00C10FDF"/>
    <w:rsid w:val="00C11B61"/>
    <w:rsid w:val="00C15527"/>
    <w:rsid w:val="00C15A34"/>
    <w:rsid w:val="00C174EF"/>
    <w:rsid w:val="00C17673"/>
    <w:rsid w:val="00C214B9"/>
    <w:rsid w:val="00C2190D"/>
    <w:rsid w:val="00C22FE5"/>
    <w:rsid w:val="00C245C6"/>
    <w:rsid w:val="00C3196E"/>
    <w:rsid w:val="00C3630E"/>
    <w:rsid w:val="00C425EF"/>
    <w:rsid w:val="00C47ACA"/>
    <w:rsid w:val="00C510BB"/>
    <w:rsid w:val="00C51746"/>
    <w:rsid w:val="00C548E7"/>
    <w:rsid w:val="00C54FE5"/>
    <w:rsid w:val="00C55111"/>
    <w:rsid w:val="00C603C9"/>
    <w:rsid w:val="00C61A7A"/>
    <w:rsid w:val="00C70956"/>
    <w:rsid w:val="00C7300F"/>
    <w:rsid w:val="00C74409"/>
    <w:rsid w:val="00C77A59"/>
    <w:rsid w:val="00C83C56"/>
    <w:rsid w:val="00C8554E"/>
    <w:rsid w:val="00C85A73"/>
    <w:rsid w:val="00C937B6"/>
    <w:rsid w:val="00C93D4E"/>
    <w:rsid w:val="00C94A3A"/>
    <w:rsid w:val="00CA10CF"/>
    <w:rsid w:val="00CA1B16"/>
    <w:rsid w:val="00CA390F"/>
    <w:rsid w:val="00CA4BDA"/>
    <w:rsid w:val="00CA676B"/>
    <w:rsid w:val="00CB05F2"/>
    <w:rsid w:val="00CB0EB2"/>
    <w:rsid w:val="00CB29D7"/>
    <w:rsid w:val="00CB7A32"/>
    <w:rsid w:val="00CC6D78"/>
    <w:rsid w:val="00CC7E1A"/>
    <w:rsid w:val="00CD00E6"/>
    <w:rsid w:val="00CD0D08"/>
    <w:rsid w:val="00CD6807"/>
    <w:rsid w:val="00CE045B"/>
    <w:rsid w:val="00CE2091"/>
    <w:rsid w:val="00CE2816"/>
    <w:rsid w:val="00CE343D"/>
    <w:rsid w:val="00CF13DD"/>
    <w:rsid w:val="00CF3C5F"/>
    <w:rsid w:val="00D07870"/>
    <w:rsid w:val="00D15ADC"/>
    <w:rsid w:val="00D15B67"/>
    <w:rsid w:val="00D17ACB"/>
    <w:rsid w:val="00D202C2"/>
    <w:rsid w:val="00D21850"/>
    <w:rsid w:val="00D31893"/>
    <w:rsid w:val="00D32DD9"/>
    <w:rsid w:val="00D345BF"/>
    <w:rsid w:val="00D36599"/>
    <w:rsid w:val="00D4291C"/>
    <w:rsid w:val="00D4399F"/>
    <w:rsid w:val="00D44369"/>
    <w:rsid w:val="00D513E6"/>
    <w:rsid w:val="00D5183D"/>
    <w:rsid w:val="00D55592"/>
    <w:rsid w:val="00D5610B"/>
    <w:rsid w:val="00D56F10"/>
    <w:rsid w:val="00D57F37"/>
    <w:rsid w:val="00D658A3"/>
    <w:rsid w:val="00D6787D"/>
    <w:rsid w:val="00D748AD"/>
    <w:rsid w:val="00D75C8A"/>
    <w:rsid w:val="00D8128F"/>
    <w:rsid w:val="00D83E7E"/>
    <w:rsid w:val="00D84DCA"/>
    <w:rsid w:val="00D870F3"/>
    <w:rsid w:val="00D879D5"/>
    <w:rsid w:val="00D95A56"/>
    <w:rsid w:val="00DA0060"/>
    <w:rsid w:val="00DA0D52"/>
    <w:rsid w:val="00DA15CA"/>
    <w:rsid w:val="00DB08D0"/>
    <w:rsid w:val="00DB5798"/>
    <w:rsid w:val="00DC7884"/>
    <w:rsid w:val="00DD2E03"/>
    <w:rsid w:val="00DD6B6B"/>
    <w:rsid w:val="00DD77E4"/>
    <w:rsid w:val="00DE7039"/>
    <w:rsid w:val="00DF0769"/>
    <w:rsid w:val="00DF0BD8"/>
    <w:rsid w:val="00DF32F9"/>
    <w:rsid w:val="00DF377B"/>
    <w:rsid w:val="00DF4B9E"/>
    <w:rsid w:val="00E05A9F"/>
    <w:rsid w:val="00E072DB"/>
    <w:rsid w:val="00E12AD9"/>
    <w:rsid w:val="00E14CA2"/>
    <w:rsid w:val="00E17627"/>
    <w:rsid w:val="00E20BAD"/>
    <w:rsid w:val="00E2318A"/>
    <w:rsid w:val="00E237AF"/>
    <w:rsid w:val="00E3666B"/>
    <w:rsid w:val="00E374A6"/>
    <w:rsid w:val="00E42A85"/>
    <w:rsid w:val="00E46FAA"/>
    <w:rsid w:val="00E471D8"/>
    <w:rsid w:val="00E50374"/>
    <w:rsid w:val="00E505DA"/>
    <w:rsid w:val="00E514B2"/>
    <w:rsid w:val="00E52563"/>
    <w:rsid w:val="00E52B59"/>
    <w:rsid w:val="00E57892"/>
    <w:rsid w:val="00E61996"/>
    <w:rsid w:val="00E73D63"/>
    <w:rsid w:val="00E73E98"/>
    <w:rsid w:val="00E75D65"/>
    <w:rsid w:val="00E76CC0"/>
    <w:rsid w:val="00E833BB"/>
    <w:rsid w:val="00E83650"/>
    <w:rsid w:val="00E86DC8"/>
    <w:rsid w:val="00E87AA7"/>
    <w:rsid w:val="00E91407"/>
    <w:rsid w:val="00E9763F"/>
    <w:rsid w:val="00EA0E38"/>
    <w:rsid w:val="00EA44DB"/>
    <w:rsid w:val="00EA5A98"/>
    <w:rsid w:val="00EA6F92"/>
    <w:rsid w:val="00EB1569"/>
    <w:rsid w:val="00EB1767"/>
    <w:rsid w:val="00EB1CDD"/>
    <w:rsid w:val="00EC1794"/>
    <w:rsid w:val="00EC1BEF"/>
    <w:rsid w:val="00EC3447"/>
    <w:rsid w:val="00EC4EE8"/>
    <w:rsid w:val="00EC7012"/>
    <w:rsid w:val="00ED04FF"/>
    <w:rsid w:val="00ED589F"/>
    <w:rsid w:val="00ED7065"/>
    <w:rsid w:val="00ED7C81"/>
    <w:rsid w:val="00EE04DA"/>
    <w:rsid w:val="00EE2525"/>
    <w:rsid w:val="00EE2C19"/>
    <w:rsid w:val="00EE4FAB"/>
    <w:rsid w:val="00EF7A53"/>
    <w:rsid w:val="00F028D7"/>
    <w:rsid w:val="00F04E69"/>
    <w:rsid w:val="00F12637"/>
    <w:rsid w:val="00F12B61"/>
    <w:rsid w:val="00F15A8F"/>
    <w:rsid w:val="00F20C04"/>
    <w:rsid w:val="00F27150"/>
    <w:rsid w:val="00F27BB6"/>
    <w:rsid w:val="00F27FB9"/>
    <w:rsid w:val="00F36758"/>
    <w:rsid w:val="00F371A8"/>
    <w:rsid w:val="00F37450"/>
    <w:rsid w:val="00F42250"/>
    <w:rsid w:val="00F42D03"/>
    <w:rsid w:val="00F45443"/>
    <w:rsid w:val="00F576F1"/>
    <w:rsid w:val="00F6661D"/>
    <w:rsid w:val="00F66674"/>
    <w:rsid w:val="00F66BFF"/>
    <w:rsid w:val="00F66ECF"/>
    <w:rsid w:val="00F72AE7"/>
    <w:rsid w:val="00F74736"/>
    <w:rsid w:val="00F77106"/>
    <w:rsid w:val="00F77358"/>
    <w:rsid w:val="00F77A50"/>
    <w:rsid w:val="00F83C96"/>
    <w:rsid w:val="00F86FE2"/>
    <w:rsid w:val="00F9083D"/>
    <w:rsid w:val="00F915E3"/>
    <w:rsid w:val="00F955A5"/>
    <w:rsid w:val="00FA0720"/>
    <w:rsid w:val="00FA1B1B"/>
    <w:rsid w:val="00FA6BCB"/>
    <w:rsid w:val="00FB2038"/>
    <w:rsid w:val="00FB35BF"/>
    <w:rsid w:val="00FB7F52"/>
    <w:rsid w:val="00FC0A94"/>
    <w:rsid w:val="00FC0D76"/>
    <w:rsid w:val="00FC2095"/>
    <w:rsid w:val="00FC2A87"/>
    <w:rsid w:val="00FC2C92"/>
    <w:rsid w:val="00FC6290"/>
    <w:rsid w:val="00FC7AB5"/>
    <w:rsid w:val="00FD3BA9"/>
    <w:rsid w:val="00FD5C19"/>
    <w:rsid w:val="00FD62A0"/>
    <w:rsid w:val="00FD6D5D"/>
    <w:rsid w:val="00FE1CC1"/>
    <w:rsid w:val="00FE7022"/>
    <w:rsid w:val="00FE7D2E"/>
    <w:rsid w:val="00FF1083"/>
    <w:rsid w:val="00FF178E"/>
    <w:rsid w:val="00FF2BA5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E89CA-C20C-4C2B-9D8A-CB4253A6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51"/>
  </w:style>
  <w:style w:type="paragraph" w:styleId="Heading1">
    <w:name w:val="heading 1"/>
    <w:basedOn w:val="Normal"/>
    <w:next w:val="Normal"/>
    <w:link w:val="Heading1Char"/>
    <w:uiPriority w:val="9"/>
    <w:qFormat/>
    <w:rsid w:val="002E415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15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15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15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15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15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15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15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15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Papers">
    <w:name w:val="Board Papers"/>
    <w:basedOn w:val="Header"/>
    <w:link w:val="BoardPapersChar"/>
    <w:qFormat/>
    <w:rsid w:val="002E4151"/>
    <w:pPr>
      <w:tabs>
        <w:tab w:val="clear" w:pos="4513"/>
      </w:tabs>
      <w:spacing w:after="240"/>
      <w:ind w:left="357"/>
      <w:jc w:val="center"/>
    </w:pPr>
    <w:rPr>
      <w:rFonts w:ascii="Calibri" w:eastAsia="Calibri" w:hAnsi="Calibri" w:cs="Times New Roman"/>
      <w:b/>
      <w:color w:val="FF0000"/>
      <w:sz w:val="28"/>
      <w:szCs w:val="28"/>
    </w:rPr>
  </w:style>
  <w:style w:type="character" w:customStyle="1" w:styleId="BoardPapersChar">
    <w:name w:val="Board Papers Char"/>
    <w:basedOn w:val="HeaderChar"/>
    <w:link w:val="BoardPapers"/>
    <w:rsid w:val="002E4151"/>
    <w:rPr>
      <w:rFonts w:ascii="Calibri" w:eastAsia="Calibri" w:hAnsi="Calibri" w:cs="Times New Roman"/>
      <w:b/>
      <w:color w:val="FF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E4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151"/>
  </w:style>
  <w:style w:type="character" w:customStyle="1" w:styleId="Heading1Char">
    <w:name w:val="Heading 1 Char"/>
    <w:link w:val="Heading1"/>
    <w:uiPriority w:val="9"/>
    <w:rsid w:val="002E415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2E415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2E4151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2E415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2E4151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2E4151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2E415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2E415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E41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4151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415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E415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15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2E415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2E4151"/>
    <w:rPr>
      <w:b/>
      <w:bCs/>
    </w:rPr>
  </w:style>
  <w:style w:type="character" w:styleId="Emphasis">
    <w:name w:val="Emphasis"/>
    <w:uiPriority w:val="20"/>
    <w:qFormat/>
    <w:rsid w:val="002E4151"/>
    <w:rPr>
      <w:i/>
      <w:iCs/>
    </w:rPr>
  </w:style>
  <w:style w:type="paragraph" w:styleId="NoSpacing">
    <w:name w:val="No Spacing"/>
    <w:uiPriority w:val="1"/>
    <w:qFormat/>
    <w:rsid w:val="002E41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41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415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415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15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2E4151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2E4151"/>
    <w:rPr>
      <w:i/>
      <w:iCs/>
      <w:color w:val="808080"/>
    </w:rPr>
  </w:style>
  <w:style w:type="character" w:styleId="IntenseEmphasis">
    <w:name w:val="Intense Emphasis"/>
    <w:uiPriority w:val="21"/>
    <w:qFormat/>
    <w:rsid w:val="002E4151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2E4151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2E4151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2E41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15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63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merpropertylawreview@justice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Equipsuper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Fiona Creedy</cp:lastModifiedBy>
  <cp:revision>10</cp:revision>
  <dcterms:created xsi:type="dcterms:W3CDTF">2016-03-28T23:53:00Z</dcterms:created>
  <dcterms:modified xsi:type="dcterms:W3CDTF">2016-05-18T05:28:00Z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