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B8" w:rsidRPr="00C57DB8" w:rsidRDefault="00C57DB8" w:rsidP="00C57DB8">
      <w:pPr>
        <w:jc w:val="both"/>
        <w:rPr>
          <w:rFonts w:ascii="Bookman Old Style" w:hAnsi="Bookman Old Style"/>
          <w:b/>
          <w:caps/>
          <w:szCs w:val="24"/>
        </w:rPr>
      </w:pPr>
      <w:bookmarkStart w:id="0" w:name="_GoBack"/>
      <w:bookmarkEnd w:id="0"/>
      <w:r>
        <w:rPr>
          <w:rFonts w:ascii="Bookman Old Style" w:hAnsi="Bookman Old Style"/>
          <w:szCs w:val="24"/>
        </w:rPr>
        <w:t xml:space="preserve">                            </w:t>
      </w:r>
      <w:r w:rsidRPr="00C57DB8">
        <w:rPr>
          <w:rFonts w:ascii="Bookman Old Style" w:hAnsi="Bookman Old Style"/>
          <w:b/>
          <w:caps/>
          <w:szCs w:val="24"/>
        </w:rPr>
        <w:t>Consumer Property Acts Review</w:t>
      </w:r>
    </w:p>
    <w:p w:rsidR="00C57DB8" w:rsidRDefault="00C57DB8" w:rsidP="00C57DB8">
      <w:pPr>
        <w:jc w:val="both"/>
        <w:rPr>
          <w:rFonts w:ascii="Bookman Old Style" w:hAnsi="Bookman Old Style"/>
          <w:szCs w:val="24"/>
        </w:rPr>
      </w:pPr>
      <w:r>
        <w:rPr>
          <w:rFonts w:ascii="Bookman Old Style" w:hAnsi="Bookman Old Style"/>
          <w:szCs w:val="24"/>
        </w:rPr>
        <w:t xml:space="preserve"> </w:t>
      </w:r>
    </w:p>
    <w:p w:rsidR="00FB458F" w:rsidRPr="003B2C8E" w:rsidRDefault="00C57DB8" w:rsidP="00F70F7E">
      <w:pPr>
        <w:spacing w:line="360" w:lineRule="auto"/>
        <w:jc w:val="center"/>
        <w:rPr>
          <w:rFonts w:ascii="Bookman Old Style" w:hAnsi="Bookman Old Style"/>
          <w:b/>
          <w:sz w:val="28"/>
          <w:szCs w:val="28"/>
        </w:rPr>
      </w:pPr>
      <w:r>
        <w:rPr>
          <w:rFonts w:ascii="Bookman Old Style" w:hAnsi="Bookman Old Style"/>
          <w:b/>
          <w:sz w:val="28"/>
          <w:szCs w:val="28"/>
        </w:rPr>
        <w:t>SUBMISSION</w:t>
      </w:r>
    </w:p>
    <w:p w:rsidR="003124B9" w:rsidRPr="00F70F7E" w:rsidRDefault="003124B9" w:rsidP="00F70F7E">
      <w:pPr>
        <w:spacing w:line="360" w:lineRule="auto"/>
        <w:jc w:val="both"/>
        <w:rPr>
          <w:rFonts w:ascii="Bookman Old Style" w:hAnsi="Bookman Old Style"/>
          <w:b/>
          <w:szCs w:val="24"/>
        </w:rPr>
      </w:pPr>
    </w:p>
    <w:tbl>
      <w:tblPr>
        <w:tblW w:w="9606" w:type="dxa"/>
        <w:tblLook w:val="01E0" w:firstRow="1" w:lastRow="1" w:firstColumn="1" w:lastColumn="1" w:noHBand="0" w:noVBand="0"/>
      </w:tblPr>
      <w:tblGrid>
        <w:gridCol w:w="1384"/>
        <w:gridCol w:w="8222"/>
      </w:tblGrid>
      <w:tr w:rsidR="003124B9" w:rsidRPr="00F70F7E" w:rsidTr="00F70F7E">
        <w:tc>
          <w:tcPr>
            <w:tcW w:w="1384" w:type="dxa"/>
          </w:tcPr>
          <w:p w:rsidR="003124B9" w:rsidRPr="00F70F7E" w:rsidRDefault="003124B9" w:rsidP="00F70F7E">
            <w:pPr>
              <w:spacing w:line="360" w:lineRule="auto"/>
              <w:jc w:val="both"/>
              <w:rPr>
                <w:rFonts w:ascii="Bookman Old Style" w:hAnsi="Bookman Old Style"/>
                <w:b/>
                <w:szCs w:val="24"/>
              </w:rPr>
            </w:pPr>
            <w:r w:rsidRPr="00F70F7E">
              <w:rPr>
                <w:rFonts w:ascii="Bookman Old Style" w:hAnsi="Bookman Old Style"/>
                <w:b/>
                <w:szCs w:val="24"/>
              </w:rPr>
              <w:t>TO:</w:t>
            </w:r>
          </w:p>
        </w:tc>
        <w:tc>
          <w:tcPr>
            <w:tcW w:w="8222" w:type="dxa"/>
          </w:tcPr>
          <w:p w:rsidR="003124B9" w:rsidRDefault="004A17E5" w:rsidP="00DC2128">
            <w:pPr>
              <w:jc w:val="both"/>
              <w:rPr>
                <w:rFonts w:ascii="Bookman Old Style" w:hAnsi="Bookman Old Style"/>
                <w:szCs w:val="24"/>
              </w:rPr>
            </w:pPr>
            <w:r>
              <w:rPr>
                <w:rFonts w:ascii="Bookman Old Style" w:hAnsi="Bookman Old Style"/>
                <w:szCs w:val="24"/>
              </w:rPr>
              <w:t>Consumer Property Law Review</w:t>
            </w:r>
          </w:p>
          <w:p w:rsidR="00DC2128" w:rsidRDefault="00DC2128" w:rsidP="00DC2128">
            <w:pPr>
              <w:jc w:val="both"/>
              <w:rPr>
                <w:rFonts w:ascii="Bookman Old Style" w:hAnsi="Bookman Old Style"/>
                <w:szCs w:val="24"/>
              </w:rPr>
            </w:pPr>
            <w:r>
              <w:rPr>
                <w:rFonts w:ascii="Bookman Old Style" w:hAnsi="Bookman Old Style"/>
                <w:szCs w:val="24"/>
              </w:rPr>
              <w:t>Policy and Legislation Branch</w:t>
            </w:r>
          </w:p>
          <w:p w:rsidR="00DC2128" w:rsidRPr="00F70F7E" w:rsidRDefault="00DC2128" w:rsidP="00DC2128">
            <w:pPr>
              <w:jc w:val="both"/>
              <w:rPr>
                <w:rFonts w:ascii="Bookman Old Style" w:hAnsi="Bookman Old Style"/>
                <w:szCs w:val="24"/>
              </w:rPr>
            </w:pPr>
            <w:r>
              <w:rPr>
                <w:rFonts w:ascii="Bookman Old Style" w:hAnsi="Bookman Old Style"/>
                <w:szCs w:val="24"/>
              </w:rPr>
              <w:t>Consumer Affairs Victoria</w:t>
            </w:r>
          </w:p>
        </w:tc>
      </w:tr>
      <w:tr w:rsidR="003124B9" w:rsidRPr="00F70F7E" w:rsidTr="00F70F7E">
        <w:tc>
          <w:tcPr>
            <w:tcW w:w="1384" w:type="dxa"/>
          </w:tcPr>
          <w:p w:rsidR="003124B9" w:rsidRPr="00F70F7E" w:rsidRDefault="003124B9" w:rsidP="00F70F7E">
            <w:pPr>
              <w:spacing w:line="360" w:lineRule="auto"/>
              <w:jc w:val="both"/>
              <w:rPr>
                <w:rFonts w:ascii="Bookman Old Style" w:hAnsi="Bookman Old Style"/>
                <w:b/>
                <w:szCs w:val="24"/>
              </w:rPr>
            </w:pPr>
            <w:r w:rsidRPr="00F70F7E">
              <w:rPr>
                <w:rFonts w:ascii="Bookman Old Style" w:hAnsi="Bookman Old Style"/>
                <w:b/>
                <w:szCs w:val="24"/>
              </w:rPr>
              <w:t>FROM:</w:t>
            </w:r>
          </w:p>
        </w:tc>
        <w:tc>
          <w:tcPr>
            <w:tcW w:w="8222" w:type="dxa"/>
          </w:tcPr>
          <w:p w:rsidR="003124B9" w:rsidRPr="00F70F7E" w:rsidRDefault="00AE3253" w:rsidP="00376EB7">
            <w:pPr>
              <w:spacing w:line="360" w:lineRule="auto"/>
              <w:jc w:val="both"/>
              <w:rPr>
                <w:rFonts w:ascii="Bookman Old Style" w:hAnsi="Bookman Old Style"/>
                <w:szCs w:val="24"/>
              </w:rPr>
            </w:pPr>
            <w:r w:rsidRPr="00F70F7E">
              <w:rPr>
                <w:rFonts w:ascii="Bookman Old Style" w:hAnsi="Bookman Old Style"/>
                <w:szCs w:val="24"/>
              </w:rPr>
              <w:t>David P Lloyd</w:t>
            </w:r>
            <w:r w:rsidR="00376EB7">
              <w:rPr>
                <w:rFonts w:ascii="Bookman Old Style" w:hAnsi="Bookman Old Style"/>
                <w:szCs w:val="24"/>
              </w:rPr>
              <w:t xml:space="preserve"> &amp; William F Rimmer</w:t>
            </w:r>
          </w:p>
        </w:tc>
      </w:tr>
      <w:tr w:rsidR="003124B9" w:rsidRPr="00F70F7E" w:rsidTr="00F70F7E">
        <w:tc>
          <w:tcPr>
            <w:tcW w:w="1384" w:type="dxa"/>
          </w:tcPr>
          <w:p w:rsidR="003124B9" w:rsidRPr="00F70F7E" w:rsidRDefault="003124B9" w:rsidP="00F70F7E">
            <w:pPr>
              <w:spacing w:line="360" w:lineRule="auto"/>
              <w:jc w:val="both"/>
              <w:rPr>
                <w:rFonts w:ascii="Bookman Old Style" w:hAnsi="Bookman Old Style"/>
                <w:b/>
                <w:szCs w:val="24"/>
              </w:rPr>
            </w:pPr>
            <w:r w:rsidRPr="00F70F7E">
              <w:rPr>
                <w:rFonts w:ascii="Bookman Old Style" w:hAnsi="Bookman Old Style"/>
                <w:b/>
                <w:szCs w:val="24"/>
              </w:rPr>
              <w:t>DATE:</w:t>
            </w:r>
          </w:p>
        </w:tc>
        <w:tc>
          <w:tcPr>
            <w:tcW w:w="8222" w:type="dxa"/>
          </w:tcPr>
          <w:p w:rsidR="003124B9" w:rsidRPr="00F70F7E" w:rsidRDefault="00C57DB8" w:rsidP="00C57DB8">
            <w:pPr>
              <w:spacing w:line="360" w:lineRule="auto"/>
              <w:jc w:val="both"/>
              <w:rPr>
                <w:rFonts w:ascii="Bookman Old Style" w:hAnsi="Bookman Old Style"/>
                <w:szCs w:val="24"/>
              </w:rPr>
            </w:pPr>
            <w:r>
              <w:rPr>
                <w:rFonts w:ascii="Bookman Old Style" w:hAnsi="Bookman Old Style"/>
                <w:szCs w:val="24"/>
              </w:rPr>
              <w:t>9</w:t>
            </w:r>
            <w:r w:rsidR="004A17E5">
              <w:rPr>
                <w:rFonts w:ascii="Bookman Old Style" w:hAnsi="Bookman Old Style"/>
                <w:szCs w:val="24"/>
              </w:rPr>
              <w:t xml:space="preserve"> May</w:t>
            </w:r>
            <w:r w:rsidR="00B56703">
              <w:rPr>
                <w:rFonts w:ascii="Bookman Old Style" w:hAnsi="Bookman Old Style"/>
                <w:szCs w:val="24"/>
              </w:rPr>
              <w:t xml:space="preserve"> 201</w:t>
            </w:r>
            <w:r w:rsidR="00376EB7">
              <w:rPr>
                <w:rFonts w:ascii="Bookman Old Style" w:hAnsi="Bookman Old Style"/>
                <w:szCs w:val="24"/>
              </w:rPr>
              <w:t>6</w:t>
            </w:r>
          </w:p>
        </w:tc>
      </w:tr>
      <w:tr w:rsidR="003124B9" w:rsidRPr="00F70F7E" w:rsidTr="00F70F7E">
        <w:tc>
          <w:tcPr>
            <w:tcW w:w="1384" w:type="dxa"/>
          </w:tcPr>
          <w:p w:rsidR="003124B9" w:rsidRPr="00F70F7E" w:rsidRDefault="003124B9" w:rsidP="00F70F7E">
            <w:pPr>
              <w:spacing w:line="360" w:lineRule="auto"/>
              <w:jc w:val="both"/>
              <w:rPr>
                <w:rFonts w:ascii="Bookman Old Style" w:hAnsi="Bookman Old Style"/>
                <w:b/>
                <w:szCs w:val="24"/>
              </w:rPr>
            </w:pPr>
            <w:r w:rsidRPr="00F70F7E">
              <w:rPr>
                <w:rFonts w:ascii="Bookman Old Style" w:hAnsi="Bookman Old Style"/>
                <w:b/>
                <w:szCs w:val="24"/>
              </w:rPr>
              <w:t>RE:</w:t>
            </w:r>
          </w:p>
        </w:tc>
        <w:tc>
          <w:tcPr>
            <w:tcW w:w="8222" w:type="dxa"/>
          </w:tcPr>
          <w:p w:rsidR="00394BB4" w:rsidRDefault="00394BB4" w:rsidP="00394BB4">
            <w:pPr>
              <w:jc w:val="both"/>
              <w:rPr>
                <w:rFonts w:ascii="Bookman Old Style" w:hAnsi="Bookman Old Style"/>
                <w:szCs w:val="24"/>
              </w:rPr>
            </w:pPr>
            <w:r>
              <w:rPr>
                <w:rFonts w:ascii="Bookman Old Style" w:hAnsi="Bookman Old Style"/>
                <w:szCs w:val="24"/>
              </w:rPr>
              <w:t xml:space="preserve">Consumer  Property </w:t>
            </w:r>
            <w:r w:rsidR="00DC2128">
              <w:rPr>
                <w:rFonts w:ascii="Bookman Old Style" w:hAnsi="Bookman Old Style"/>
                <w:szCs w:val="24"/>
              </w:rPr>
              <w:t>Acts</w:t>
            </w:r>
            <w:r>
              <w:rPr>
                <w:rFonts w:ascii="Bookman Old Style" w:hAnsi="Bookman Old Style"/>
                <w:szCs w:val="24"/>
              </w:rPr>
              <w:t xml:space="preserve"> Review </w:t>
            </w:r>
          </w:p>
          <w:p w:rsidR="003124B9" w:rsidRPr="00F70F7E" w:rsidRDefault="00376EB7" w:rsidP="00394BB4">
            <w:pPr>
              <w:jc w:val="both"/>
              <w:rPr>
                <w:rFonts w:ascii="Bookman Old Style" w:hAnsi="Bookman Old Style"/>
                <w:szCs w:val="24"/>
              </w:rPr>
            </w:pPr>
            <w:r w:rsidRPr="00394BB4">
              <w:rPr>
                <w:rFonts w:ascii="Bookman Old Style" w:hAnsi="Bookman Old Style"/>
                <w:i/>
                <w:szCs w:val="24"/>
              </w:rPr>
              <w:t>Sale of Land Act 1962</w:t>
            </w:r>
            <w:r>
              <w:rPr>
                <w:rFonts w:ascii="Bookman Old Style" w:hAnsi="Bookman Old Style"/>
                <w:szCs w:val="24"/>
              </w:rPr>
              <w:t xml:space="preserve"> proposed ame</w:t>
            </w:r>
            <w:r w:rsidR="00387562">
              <w:rPr>
                <w:rFonts w:ascii="Bookman Old Style" w:hAnsi="Bookman Old Style"/>
                <w:szCs w:val="24"/>
              </w:rPr>
              <w:t>n</w:t>
            </w:r>
            <w:r>
              <w:rPr>
                <w:rFonts w:ascii="Bookman Old Style" w:hAnsi="Bookman Old Style"/>
                <w:szCs w:val="24"/>
              </w:rPr>
              <w:t>dments</w:t>
            </w:r>
          </w:p>
        </w:tc>
      </w:tr>
    </w:tbl>
    <w:p w:rsidR="003124B9" w:rsidRPr="00F70F7E" w:rsidRDefault="003124B9" w:rsidP="00F70F7E">
      <w:pPr>
        <w:spacing w:line="480" w:lineRule="auto"/>
        <w:jc w:val="both"/>
        <w:rPr>
          <w:rFonts w:ascii="Bookman Old Style" w:hAnsi="Bookman Old Style"/>
          <w:szCs w:val="24"/>
        </w:rPr>
      </w:pPr>
    </w:p>
    <w:p w:rsidR="00F70F7E" w:rsidRDefault="00F70F7E" w:rsidP="00F70F7E">
      <w:pPr>
        <w:spacing w:line="480" w:lineRule="auto"/>
        <w:ind w:right="-566"/>
        <w:jc w:val="both"/>
        <w:rPr>
          <w:rFonts w:ascii="Bookman Old Style" w:hAnsi="Bookman Old Style"/>
          <w:szCs w:val="24"/>
        </w:rPr>
      </w:pPr>
      <w:r>
        <w:rPr>
          <w:rFonts w:ascii="Bookman Old Style" w:hAnsi="Bookman Old Style"/>
          <w:szCs w:val="24"/>
        </w:rPr>
        <w:t>___________________________________________________________________________</w:t>
      </w:r>
    </w:p>
    <w:p w:rsidR="00F70F7E" w:rsidRDefault="00E14212" w:rsidP="00DC2128">
      <w:pPr>
        <w:spacing w:line="360" w:lineRule="auto"/>
        <w:jc w:val="both"/>
        <w:rPr>
          <w:rFonts w:ascii="Bookman Old Style" w:hAnsi="Bookman Old Style"/>
          <w:szCs w:val="24"/>
        </w:rPr>
      </w:pPr>
      <w:r>
        <w:rPr>
          <w:rFonts w:ascii="Bookman Old Style" w:hAnsi="Bookman Old Style"/>
          <w:szCs w:val="24"/>
        </w:rPr>
        <w:t xml:space="preserve">We provide this memorandum in our capacity as the authors of </w:t>
      </w:r>
      <w:r w:rsidRPr="00E14212">
        <w:rPr>
          <w:rFonts w:ascii="Bookman Old Style" w:hAnsi="Bookman Old Style"/>
          <w:i/>
          <w:szCs w:val="24"/>
        </w:rPr>
        <w:t>Sale of Land Act Victoria</w:t>
      </w:r>
      <w:r w:rsidR="00DC2128">
        <w:rPr>
          <w:rFonts w:ascii="Bookman Old Style" w:hAnsi="Bookman Old Style"/>
          <w:i/>
          <w:szCs w:val="24"/>
        </w:rPr>
        <w:t xml:space="preserve"> </w:t>
      </w:r>
      <w:r w:rsidR="00DC2128">
        <w:rPr>
          <w:rFonts w:ascii="Bookman Old Style" w:hAnsi="Bookman Old Style"/>
          <w:szCs w:val="24"/>
        </w:rPr>
        <w:t>(Thomson Reuters, 2015)</w:t>
      </w:r>
      <w:r>
        <w:rPr>
          <w:rFonts w:ascii="Bookman Old Style" w:hAnsi="Bookman Old Style"/>
          <w:szCs w:val="24"/>
        </w:rPr>
        <w:t>.</w:t>
      </w:r>
    </w:p>
    <w:p w:rsidR="00C57DB8" w:rsidRDefault="00C57DB8" w:rsidP="00DC2128">
      <w:pPr>
        <w:spacing w:line="360" w:lineRule="auto"/>
        <w:jc w:val="both"/>
        <w:rPr>
          <w:rFonts w:ascii="Bookman Old Style" w:hAnsi="Bookman Old Style"/>
          <w:szCs w:val="24"/>
        </w:rPr>
      </w:pPr>
    </w:p>
    <w:p w:rsidR="00387562" w:rsidRDefault="00E14212" w:rsidP="00DC2128">
      <w:pPr>
        <w:spacing w:line="360" w:lineRule="auto"/>
        <w:jc w:val="both"/>
        <w:rPr>
          <w:rFonts w:ascii="Bookman Old Style" w:hAnsi="Bookman Old Style"/>
          <w:szCs w:val="24"/>
        </w:rPr>
      </w:pPr>
      <w:r>
        <w:rPr>
          <w:rFonts w:ascii="Bookman Old Style" w:hAnsi="Bookman Old Style"/>
          <w:szCs w:val="24"/>
        </w:rPr>
        <w:t xml:space="preserve">In our submission </w:t>
      </w:r>
      <w:r w:rsidR="00DC2128">
        <w:rPr>
          <w:rFonts w:ascii="Bookman Old Style" w:hAnsi="Bookman Old Style"/>
          <w:szCs w:val="24"/>
        </w:rPr>
        <w:t xml:space="preserve">there are </w:t>
      </w:r>
      <w:r>
        <w:rPr>
          <w:rFonts w:ascii="Bookman Old Style" w:hAnsi="Bookman Old Style"/>
          <w:szCs w:val="24"/>
        </w:rPr>
        <w:t>t</w:t>
      </w:r>
      <w:r w:rsidR="00A61BC6">
        <w:rPr>
          <w:rFonts w:ascii="Bookman Old Style" w:hAnsi="Bookman Old Style"/>
          <w:szCs w:val="24"/>
        </w:rPr>
        <w:t>h</w:t>
      </w:r>
      <w:r>
        <w:rPr>
          <w:rFonts w:ascii="Bookman Old Style" w:hAnsi="Bookman Old Style"/>
          <w:szCs w:val="24"/>
        </w:rPr>
        <w:t xml:space="preserve">ree </w:t>
      </w:r>
      <w:r w:rsidR="00DC2128">
        <w:rPr>
          <w:rFonts w:ascii="Bookman Old Style" w:hAnsi="Bookman Old Style"/>
          <w:szCs w:val="24"/>
        </w:rPr>
        <w:t xml:space="preserve">important </w:t>
      </w:r>
      <w:r w:rsidR="00376EB7">
        <w:rPr>
          <w:rFonts w:ascii="Bookman Old Style" w:hAnsi="Bookman Old Style"/>
          <w:szCs w:val="24"/>
        </w:rPr>
        <w:t>amendments</w:t>
      </w:r>
      <w:r>
        <w:rPr>
          <w:rFonts w:ascii="Bookman Old Style" w:hAnsi="Bookman Old Style"/>
          <w:szCs w:val="24"/>
        </w:rPr>
        <w:t xml:space="preserve"> should be made to the </w:t>
      </w:r>
      <w:r w:rsidR="00DC2128" w:rsidRPr="00394BB4">
        <w:rPr>
          <w:rFonts w:ascii="Bookman Old Style" w:hAnsi="Bookman Old Style"/>
          <w:i/>
          <w:szCs w:val="24"/>
        </w:rPr>
        <w:t>Sale of Land Act 1962</w:t>
      </w:r>
      <w:r w:rsidR="00387562">
        <w:rPr>
          <w:rFonts w:ascii="Bookman Old Style" w:hAnsi="Bookman Old Style"/>
          <w:szCs w:val="24"/>
        </w:rPr>
        <w:t>:</w:t>
      </w:r>
    </w:p>
    <w:p w:rsidR="00DC2128" w:rsidRDefault="00DC2128" w:rsidP="00DC2128">
      <w:pPr>
        <w:spacing w:line="360" w:lineRule="auto"/>
        <w:jc w:val="both"/>
        <w:rPr>
          <w:rFonts w:ascii="Bookman Old Style" w:hAnsi="Bookman Old Style"/>
          <w:szCs w:val="24"/>
        </w:rPr>
      </w:pPr>
    </w:p>
    <w:p w:rsidR="00387562" w:rsidRPr="00E14212" w:rsidRDefault="00E14212" w:rsidP="00E14212">
      <w:pPr>
        <w:spacing w:line="480" w:lineRule="auto"/>
        <w:jc w:val="both"/>
        <w:rPr>
          <w:rFonts w:ascii="Bookman Old Style" w:hAnsi="Bookman Old Style"/>
          <w:b/>
          <w:i/>
          <w:szCs w:val="24"/>
        </w:rPr>
      </w:pPr>
      <w:r w:rsidRPr="00E14212">
        <w:rPr>
          <w:rFonts w:ascii="Bookman Old Style" w:hAnsi="Bookman Old Style"/>
          <w:b/>
          <w:i/>
          <w:szCs w:val="24"/>
        </w:rPr>
        <w:t xml:space="preserve">1. </w:t>
      </w:r>
      <w:r w:rsidR="00394BB4">
        <w:rPr>
          <w:rFonts w:ascii="Bookman Old Style" w:hAnsi="Bookman Old Style"/>
          <w:b/>
          <w:i/>
          <w:szCs w:val="24"/>
        </w:rPr>
        <w:t xml:space="preserve">Early deposit release – acceptance of title </w:t>
      </w:r>
      <w:r w:rsidR="00DC2128">
        <w:rPr>
          <w:rFonts w:ascii="Bookman Old Style" w:hAnsi="Bookman Old Style"/>
          <w:b/>
          <w:i/>
          <w:szCs w:val="24"/>
        </w:rPr>
        <w:t xml:space="preserve">- </w:t>
      </w:r>
      <w:r w:rsidR="00394BB4">
        <w:rPr>
          <w:rFonts w:ascii="Bookman Old Style" w:hAnsi="Bookman Old Style"/>
          <w:b/>
          <w:i/>
          <w:szCs w:val="24"/>
        </w:rPr>
        <w:t>s</w:t>
      </w:r>
      <w:r w:rsidR="00387562" w:rsidRPr="00E14212">
        <w:rPr>
          <w:rFonts w:ascii="Bookman Old Style" w:hAnsi="Bookman Old Style"/>
          <w:b/>
          <w:i/>
          <w:szCs w:val="24"/>
        </w:rPr>
        <w:t>ection 27</w:t>
      </w:r>
    </w:p>
    <w:p w:rsidR="00387562" w:rsidRDefault="00387562" w:rsidP="00E14212">
      <w:pPr>
        <w:spacing w:line="360" w:lineRule="auto"/>
        <w:rPr>
          <w:rFonts w:ascii="Bookman Old Style" w:hAnsi="Bookman Old Style"/>
          <w:szCs w:val="24"/>
        </w:rPr>
      </w:pPr>
      <w:r w:rsidRPr="00387562">
        <w:rPr>
          <w:rFonts w:ascii="Bookman Old Style" w:hAnsi="Bookman Old Style"/>
          <w:szCs w:val="24"/>
        </w:rPr>
        <w:t>Th</w:t>
      </w:r>
      <w:r>
        <w:rPr>
          <w:rFonts w:ascii="Bookman Old Style" w:hAnsi="Bookman Old Style"/>
          <w:szCs w:val="24"/>
        </w:rPr>
        <w:t>ere</w:t>
      </w:r>
      <w:r w:rsidRPr="00387562">
        <w:rPr>
          <w:rFonts w:ascii="Bookman Old Style" w:hAnsi="Bookman Old Style"/>
          <w:szCs w:val="24"/>
        </w:rPr>
        <w:t xml:space="preserve"> is a shortcoming in s 27(7) which exists because the </w:t>
      </w:r>
      <w:r>
        <w:rPr>
          <w:rFonts w:ascii="Bookman Old Style" w:hAnsi="Bookman Old Style"/>
          <w:szCs w:val="24"/>
        </w:rPr>
        <w:t xml:space="preserve">standard </w:t>
      </w:r>
      <w:r w:rsidRPr="00387562">
        <w:rPr>
          <w:rFonts w:ascii="Bookman Old Style" w:hAnsi="Bookman Old Style"/>
          <w:iCs/>
          <w:szCs w:val="24"/>
        </w:rPr>
        <w:t xml:space="preserve">contract </w:t>
      </w:r>
      <w:r>
        <w:rPr>
          <w:rFonts w:ascii="Bookman Old Style" w:hAnsi="Bookman Old Style"/>
          <w:iCs/>
          <w:szCs w:val="24"/>
        </w:rPr>
        <w:t xml:space="preserve">of sale of land </w:t>
      </w:r>
      <w:r w:rsidRPr="00387562">
        <w:rPr>
          <w:rFonts w:ascii="Bookman Old Style" w:hAnsi="Bookman Old Style"/>
          <w:szCs w:val="24"/>
        </w:rPr>
        <w:t>dispenses with the former practice of the purchaser d</w:t>
      </w:r>
      <w:r w:rsidR="004A17E5">
        <w:rPr>
          <w:rFonts w:ascii="Bookman Old Style" w:hAnsi="Bookman Old Style"/>
          <w:szCs w:val="24"/>
        </w:rPr>
        <w:t>elivering requisitions on title</w:t>
      </w:r>
      <w:r w:rsidRPr="00387562">
        <w:rPr>
          <w:rFonts w:ascii="Bookman Old Style" w:hAnsi="Bookman Old Style"/>
          <w:szCs w:val="24"/>
        </w:rPr>
        <w:t xml:space="preserve"> and substitutes contractual warranties on the part of the vendor. In these circumstances, title is normally not accepted by the purchaser until completion. The purchaser may, of course, indicate acceptance of title at an earlier point in time. A form commonly employed by vendors when seeking a release of the deposit under s 27 includes a statement to the effect that the purchaser has accepted title. </w:t>
      </w:r>
    </w:p>
    <w:p w:rsidR="00DC2128" w:rsidRDefault="00DC2128" w:rsidP="00E14212">
      <w:pPr>
        <w:spacing w:line="360" w:lineRule="auto"/>
        <w:rPr>
          <w:rFonts w:ascii="Bookman Old Style" w:hAnsi="Bookman Old Style"/>
          <w:szCs w:val="24"/>
        </w:rPr>
      </w:pPr>
    </w:p>
    <w:p w:rsidR="00387562" w:rsidRPr="00387562" w:rsidRDefault="00387562" w:rsidP="00E14212">
      <w:pPr>
        <w:spacing w:line="360" w:lineRule="auto"/>
        <w:rPr>
          <w:rFonts w:ascii="Bookman Old Style" w:hAnsi="Bookman Old Style"/>
          <w:szCs w:val="24"/>
        </w:rPr>
      </w:pPr>
      <w:r w:rsidRPr="00387562">
        <w:rPr>
          <w:rFonts w:ascii="Bookman Old Style" w:hAnsi="Bookman Old Style"/>
          <w:szCs w:val="24"/>
        </w:rPr>
        <w:t xml:space="preserve">Whilst s 27(5) effectively deems acceptance of title where the purchaser gives notice under s 27(4), the position is otherwise where no notice under s 27(4) is given and it is sought to rely upon s 27(7) for having the deposit released. </w:t>
      </w:r>
    </w:p>
    <w:p w:rsidR="00387562" w:rsidRPr="00387562" w:rsidRDefault="00387562" w:rsidP="00E14212">
      <w:pPr>
        <w:spacing w:line="360" w:lineRule="auto"/>
        <w:rPr>
          <w:rFonts w:ascii="Bookman Old Style" w:hAnsi="Bookman Old Style"/>
          <w:szCs w:val="24"/>
        </w:rPr>
      </w:pPr>
      <w:r w:rsidRPr="00387562">
        <w:rPr>
          <w:rFonts w:ascii="Bookman Old Style" w:hAnsi="Bookman Old Style"/>
          <w:szCs w:val="24"/>
        </w:rPr>
        <w:t xml:space="preserve">Unlike subsection (5), subsection (7) does not deem the purchaser to have accepted title or deem the contact to be one that does not contain any condition enuring for the benefit of the purchaser, as it refers only to the </w:t>
      </w:r>
      <w:r w:rsidRPr="00387562">
        <w:rPr>
          <w:rFonts w:ascii="Bookman Old Style" w:hAnsi="Bookman Old Style"/>
          <w:szCs w:val="24"/>
        </w:rPr>
        <w:lastRenderedPageBreak/>
        <w:t xml:space="preserve">authorisation required by sub-section (1) rather than by subsections (1), (2) and (3). In consequence, there </w:t>
      </w:r>
      <w:r>
        <w:rPr>
          <w:rFonts w:ascii="Bookman Old Style" w:hAnsi="Bookman Old Style"/>
          <w:szCs w:val="24"/>
        </w:rPr>
        <w:t>is</w:t>
      </w:r>
      <w:r w:rsidRPr="00387562">
        <w:rPr>
          <w:rFonts w:ascii="Bookman Old Style" w:hAnsi="Bookman Old Style"/>
          <w:szCs w:val="24"/>
        </w:rPr>
        <w:t xml:space="preserve"> some doubt as to a stakeholder’s entitlement to release the deposit to the vendor in reliance upon s 27(7), as acceptance of title normally does not occur until settlement where requisitions on title have been dispensed with.</w:t>
      </w:r>
    </w:p>
    <w:p w:rsidR="00D74DF3" w:rsidRDefault="00D74DF3" w:rsidP="00D74DF3">
      <w:pPr>
        <w:spacing w:line="360" w:lineRule="auto"/>
        <w:rPr>
          <w:rFonts w:ascii="Bookman Old Style" w:hAnsi="Bookman Old Style"/>
          <w:color w:val="231F20"/>
          <w:sz w:val="22"/>
          <w:szCs w:val="22"/>
        </w:rPr>
      </w:pPr>
    </w:p>
    <w:p w:rsidR="00387562" w:rsidRDefault="006E733E" w:rsidP="00DC2128">
      <w:pPr>
        <w:spacing w:line="360" w:lineRule="auto"/>
        <w:rPr>
          <w:rFonts w:ascii="Bookman Old Style" w:hAnsi="Bookman Old Style"/>
          <w:szCs w:val="24"/>
        </w:rPr>
      </w:pPr>
      <w:r>
        <w:rPr>
          <w:rFonts w:ascii="Bookman Old Style" w:hAnsi="Bookman Old Style"/>
          <w:szCs w:val="24"/>
        </w:rPr>
        <w:t xml:space="preserve">A </w:t>
      </w:r>
      <w:r w:rsidR="00815C89">
        <w:rPr>
          <w:rFonts w:ascii="Bookman Old Style" w:hAnsi="Bookman Old Style"/>
          <w:szCs w:val="24"/>
        </w:rPr>
        <w:t xml:space="preserve">suitable </w:t>
      </w:r>
      <w:r>
        <w:rPr>
          <w:rFonts w:ascii="Bookman Old Style" w:hAnsi="Bookman Old Style"/>
          <w:szCs w:val="24"/>
        </w:rPr>
        <w:t xml:space="preserve">solution </w:t>
      </w:r>
      <w:r w:rsidR="00DC2128">
        <w:rPr>
          <w:rFonts w:ascii="Bookman Old Style" w:hAnsi="Bookman Old Style"/>
          <w:szCs w:val="24"/>
        </w:rPr>
        <w:t>would be</w:t>
      </w:r>
      <w:r>
        <w:rPr>
          <w:rFonts w:ascii="Bookman Old Style" w:hAnsi="Bookman Old Style"/>
          <w:szCs w:val="24"/>
        </w:rPr>
        <w:t xml:space="preserve"> to replace </w:t>
      </w:r>
      <w:r w:rsidR="00DC2128">
        <w:rPr>
          <w:rFonts w:ascii="Bookman Old Style" w:hAnsi="Bookman Old Style"/>
          <w:szCs w:val="24"/>
        </w:rPr>
        <w:t xml:space="preserve">the present </w:t>
      </w:r>
      <w:r>
        <w:rPr>
          <w:rFonts w:ascii="Bookman Old Style" w:hAnsi="Bookman Old Style"/>
          <w:szCs w:val="24"/>
        </w:rPr>
        <w:t xml:space="preserve">section 27(2)(b) </w:t>
      </w:r>
      <w:r w:rsidR="00815C89">
        <w:rPr>
          <w:rFonts w:ascii="Bookman Old Style" w:hAnsi="Bookman Old Style"/>
          <w:szCs w:val="24"/>
        </w:rPr>
        <w:t xml:space="preserve">with the </w:t>
      </w:r>
      <w:r>
        <w:rPr>
          <w:rFonts w:ascii="Bookman Old Style" w:hAnsi="Bookman Old Style"/>
          <w:szCs w:val="24"/>
        </w:rPr>
        <w:t>follow</w:t>
      </w:r>
      <w:r w:rsidR="00815C89">
        <w:rPr>
          <w:rFonts w:ascii="Bookman Old Style" w:hAnsi="Bookman Old Style"/>
          <w:szCs w:val="24"/>
        </w:rPr>
        <w:t>ing</w:t>
      </w:r>
      <w:r>
        <w:rPr>
          <w:rFonts w:ascii="Bookman Old Style" w:hAnsi="Bookman Old Style"/>
          <w:szCs w:val="24"/>
        </w:rPr>
        <w:t>:</w:t>
      </w:r>
    </w:p>
    <w:p w:rsidR="006E733E" w:rsidRDefault="006E733E" w:rsidP="00E14212">
      <w:pPr>
        <w:rPr>
          <w:rFonts w:ascii="Bookman Old Style" w:hAnsi="Bookman Old Style"/>
          <w:szCs w:val="24"/>
        </w:rPr>
      </w:pPr>
    </w:p>
    <w:p w:rsidR="00C7228A" w:rsidRDefault="006E733E">
      <w:pPr>
        <w:ind w:left="720" w:hanging="720"/>
        <w:rPr>
          <w:rFonts w:ascii="Bookman Old Style" w:hAnsi="Bookman Old Style"/>
          <w:sz w:val="22"/>
          <w:szCs w:val="22"/>
        </w:rPr>
      </w:pPr>
      <w:r>
        <w:rPr>
          <w:rFonts w:ascii="Bookman Old Style" w:hAnsi="Bookman Old Style"/>
          <w:sz w:val="22"/>
          <w:szCs w:val="22"/>
        </w:rPr>
        <w:t>(b)</w:t>
      </w:r>
      <w:r>
        <w:rPr>
          <w:rFonts w:ascii="Bookman Old Style" w:hAnsi="Bookman Old Style"/>
          <w:sz w:val="22"/>
          <w:szCs w:val="22"/>
        </w:rPr>
        <w:tab/>
        <w:t xml:space="preserve">where the purchaser has accepted title </w:t>
      </w:r>
      <w:r w:rsidR="00591A6E">
        <w:rPr>
          <w:rFonts w:ascii="Bookman Old Style" w:hAnsi="Bookman Old Style"/>
          <w:sz w:val="22"/>
          <w:szCs w:val="22"/>
        </w:rPr>
        <w:t>or has not given prior notice of an objection to title that remains unsatisfied.</w:t>
      </w:r>
    </w:p>
    <w:p w:rsidR="00C7228A" w:rsidRDefault="00C7228A">
      <w:pPr>
        <w:ind w:left="720" w:hanging="720"/>
        <w:rPr>
          <w:rFonts w:ascii="Bookman Old Style" w:hAnsi="Bookman Old Style"/>
          <w:sz w:val="22"/>
          <w:szCs w:val="22"/>
        </w:rPr>
      </w:pPr>
    </w:p>
    <w:p w:rsidR="00DC2128" w:rsidRDefault="00DC2128" w:rsidP="00DC2128">
      <w:pPr>
        <w:spacing w:line="360" w:lineRule="auto"/>
        <w:rPr>
          <w:rFonts w:ascii="Bookman Old Style" w:hAnsi="Bookman Old Style"/>
          <w:szCs w:val="24"/>
        </w:rPr>
      </w:pPr>
    </w:p>
    <w:p w:rsidR="000A134C" w:rsidRDefault="00591A6E" w:rsidP="00DC2128">
      <w:pPr>
        <w:spacing w:line="360" w:lineRule="auto"/>
        <w:rPr>
          <w:rFonts w:ascii="Bookman Old Style" w:hAnsi="Bookman Old Style"/>
          <w:szCs w:val="24"/>
        </w:rPr>
      </w:pPr>
      <w:r>
        <w:rPr>
          <w:rFonts w:ascii="Bookman Old Style" w:hAnsi="Bookman Old Style"/>
          <w:szCs w:val="24"/>
        </w:rPr>
        <w:t xml:space="preserve">This reflects the </w:t>
      </w:r>
      <w:r w:rsidR="00815C89">
        <w:rPr>
          <w:rFonts w:ascii="Bookman Old Style" w:hAnsi="Bookman Old Style"/>
          <w:szCs w:val="24"/>
        </w:rPr>
        <w:t>current</w:t>
      </w:r>
      <w:r>
        <w:rPr>
          <w:rFonts w:ascii="Bookman Old Style" w:hAnsi="Bookman Old Style"/>
          <w:szCs w:val="24"/>
        </w:rPr>
        <w:t xml:space="preserve"> standard form of contract, which contains no conditions deeming title to have been accepted at any time before completion.</w:t>
      </w:r>
      <w:r w:rsidR="007F00B2">
        <w:rPr>
          <w:rFonts w:ascii="Bookman Old Style" w:hAnsi="Bookman Old Style"/>
          <w:szCs w:val="24"/>
        </w:rPr>
        <w:t xml:space="preserve">  The existing form of s</w:t>
      </w:r>
      <w:r w:rsidR="00815C89">
        <w:rPr>
          <w:rFonts w:ascii="Bookman Old Style" w:hAnsi="Bookman Old Style"/>
          <w:szCs w:val="24"/>
        </w:rPr>
        <w:t xml:space="preserve"> </w:t>
      </w:r>
      <w:r w:rsidR="007F00B2">
        <w:rPr>
          <w:rFonts w:ascii="Bookman Old Style" w:hAnsi="Bookman Old Style"/>
          <w:szCs w:val="24"/>
        </w:rPr>
        <w:t xml:space="preserve">27(2)(b) presupposes the existence of conditions that were in the old Table A of </w:t>
      </w:r>
      <w:r w:rsidR="00815C89">
        <w:rPr>
          <w:rFonts w:ascii="Bookman Old Style" w:hAnsi="Bookman Old Style"/>
          <w:szCs w:val="24"/>
        </w:rPr>
        <w:t xml:space="preserve">the Seventh Schedule to </w:t>
      </w:r>
      <w:r w:rsidR="007F00B2">
        <w:rPr>
          <w:rFonts w:ascii="Bookman Old Style" w:hAnsi="Bookman Old Style"/>
          <w:szCs w:val="24"/>
        </w:rPr>
        <w:t xml:space="preserve">the </w:t>
      </w:r>
      <w:r w:rsidR="00D74DF3" w:rsidRPr="00D74DF3">
        <w:rPr>
          <w:rFonts w:ascii="Bookman Old Style" w:hAnsi="Bookman Old Style"/>
          <w:i/>
          <w:szCs w:val="24"/>
        </w:rPr>
        <w:t>Transfer of Land Act</w:t>
      </w:r>
      <w:r w:rsidR="007F00B2">
        <w:rPr>
          <w:rFonts w:ascii="Bookman Old Style" w:hAnsi="Bookman Old Style"/>
          <w:szCs w:val="24"/>
        </w:rPr>
        <w:t xml:space="preserve"> </w:t>
      </w:r>
      <w:r w:rsidR="00815C89" w:rsidRPr="00DC2128">
        <w:rPr>
          <w:rFonts w:ascii="Bookman Old Style" w:hAnsi="Bookman Old Style"/>
          <w:i/>
          <w:szCs w:val="24"/>
        </w:rPr>
        <w:t>1958</w:t>
      </w:r>
      <w:r w:rsidR="00815C89">
        <w:rPr>
          <w:rFonts w:ascii="Bookman Old Style" w:hAnsi="Bookman Old Style"/>
          <w:szCs w:val="24"/>
        </w:rPr>
        <w:t xml:space="preserve"> </w:t>
      </w:r>
      <w:r w:rsidR="007F00B2">
        <w:rPr>
          <w:rFonts w:ascii="Bookman Old Style" w:hAnsi="Bookman Old Style"/>
          <w:szCs w:val="24"/>
        </w:rPr>
        <w:t xml:space="preserve">which deemed title to be accepted before completion in certain circumstances.  Those conditions are now repealed and no longer apply </w:t>
      </w:r>
      <w:r w:rsidR="00DC2128">
        <w:rPr>
          <w:rFonts w:ascii="Bookman Old Style" w:hAnsi="Bookman Old Style"/>
          <w:szCs w:val="24"/>
        </w:rPr>
        <w:t>to</w:t>
      </w:r>
      <w:r w:rsidR="007F00B2">
        <w:rPr>
          <w:rFonts w:ascii="Bookman Old Style" w:hAnsi="Bookman Old Style"/>
          <w:szCs w:val="24"/>
        </w:rPr>
        <w:t xml:space="preserve"> sales of land</w:t>
      </w:r>
      <w:r w:rsidR="00815C89">
        <w:rPr>
          <w:rFonts w:ascii="Bookman Old Style" w:hAnsi="Bookman Old Style"/>
          <w:szCs w:val="24"/>
        </w:rPr>
        <w:t xml:space="preserve"> under the present standard form contract</w:t>
      </w:r>
      <w:r w:rsidR="007F00B2">
        <w:rPr>
          <w:rFonts w:ascii="Bookman Old Style" w:hAnsi="Bookman Old Style"/>
          <w:szCs w:val="24"/>
        </w:rPr>
        <w:t>.</w:t>
      </w:r>
    </w:p>
    <w:p w:rsidR="000A134C" w:rsidRDefault="000A134C">
      <w:pPr>
        <w:rPr>
          <w:rFonts w:ascii="Bookman Old Style" w:hAnsi="Bookman Old Style"/>
          <w:szCs w:val="24"/>
        </w:rPr>
      </w:pPr>
    </w:p>
    <w:p w:rsidR="00387562" w:rsidRPr="00E14212" w:rsidRDefault="00E14212" w:rsidP="00E14212">
      <w:pPr>
        <w:rPr>
          <w:rFonts w:ascii="Bookman Old Style" w:hAnsi="Bookman Old Style"/>
          <w:b/>
          <w:i/>
          <w:szCs w:val="24"/>
        </w:rPr>
      </w:pPr>
      <w:r w:rsidRPr="00E14212">
        <w:rPr>
          <w:rFonts w:ascii="Bookman Old Style" w:hAnsi="Bookman Old Style"/>
          <w:b/>
          <w:i/>
          <w:szCs w:val="24"/>
        </w:rPr>
        <w:t xml:space="preserve">2. </w:t>
      </w:r>
      <w:r w:rsidR="00394BB4">
        <w:rPr>
          <w:rFonts w:ascii="Bookman Old Style" w:hAnsi="Bookman Old Style"/>
          <w:b/>
          <w:i/>
          <w:szCs w:val="24"/>
        </w:rPr>
        <w:t>Early deposit release – Foreign resident capital gains withholding - s</w:t>
      </w:r>
      <w:r w:rsidR="004845EF" w:rsidRPr="00E14212">
        <w:rPr>
          <w:rFonts w:ascii="Bookman Old Style" w:hAnsi="Bookman Old Style"/>
          <w:b/>
          <w:i/>
          <w:szCs w:val="24"/>
        </w:rPr>
        <w:t>ection 27</w:t>
      </w:r>
    </w:p>
    <w:p w:rsidR="004845EF" w:rsidRDefault="004845EF" w:rsidP="00E14212">
      <w:pPr>
        <w:rPr>
          <w:rFonts w:ascii="Bookman Old Style" w:hAnsi="Bookman Old Style"/>
          <w:szCs w:val="24"/>
        </w:rPr>
      </w:pPr>
    </w:p>
    <w:p w:rsidR="004845EF" w:rsidRPr="004845EF" w:rsidRDefault="004845EF" w:rsidP="00E14212">
      <w:pPr>
        <w:spacing w:line="360" w:lineRule="auto"/>
        <w:rPr>
          <w:rFonts w:ascii="Bookman Old Style" w:hAnsi="Bookman Old Style"/>
          <w:szCs w:val="24"/>
        </w:rPr>
      </w:pPr>
      <w:r w:rsidRPr="004845EF">
        <w:rPr>
          <w:rFonts w:ascii="Bookman Old Style" w:hAnsi="Bookman Old Style"/>
          <w:szCs w:val="24"/>
        </w:rPr>
        <w:t xml:space="preserve">The </w:t>
      </w:r>
      <w:r w:rsidRPr="004845EF">
        <w:rPr>
          <w:rFonts w:ascii="Bookman Old Style" w:hAnsi="Bookman Old Style"/>
          <w:i/>
          <w:szCs w:val="24"/>
        </w:rPr>
        <w:t xml:space="preserve">Tax and Superannuation Laws Amendment (2015 Measures No.6) Act 2015 (Cth) </w:t>
      </w:r>
      <w:r w:rsidRPr="004845EF">
        <w:rPr>
          <w:rFonts w:ascii="Bookman Old Style" w:hAnsi="Bookman Old Style"/>
          <w:szCs w:val="24"/>
        </w:rPr>
        <w:t>relevantly includes Schedule 2</w:t>
      </w:r>
      <w:r w:rsidR="004A17E5">
        <w:rPr>
          <w:rFonts w:ascii="Bookman Old Style" w:hAnsi="Bookman Old Style"/>
          <w:szCs w:val="24"/>
        </w:rPr>
        <w:t xml:space="preserve"> - </w:t>
      </w:r>
      <w:r w:rsidRPr="004845EF">
        <w:rPr>
          <w:rFonts w:ascii="Bookman Old Style" w:hAnsi="Bookman Old Style"/>
          <w:szCs w:val="24"/>
        </w:rPr>
        <w:t xml:space="preserve">Foreign resident capital gains withholding payments. The legislation adds a new Subdivision 14-D of Schedule 1 to the </w:t>
      </w:r>
      <w:r w:rsidRPr="004845EF">
        <w:rPr>
          <w:rFonts w:ascii="Bookman Old Style" w:hAnsi="Bookman Old Style"/>
          <w:i/>
          <w:szCs w:val="24"/>
        </w:rPr>
        <w:t>Taxation Administration Act 1953 (Cth)</w:t>
      </w:r>
      <w:r w:rsidR="004A17E5">
        <w:rPr>
          <w:rFonts w:ascii="Bookman Old Style" w:hAnsi="Bookman Old Style"/>
          <w:i/>
          <w:szCs w:val="24"/>
        </w:rPr>
        <w:t xml:space="preserve"> </w:t>
      </w:r>
      <w:r w:rsidR="004A17E5">
        <w:rPr>
          <w:rFonts w:ascii="Bookman Old Style" w:hAnsi="Bookman Old Style"/>
          <w:szCs w:val="24"/>
        </w:rPr>
        <w:t>(TAA)</w:t>
      </w:r>
      <w:r w:rsidRPr="004845EF">
        <w:rPr>
          <w:rFonts w:ascii="Bookman Old Style" w:hAnsi="Bookman Old Style"/>
          <w:i/>
          <w:szCs w:val="24"/>
        </w:rPr>
        <w:t>.</w:t>
      </w:r>
      <w:r w:rsidRPr="004845EF">
        <w:rPr>
          <w:rFonts w:ascii="Bookman Old Style" w:hAnsi="Bookman Old Style"/>
          <w:szCs w:val="24"/>
        </w:rPr>
        <w:t xml:space="preserve"> </w:t>
      </w:r>
    </w:p>
    <w:p w:rsidR="004845EF" w:rsidRPr="004845EF" w:rsidRDefault="004845EF" w:rsidP="00E14212">
      <w:pPr>
        <w:pStyle w:val="BodyText"/>
        <w:spacing w:line="360" w:lineRule="auto"/>
        <w:ind w:left="0"/>
        <w:rPr>
          <w:rFonts w:ascii="Bookman Old Style" w:hAnsi="Bookman Old Style"/>
          <w:sz w:val="24"/>
          <w:szCs w:val="24"/>
        </w:rPr>
      </w:pPr>
      <w:r w:rsidRPr="004845EF">
        <w:rPr>
          <w:rFonts w:ascii="Bookman Old Style" w:hAnsi="Bookman Old Style"/>
          <w:sz w:val="24"/>
          <w:szCs w:val="24"/>
        </w:rPr>
        <w:t xml:space="preserve"> </w:t>
      </w:r>
    </w:p>
    <w:p w:rsidR="00CA3DF8" w:rsidRDefault="004845EF" w:rsidP="00E14212">
      <w:pPr>
        <w:spacing w:line="360" w:lineRule="auto"/>
        <w:rPr>
          <w:rFonts w:ascii="Bookman Old Style" w:hAnsi="Bookman Old Style"/>
          <w:szCs w:val="24"/>
        </w:rPr>
      </w:pPr>
      <w:r>
        <w:rPr>
          <w:rFonts w:ascii="Bookman Old Style" w:hAnsi="Bookman Old Style"/>
          <w:szCs w:val="24"/>
        </w:rPr>
        <w:t xml:space="preserve">Broadly speaking, the legislation requires purchasers of land </w:t>
      </w:r>
      <w:r w:rsidR="001F4CDC">
        <w:rPr>
          <w:rFonts w:ascii="Bookman Old Style" w:hAnsi="Bookman Old Style"/>
          <w:szCs w:val="24"/>
        </w:rPr>
        <w:t xml:space="preserve">under a contract entered into o or after 1 July 2016 </w:t>
      </w:r>
      <w:r>
        <w:rPr>
          <w:rFonts w:ascii="Bookman Old Style" w:hAnsi="Bookman Old Style"/>
          <w:szCs w:val="24"/>
        </w:rPr>
        <w:t xml:space="preserve">at a price of $2 million or </w:t>
      </w:r>
      <w:r w:rsidR="00DC2128">
        <w:rPr>
          <w:rFonts w:ascii="Bookman Old Style" w:hAnsi="Bookman Old Style"/>
          <w:szCs w:val="24"/>
        </w:rPr>
        <w:t>more</w:t>
      </w:r>
      <w:r>
        <w:rPr>
          <w:rFonts w:ascii="Bookman Old Style" w:hAnsi="Bookman Old Style"/>
          <w:szCs w:val="24"/>
        </w:rPr>
        <w:t xml:space="preserve"> to </w:t>
      </w:r>
      <w:r w:rsidR="00AE0EB1">
        <w:rPr>
          <w:rFonts w:ascii="Bookman Old Style" w:hAnsi="Bookman Old Style"/>
          <w:szCs w:val="24"/>
        </w:rPr>
        <w:t xml:space="preserve">pay </w:t>
      </w:r>
      <w:r>
        <w:rPr>
          <w:rFonts w:ascii="Bookman Old Style" w:hAnsi="Bookman Old Style"/>
          <w:szCs w:val="24"/>
        </w:rPr>
        <w:t xml:space="preserve">to the ATO </w:t>
      </w:r>
      <w:r w:rsidR="00AE0EB1">
        <w:rPr>
          <w:rFonts w:ascii="Bookman Old Style" w:hAnsi="Bookman Old Style"/>
          <w:szCs w:val="24"/>
        </w:rPr>
        <w:t xml:space="preserve">immediately after settlement </w:t>
      </w:r>
      <w:r w:rsidR="00CD4AFE">
        <w:rPr>
          <w:rFonts w:ascii="Bookman Old Style" w:hAnsi="Bookman Old Style"/>
          <w:szCs w:val="24"/>
        </w:rPr>
        <w:t>an amount equal to</w:t>
      </w:r>
      <w:r w:rsidRPr="004845EF">
        <w:rPr>
          <w:rFonts w:ascii="Bookman Old Style" w:hAnsi="Bookman Old Style"/>
          <w:szCs w:val="24"/>
        </w:rPr>
        <w:t xml:space="preserve"> 10% of the actual purchase price set out in the contract</w:t>
      </w:r>
      <w:r w:rsidR="001F4CDC">
        <w:rPr>
          <w:rFonts w:ascii="Bookman Old Style" w:hAnsi="Bookman Old Style"/>
          <w:szCs w:val="24"/>
        </w:rPr>
        <w:t xml:space="preserve"> (</w:t>
      </w:r>
      <w:r w:rsidRPr="004845EF">
        <w:rPr>
          <w:rFonts w:ascii="Bookman Old Style" w:hAnsi="Bookman Old Style"/>
          <w:szCs w:val="24"/>
        </w:rPr>
        <w:t>excluding any applicable GST for which the purchaser may claim an input credit</w:t>
      </w:r>
      <w:r w:rsidR="001F4CDC">
        <w:rPr>
          <w:rFonts w:ascii="Bookman Old Style" w:hAnsi="Bookman Old Style"/>
          <w:szCs w:val="24"/>
        </w:rPr>
        <w:t>)</w:t>
      </w:r>
      <w:r w:rsidRPr="004845EF">
        <w:rPr>
          <w:rFonts w:ascii="Bookman Old Style" w:hAnsi="Bookman Old Style"/>
          <w:szCs w:val="24"/>
        </w:rPr>
        <w:t xml:space="preserve"> or such other sum as is set out in a variation certificate issued by the </w:t>
      </w:r>
      <w:r w:rsidR="00CD4AFE">
        <w:rPr>
          <w:rFonts w:ascii="Bookman Old Style" w:hAnsi="Bookman Old Style"/>
          <w:szCs w:val="24"/>
        </w:rPr>
        <w:t>ATO</w:t>
      </w:r>
      <w:r w:rsidR="00CD4AFE">
        <w:rPr>
          <w:rFonts w:ascii="Bookman Old Style" w:hAnsi="Bookman Old Style"/>
          <w:i/>
          <w:szCs w:val="24"/>
        </w:rPr>
        <w:t xml:space="preserve">, </w:t>
      </w:r>
      <w:r w:rsidR="00CD4AFE">
        <w:rPr>
          <w:rFonts w:ascii="Bookman Old Style" w:hAnsi="Bookman Old Style"/>
          <w:szCs w:val="24"/>
        </w:rPr>
        <w:t>unless a clearance certificate in respect of the vendor issued by the ATO has been provided to the purchaser</w:t>
      </w:r>
      <w:r w:rsidRPr="004845EF">
        <w:rPr>
          <w:rFonts w:ascii="Bookman Old Style" w:hAnsi="Bookman Old Style"/>
          <w:szCs w:val="24"/>
        </w:rPr>
        <w:t xml:space="preserve">. </w:t>
      </w:r>
    </w:p>
    <w:p w:rsidR="00CA3DF8" w:rsidRDefault="00CA3DF8" w:rsidP="00E14212">
      <w:pPr>
        <w:spacing w:line="360" w:lineRule="auto"/>
        <w:rPr>
          <w:rFonts w:ascii="Bookman Old Style" w:hAnsi="Bookman Old Style"/>
          <w:szCs w:val="24"/>
        </w:rPr>
      </w:pPr>
    </w:p>
    <w:p w:rsidR="004845EF" w:rsidRDefault="00AE0EB1" w:rsidP="00E14212">
      <w:pPr>
        <w:spacing w:line="360" w:lineRule="auto"/>
        <w:rPr>
          <w:rFonts w:ascii="Bookman Old Style" w:hAnsi="Bookman Old Style"/>
          <w:szCs w:val="24"/>
        </w:rPr>
      </w:pPr>
      <w:r>
        <w:rPr>
          <w:rFonts w:ascii="Bookman Old Style" w:hAnsi="Bookman Old Style"/>
          <w:szCs w:val="24"/>
        </w:rPr>
        <w:t xml:space="preserve">The legislation discharges the purchaser from </w:t>
      </w:r>
      <w:r w:rsidR="00C55663">
        <w:rPr>
          <w:rFonts w:ascii="Bookman Old Style" w:hAnsi="Bookman Old Style"/>
          <w:szCs w:val="24"/>
        </w:rPr>
        <w:t>any</w:t>
      </w:r>
      <w:r>
        <w:rPr>
          <w:rFonts w:ascii="Bookman Old Style" w:hAnsi="Bookman Old Style"/>
          <w:szCs w:val="24"/>
        </w:rPr>
        <w:t xml:space="preserve"> contractual</w:t>
      </w:r>
      <w:r w:rsidR="00C55663">
        <w:rPr>
          <w:rFonts w:ascii="Bookman Old Style" w:hAnsi="Bookman Old Style"/>
          <w:szCs w:val="24"/>
        </w:rPr>
        <w:t xml:space="preserve"> liability</w:t>
      </w:r>
      <w:r w:rsidR="00CA3DF8">
        <w:rPr>
          <w:rFonts w:ascii="Bookman Old Style" w:hAnsi="Bookman Old Style"/>
          <w:szCs w:val="24"/>
        </w:rPr>
        <w:t>, so that</w:t>
      </w:r>
      <w:r w:rsidR="00C55663">
        <w:rPr>
          <w:rFonts w:ascii="Bookman Old Style" w:hAnsi="Bookman Old Style"/>
          <w:szCs w:val="24"/>
        </w:rPr>
        <w:t xml:space="preserve"> a purchaser is entitled to deduct the relevant amount at settlement</w:t>
      </w:r>
      <w:r w:rsidR="00DC2128">
        <w:rPr>
          <w:rFonts w:ascii="Bookman Old Style" w:hAnsi="Bookman Old Style"/>
          <w:szCs w:val="24"/>
        </w:rPr>
        <w:t xml:space="preserve"> of the sale</w:t>
      </w:r>
      <w:r w:rsidR="00C55663">
        <w:rPr>
          <w:rFonts w:ascii="Bookman Old Style" w:hAnsi="Bookman Old Style"/>
          <w:szCs w:val="24"/>
        </w:rPr>
        <w:t xml:space="preserve">.   </w:t>
      </w:r>
    </w:p>
    <w:p w:rsidR="00CA3DF8" w:rsidRDefault="00CA3DF8" w:rsidP="00E14212">
      <w:pPr>
        <w:spacing w:line="360" w:lineRule="auto"/>
        <w:rPr>
          <w:rFonts w:ascii="Bookman Old Style" w:hAnsi="Bookman Old Style"/>
          <w:szCs w:val="24"/>
        </w:rPr>
      </w:pPr>
    </w:p>
    <w:p w:rsidR="00F14443" w:rsidRDefault="00F14443" w:rsidP="00E14212">
      <w:pPr>
        <w:spacing w:line="360" w:lineRule="auto"/>
        <w:rPr>
          <w:rFonts w:ascii="Bookman Old Style" w:hAnsi="Bookman Old Style"/>
          <w:szCs w:val="24"/>
        </w:rPr>
      </w:pPr>
      <w:r>
        <w:rPr>
          <w:rFonts w:ascii="Bookman Old Style" w:hAnsi="Bookman Old Style"/>
          <w:szCs w:val="24"/>
        </w:rPr>
        <w:t xml:space="preserve">The </w:t>
      </w:r>
      <w:r w:rsidR="00CA3DF8">
        <w:rPr>
          <w:rFonts w:ascii="Bookman Old Style" w:hAnsi="Bookman Old Style"/>
          <w:szCs w:val="24"/>
        </w:rPr>
        <w:t xml:space="preserve">difficulty </w:t>
      </w:r>
      <w:r>
        <w:rPr>
          <w:rFonts w:ascii="Bookman Old Style" w:hAnsi="Bookman Old Style"/>
          <w:szCs w:val="24"/>
        </w:rPr>
        <w:t>is th</w:t>
      </w:r>
      <w:r w:rsidR="00CA3DF8">
        <w:rPr>
          <w:rFonts w:ascii="Bookman Old Style" w:hAnsi="Bookman Old Style"/>
          <w:szCs w:val="24"/>
        </w:rPr>
        <w:t xml:space="preserve">at at settlement under the contract there may be insufficient </w:t>
      </w:r>
      <w:r w:rsidR="001F4CDC">
        <w:rPr>
          <w:rFonts w:ascii="Bookman Old Style" w:hAnsi="Bookman Old Style"/>
          <w:szCs w:val="24"/>
        </w:rPr>
        <w:t>funds</w:t>
      </w:r>
      <w:r w:rsidR="00CA3DF8">
        <w:rPr>
          <w:rFonts w:ascii="Bookman Old Style" w:hAnsi="Bookman Old Style"/>
          <w:szCs w:val="24"/>
        </w:rPr>
        <w:t xml:space="preserve"> after allowing for a deduction of up to 10% o</w:t>
      </w:r>
      <w:r w:rsidR="001F4CDC">
        <w:rPr>
          <w:rFonts w:ascii="Bookman Old Style" w:hAnsi="Bookman Old Style"/>
          <w:szCs w:val="24"/>
        </w:rPr>
        <w:t>f the price pursuant to the TAA</w:t>
      </w:r>
      <w:r w:rsidR="00CA3DF8">
        <w:rPr>
          <w:rFonts w:ascii="Bookman Old Style" w:hAnsi="Bookman Old Style"/>
          <w:szCs w:val="24"/>
        </w:rPr>
        <w:t xml:space="preserve"> to discharge all mortgages affecting the land, resulting in the vendor being unable to settle and the contract falling over. In those circumstances the purchaser should be entitled to have the deposit refunded. But what if the deposit has previously been released </w:t>
      </w:r>
      <w:r w:rsidR="00DC2128">
        <w:rPr>
          <w:rFonts w:ascii="Bookman Old Style" w:hAnsi="Bookman Old Style"/>
          <w:szCs w:val="24"/>
        </w:rPr>
        <w:t xml:space="preserve">pursuant to s 27 </w:t>
      </w:r>
      <w:r w:rsidR="00CA3DF8">
        <w:rPr>
          <w:rFonts w:ascii="Bookman Old Style" w:hAnsi="Bookman Old Style"/>
          <w:szCs w:val="24"/>
        </w:rPr>
        <w:t>and the vendor no longer has the funds?</w:t>
      </w:r>
    </w:p>
    <w:p w:rsidR="00CA3DF8" w:rsidRDefault="00CA3DF8" w:rsidP="00E14212">
      <w:pPr>
        <w:spacing w:line="360" w:lineRule="auto"/>
        <w:rPr>
          <w:rFonts w:ascii="Bookman Old Style" w:hAnsi="Bookman Old Style"/>
          <w:szCs w:val="24"/>
        </w:rPr>
      </w:pPr>
    </w:p>
    <w:p w:rsidR="00CA3DF8" w:rsidRDefault="00CA3DF8" w:rsidP="00E14212">
      <w:pPr>
        <w:spacing w:line="360" w:lineRule="auto"/>
        <w:rPr>
          <w:rFonts w:ascii="Bookman Old Style" w:hAnsi="Bookman Old Style"/>
          <w:szCs w:val="24"/>
        </w:rPr>
      </w:pPr>
      <w:r>
        <w:rPr>
          <w:rFonts w:ascii="Bookman Old Style" w:hAnsi="Bookman Old Style"/>
          <w:szCs w:val="24"/>
        </w:rPr>
        <w:t xml:space="preserve">It is </w:t>
      </w:r>
      <w:r w:rsidR="00F14443">
        <w:rPr>
          <w:rFonts w:ascii="Bookman Old Style" w:hAnsi="Bookman Old Style"/>
          <w:szCs w:val="24"/>
        </w:rPr>
        <w:t xml:space="preserve">proposed </w:t>
      </w:r>
      <w:r>
        <w:rPr>
          <w:rFonts w:ascii="Bookman Old Style" w:hAnsi="Bookman Old Style"/>
          <w:szCs w:val="24"/>
        </w:rPr>
        <w:t xml:space="preserve">that s 27 be amended to allow the </w:t>
      </w:r>
      <w:r w:rsidR="001F4CDC">
        <w:rPr>
          <w:rFonts w:ascii="Bookman Old Style" w:hAnsi="Bookman Old Style"/>
          <w:szCs w:val="24"/>
        </w:rPr>
        <w:t xml:space="preserve">potential </w:t>
      </w:r>
      <w:r w:rsidR="004A17E5">
        <w:rPr>
          <w:rFonts w:ascii="Bookman Old Style" w:hAnsi="Bookman Old Style"/>
          <w:szCs w:val="24"/>
        </w:rPr>
        <w:t xml:space="preserve">TAA </w:t>
      </w:r>
      <w:r>
        <w:rPr>
          <w:rFonts w:ascii="Bookman Old Style" w:hAnsi="Bookman Old Style"/>
          <w:szCs w:val="24"/>
        </w:rPr>
        <w:t>withholding amount to be factored into account</w:t>
      </w:r>
      <w:r w:rsidR="004A17E5">
        <w:rPr>
          <w:rFonts w:ascii="Bookman Old Style" w:hAnsi="Bookman Old Style"/>
          <w:szCs w:val="24"/>
        </w:rPr>
        <w:t xml:space="preserve"> by a purchaser in deciding whether to </w:t>
      </w:r>
      <w:r w:rsidR="001F4CDC">
        <w:rPr>
          <w:rFonts w:ascii="Bookman Old Style" w:hAnsi="Bookman Old Style"/>
          <w:szCs w:val="24"/>
        </w:rPr>
        <w:t xml:space="preserve">allow a </w:t>
      </w:r>
      <w:r w:rsidR="004A17E5">
        <w:rPr>
          <w:rFonts w:ascii="Bookman Old Style" w:hAnsi="Bookman Old Style"/>
          <w:szCs w:val="24"/>
        </w:rPr>
        <w:t xml:space="preserve">release </w:t>
      </w:r>
      <w:r w:rsidR="001F4CDC">
        <w:rPr>
          <w:rFonts w:ascii="Bookman Old Style" w:hAnsi="Bookman Old Style"/>
          <w:szCs w:val="24"/>
        </w:rPr>
        <w:t xml:space="preserve">of </w:t>
      </w:r>
      <w:r w:rsidR="004A17E5">
        <w:rPr>
          <w:rFonts w:ascii="Bookman Old Style" w:hAnsi="Bookman Old Style"/>
          <w:szCs w:val="24"/>
        </w:rPr>
        <w:t xml:space="preserve">the deposit </w:t>
      </w:r>
      <w:r w:rsidR="001F4CDC">
        <w:rPr>
          <w:rFonts w:ascii="Bookman Old Style" w:hAnsi="Bookman Old Style"/>
          <w:szCs w:val="24"/>
        </w:rPr>
        <w:t xml:space="preserve">at an early date and </w:t>
      </w:r>
      <w:r w:rsidR="004A17E5">
        <w:rPr>
          <w:rFonts w:ascii="Bookman Old Style" w:hAnsi="Bookman Old Style"/>
          <w:szCs w:val="24"/>
        </w:rPr>
        <w:t xml:space="preserve">prior to </w:t>
      </w:r>
      <w:r w:rsidR="00815C89">
        <w:rPr>
          <w:rFonts w:ascii="Bookman Old Style" w:hAnsi="Bookman Old Style"/>
          <w:szCs w:val="24"/>
        </w:rPr>
        <w:t>s</w:t>
      </w:r>
      <w:r w:rsidR="004A17E5">
        <w:rPr>
          <w:rFonts w:ascii="Bookman Old Style" w:hAnsi="Bookman Old Style"/>
          <w:szCs w:val="24"/>
        </w:rPr>
        <w:t>ettlement</w:t>
      </w:r>
      <w:r>
        <w:rPr>
          <w:rFonts w:ascii="Bookman Old Style" w:hAnsi="Bookman Old Style"/>
          <w:szCs w:val="24"/>
        </w:rPr>
        <w:t xml:space="preserve">. </w:t>
      </w:r>
    </w:p>
    <w:p w:rsidR="00E14212" w:rsidRDefault="00E14212" w:rsidP="00E14212">
      <w:pPr>
        <w:spacing w:line="360" w:lineRule="auto"/>
        <w:rPr>
          <w:rFonts w:ascii="Bookman Old Style" w:hAnsi="Bookman Old Style"/>
          <w:szCs w:val="24"/>
        </w:rPr>
      </w:pPr>
    </w:p>
    <w:p w:rsidR="00F14443" w:rsidRPr="00387562" w:rsidRDefault="00CA3DF8" w:rsidP="00E14212">
      <w:pPr>
        <w:spacing w:line="360" w:lineRule="auto"/>
        <w:rPr>
          <w:rFonts w:ascii="Bookman Old Style" w:hAnsi="Bookman Old Style"/>
          <w:szCs w:val="24"/>
        </w:rPr>
      </w:pPr>
      <w:r>
        <w:rPr>
          <w:rFonts w:ascii="Bookman Old Style" w:hAnsi="Bookman Old Style"/>
          <w:szCs w:val="24"/>
        </w:rPr>
        <w:t xml:space="preserve">The suggested </w:t>
      </w:r>
      <w:r w:rsidR="00F14443">
        <w:rPr>
          <w:rFonts w:ascii="Bookman Old Style" w:hAnsi="Bookman Old Style"/>
          <w:szCs w:val="24"/>
        </w:rPr>
        <w:t>wording of a new sub-section (4A) is as follows:</w:t>
      </w:r>
    </w:p>
    <w:p w:rsidR="00F14443" w:rsidRPr="00F14443" w:rsidRDefault="00F14443" w:rsidP="00E14212">
      <w:pPr>
        <w:pStyle w:val="BodyText"/>
        <w:spacing w:line="254" w:lineRule="auto"/>
        <w:ind w:left="567" w:right="127" w:hanging="1221"/>
        <w:rPr>
          <w:rFonts w:ascii="Bookman Old Style" w:hAnsi="Bookman Old Style"/>
          <w:sz w:val="22"/>
          <w:szCs w:val="22"/>
        </w:rPr>
      </w:pPr>
      <w:r>
        <w:rPr>
          <w:rFonts w:ascii="Bookman Old Style" w:hAnsi="Bookman Old Style"/>
          <w:color w:val="231F20"/>
          <w:spacing w:val="1"/>
          <w:sz w:val="22"/>
          <w:szCs w:val="22"/>
        </w:rPr>
        <w:t xml:space="preserve">  </w:t>
      </w:r>
      <w:r w:rsidR="00E14212">
        <w:rPr>
          <w:rFonts w:ascii="Bookman Old Style" w:hAnsi="Bookman Old Style"/>
          <w:color w:val="231F20"/>
          <w:spacing w:val="1"/>
          <w:sz w:val="22"/>
          <w:szCs w:val="22"/>
        </w:rPr>
        <w:t xml:space="preserve">       </w:t>
      </w:r>
      <w:r>
        <w:rPr>
          <w:rFonts w:ascii="Bookman Old Style" w:hAnsi="Bookman Old Style"/>
          <w:color w:val="231F20"/>
          <w:spacing w:val="1"/>
          <w:sz w:val="22"/>
          <w:szCs w:val="22"/>
        </w:rPr>
        <w:t>(4A)  For the purpose of subsection (4</w:t>
      </w:r>
      <w:r w:rsidRPr="004845EF">
        <w:rPr>
          <w:rFonts w:ascii="Bookman Old Style" w:hAnsi="Bookman Old Style"/>
          <w:color w:val="231F20"/>
          <w:sz w:val="22"/>
          <w:szCs w:val="22"/>
        </w:rPr>
        <w:t>)</w:t>
      </w:r>
      <w:r>
        <w:rPr>
          <w:rFonts w:ascii="Bookman Old Style" w:hAnsi="Bookman Old Style"/>
          <w:color w:val="231F20"/>
          <w:sz w:val="22"/>
          <w:szCs w:val="22"/>
        </w:rPr>
        <w:t>, the purchase price is to be reduced by any amount payable by the purchaser under s 14-200 o</w:t>
      </w:r>
      <w:r w:rsidRPr="00F14443">
        <w:rPr>
          <w:rFonts w:ascii="Bookman Old Style" w:hAnsi="Bookman Old Style"/>
          <w:sz w:val="22"/>
          <w:szCs w:val="22"/>
        </w:rPr>
        <w:t xml:space="preserve">f Schedule 1 to the </w:t>
      </w:r>
      <w:r w:rsidRPr="00F14443">
        <w:rPr>
          <w:rFonts w:ascii="Bookman Old Style" w:hAnsi="Bookman Old Style"/>
          <w:i/>
          <w:sz w:val="22"/>
          <w:szCs w:val="22"/>
        </w:rPr>
        <w:t>Taxation Administration Act 1953 (Cth)</w:t>
      </w:r>
      <w:r w:rsidRPr="00F14443">
        <w:rPr>
          <w:rFonts w:ascii="Bookman Old Style" w:hAnsi="Bookman Old Style"/>
          <w:color w:val="231F20"/>
          <w:sz w:val="22"/>
          <w:szCs w:val="22"/>
        </w:rPr>
        <w:t>.</w:t>
      </w:r>
    </w:p>
    <w:p w:rsidR="00F14443" w:rsidRDefault="00F14443" w:rsidP="00E14212">
      <w:pPr>
        <w:spacing w:line="360" w:lineRule="auto"/>
        <w:rPr>
          <w:rFonts w:ascii="Bookman Old Style" w:hAnsi="Bookman Old Style"/>
          <w:szCs w:val="24"/>
        </w:rPr>
      </w:pPr>
    </w:p>
    <w:p w:rsidR="0056599F" w:rsidRDefault="0056599F" w:rsidP="00E14212">
      <w:pPr>
        <w:spacing w:line="360" w:lineRule="auto"/>
        <w:rPr>
          <w:rFonts w:ascii="Bookman Old Style" w:hAnsi="Bookman Old Style"/>
          <w:szCs w:val="24"/>
        </w:rPr>
      </w:pPr>
    </w:p>
    <w:p w:rsidR="00CD4AFE" w:rsidRPr="00E14212" w:rsidRDefault="00E14212" w:rsidP="00E14212">
      <w:pPr>
        <w:spacing w:line="360" w:lineRule="auto"/>
        <w:rPr>
          <w:rFonts w:ascii="Bookman Old Style" w:hAnsi="Bookman Old Style"/>
          <w:b/>
          <w:szCs w:val="24"/>
        </w:rPr>
      </w:pPr>
      <w:r w:rsidRPr="00E14212">
        <w:rPr>
          <w:rFonts w:ascii="Bookman Old Style" w:hAnsi="Bookman Old Style"/>
          <w:b/>
          <w:i/>
          <w:szCs w:val="24"/>
        </w:rPr>
        <w:t xml:space="preserve">3. </w:t>
      </w:r>
      <w:r w:rsidR="00394BB4">
        <w:rPr>
          <w:rFonts w:ascii="Bookman Old Style" w:hAnsi="Bookman Old Style"/>
          <w:b/>
          <w:i/>
          <w:szCs w:val="24"/>
        </w:rPr>
        <w:t>Cooling-off – service of notice - s</w:t>
      </w:r>
      <w:r w:rsidR="0056599F" w:rsidRPr="00E14212">
        <w:rPr>
          <w:rFonts w:ascii="Bookman Old Style" w:hAnsi="Bookman Old Style"/>
          <w:b/>
          <w:i/>
          <w:szCs w:val="24"/>
        </w:rPr>
        <w:t>ection 31</w:t>
      </w:r>
    </w:p>
    <w:p w:rsidR="00FF3189" w:rsidRDefault="00FF3189" w:rsidP="00E14212">
      <w:pPr>
        <w:spacing w:line="360" w:lineRule="auto"/>
        <w:rPr>
          <w:rFonts w:ascii="Bookman Old Style" w:hAnsi="Bookman Old Style"/>
          <w:szCs w:val="24"/>
        </w:rPr>
      </w:pPr>
      <w:r>
        <w:rPr>
          <w:rFonts w:ascii="Bookman Old Style" w:hAnsi="Bookman Old Style"/>
          <w:szCs w:val="24"/>
        </w:rPr>
        <w:t>Section 31(3) allows for a cooling-off notice to be given to the vendor or the vendor’s agent. One would assume Parliament had in mind, in enacting the provision in the early 1980s, that a purchaser could give the notice to anyone held out by the vendor as their agent, such as an estate agent in particular. After all, s 31 seems designed to give protection to purchasers of land who change their mind after signing a contract.</w:t>
      </w:r>
    </w:p>
    <w:p w:rsidR="00FF3189" w:rsidRDefault="00FF3189" w:rsidP="00E14212">
      <w:pPr>
        <w:spacing w:line="360" w:lineRule="auto"/>
        <w:rPr>
          <w:rFonts w:ascii="Bookman Old Style" w:hAnsi="Bookman Old Style"/>
          <w:szCs w:val="24"/>
        </w:rPr>
      </w:pPr>
    </w:p>
    <w:p w:rsidR="00CA3DF8" w:rsidRDefault="00FF3189" w:rsidP="00E14212">
      <w:pPr>
        <w:spacing w:line="360" w:lineRule="auto"/>
        <w:rPr>
          <w:rFonts w:ascii="Bookman Old Style" w:hAnsi="Bookman Old Style"/>
          <w:szCs w:val="24"/>
        </w:rPr>
      </w:pPr>
      <w:r>
        <w:rPr>
          <w:rFonts w:ascii="Bookman Old Style" w:hAnsi="Bookman Old Style"/>
          <w:szCs w:val="24"/>
        </w:rPr>
        <w:t>However, i</w:t>
      </w:r>
      <w:r w:rsidR="00CA3DF8">
        <w:rPr>
          <w:rFonts w:ascii="Bookman Old Style" w:hAnsi="Bookman Old Style"/>
          <w:szCs w:val="24"/>
        </w:rPr>
        <w:t xml:space="preserve">n </w:t>
      </w:r>
      <w:r w:rsidR="00CA3DF8" w:rsidRPr="00CA3DF8">
        <w:rPr>
          <w:rFonts w:ascii="Bookman Old Style" w:hAnsi="Bookman Old Style"/>
          <w:i/>
          <w:szCs w:val="24"/>
        </w:rPr>
        <w:t>Tan v Russell</w:t>
      </w:r>
      <w:r w:rsidR="00CA3DF8">
        <w:rPr>
          <w:rFonts w:ascii="Bookman Old Style" w:hAnsi="Bookman Old Style"/>
          <w:szCs w:val="24"/>
        </w:rPr>
        <w:t xml:space="preserve"> [2016] VSC </w:t>
      </w:r>
      <w:r w:rsidR="004A17E5">
        <w:rPr>
          <w:rFonts w:ascii="Bookman Old Style" w:hAnsi="Bookman Old Style"/>
          <w:szCs w:val="24"/>
        </w:rPr>
        <w:t>93</w:t>
      </w:r>
      <w:r w:rsidR="00CA3DF8">
        <w:rPr>
          <w:rFonts w:ascii="Bookman Old Style" w:hAnsi="Bookman Old Style"/>
          <w:szCs w:val="24"/>
        </w:rPr>
        <w:t xml:space="preserve"> it was effectively </w:t>
      </w:r>
      <w:r w:rsidR="004A17E5">
        <w:rPr>
          <w:rFonts w:ascii="Bookman Old Style" w:hAnsi="Bookman Old Style"/>
          <w:szCs w:val="24"/>
        </w:rPr>
        <w:t>determined</w:t>
      </w:r>
      <w:r w:rsidR="00CA3DF8">
        <w:rPr>
          <w:rFonts w:ascii="Bookman Old Style" w:hAnsi="Bookman Old Style"/>
          <w:szCs w:val="24"/>
        </w:rPr>
        <w:t xml:space="preserve"> that estate agents, legal practitioners and conveyancers are not authorised to accept a cooling-off notice</w:t>
      </w:r>
      <w:r w:rsidR="00DC2128">
        <w:rPr>
          <w:rFonts w:ascii="Bookman Old Style" w:hAnsi="Bookman Old Style"/>
          <w:szCs w:val="24"/>
        </w:rPr>
        <w:t xml:space="preserve"> under s 31</w:t>
      </w:r>
      <w:r w:rsidR="00CA3DF8">
        <w:rPr>
          <w:rFonts w:ascii="Bookman Old Style" w:hAnsi="Bookman Old Style"/>
          <w:szCs w:val="24"/>
        </w:rPr>
        <w:t xml:space="preserve">. </w:t>
      </w:r>
      <w:r>
        <w:rPr>
          <w:rFonts w:ascii="Bookman Old Style" w:hAnsi="Bookman Old Style"/>
          <w:szCs w:val="24"/>
        </w:rPr>
        <w:t>In the light of this case it seems that t</w:t>
      </w:r>
      <w:r w:rsidR="00CA3DF8">
        <w:rPr>
          <w:rFonts w:ascii="Bookman Old Style" w:hAnsi="Bookman Old Style"/>
          <w:szCs w:val="24"/>
        </w:rPr>
        <w:t xml:space="preserve">he only safe course for a purchaser </w:t>
      </w:r>
      <w:r>
        <w:rPr>
          <w:rFonts w:ascii="Bookman Old Style" w:hAnsi="Bookman Old Style"/>
          <w:szCs w:val="24"/>
        </w:rPr>
        <w:t xml:space="preserve">is </w:t>
      </w:r>
      <w:r w:rsidR="00CA3DF8">
        <w:rPr>
          <w:rFonts w:ascii="Bookman Old Style" w:hAnsi="Bookman Old Style"/>
          <w:szCs w:val="24"/>
        </w:rPr>
        <w:t>to give the notice directly to the vendor</w:t>
      </w:r>
      <w:r w:rsidR="004A17E5">
        <w:rPr>
          <w:rFonts w:ascii="Bookman Old Style" w:hAnsi="Bookman Old Style"/>
          <w:szCs w:val="24"/>
        </w:rPr>
        <w:t>.</w:t>
      </w:r>
    </w:p>
    <w:p w:rsidR="00DC2128" w:rsidRDefault="00DC2128" w:rsidP="00E14212">
      <w:pPr>
        <w:spacing w:line="360" w:lineRule="auto"/>
        <w:rPr>
          <w:rFonts w:ascii="Bookman Old Style" w:hAnsi="Bookman Old Style"/>
          <w:szCs w:val="24"/>
        </w:rPr>
      </w:pPr>
    </w:p>
    <w:p w:rsidR="004A17E5" w:rsidRDefault="00FF3189" w:rsidP="00E14212">
      <w:pPr>
        <w:spacing w:line="360" w:lineRule="auto"/>
        <w:rPr>
          <w:rFonts w:ascii="Bookman Old Style" w:hAnsi="Bookman Old Style"/>
          <w:szCs w:val="24"/>
        </w:rPr>
      </w:pPr>
      <w:r>
        <w:rPr>
          <w:rFonts w:ascii="Bookman Old Style" w:hAnsi="Bookman Old Style"/>
          <w:szCs w:val="24"/>
        </w:rPr>
        <w:t>Perhaps needless to say, i</w:t>
      </w:r>
      <w:r w:rsidR="00CA3DF8">
        <w:rPr>
          <w:rFonts w:ascii="Bookman Old Style" w:hAnsi="Bookman Old Style"/>
          <w:szCs w:val="24"/>
        </w:rPr>
        <w:t xml:space="preserve">t may be impracticable for a purchaser to seek out the vendor within the three business days allowed </w:t>
      </w:r>
      <w:r w:rsidR="004A17E5">
        <w:rPr>
          <w:rFonts w:ascii="Bookman Old Style" w:hAnsi="Bookman Old Style"/>
          <w:szCs w:val="24"/>
        </w:rPr>
        <w:t xml:space="preserve">by s 31 </w:t>
      </w:r>
      <w:r w:rsidR="00CA3DF8">
        <w:rPr>
          <w:rFonts w:ascii="Bookman Old Style" w:hAnsi="Bookman Old Style"/>
          <w:szCs w:val="24"/>
        </w:rPr>
        <w:t>for the purpose of giving the notice to the vendor directly</w:t>
      </w:r>
      <w:r w:rsidR="004A17E5">
        <w:rPr>
          <w:rFonts w:ascii="Bookman Old Style" w:hAnsi="Bookman Old Style"/>
          <w:szCs w:val="24"/>
        </w:rPr>
        <w:t>. The vendor may be interstate or overseas, for instance.</w:t>
      </w:r>
    </w:p>
    <w:p w:rsidR="00FF3189" w:rsidRDefault="00FF3189" w:rsidP="00E14212">
      <w:pPr>
        <w:spacing w:line="360" w:lineRule="auto"/>
        <w:rPr>
          <w:rFonts w:ascii="Bookman Old Style" w:hAnsi="Bookman Old Style"/>
          <w:szCs w:val="24"/>
        </w:rPr>
      </w:pPr>
    </w:p>
    <w:p w:rsidR="00FF3189" w:rsidRDefault="00C457AE" w:rsidP="00E14212">
      <w:pPr>
        <w:spacing w:line="360" w:lineRule="auto"/>
        <w:rPr>
          <w:rFonts w:ascii="Bookman Old Style" w:hAnsi="Bookman Old Style"/>
          <w:szCs w:val="24"/>
        </w:rPr>
      </w:pPr>
      <w:r>
        <w:rPr>
          <w:rFonts w:ascii="Bookman Old Style" w:hAnsi="Bookman Old Style"/>
          <w:szCs w:val="24"/>
        </w:rPr>
        <w:t xml:space="preserve">This somewhat undermines the evident statutory intent of s 31 that purchasers have an effective means of terminating a contract within the three day period if they decide to cool off, by serving a notice on the vendor’s agent.  </w:t>
      </w:r>
    </w:p>
    <w:p w:rsidR="00FF3189" w:rsidRDefault="00FF3189" w:rsidP="00E14212">
      <w:pPr>
        <w:spacing w:line="360" w:lineRule="auto"/>
        <w:rPr>
          <w:rFonts w:ascii="Bookman Old Style" w:hAnsi="Bookman Old Style"/>
          <w:szCs w:val="24"/>
        </w:rPr>
      </w:pPr>
    </w:p>
    <w:p w:rsidR="0056599F" w:rsidRPr="00387562" w:rsidRDefault="00FF3189" w:rsidP="00E14212">
      <w:pPr>
        <w:spacing w:line="360" w:lineRule="auto"/>
        <w:rPr>
          <w:rFonts w:ascii="Bookman Old Style" w:hAnsi="Bookman Old Style"/>
          <w:szCs w:val="24"/>
        </w:rPr>
      </w:pPr>
      <w:r>
        <w:rPr>
          <w:rFonts w:ascii="Bookman Old Style" w:hAnsi="Bookman Old Style"/>
          <w:szCs w:val="24"/>
        </w:rPr>
        <w:t xml:space="preserve">We suggest </w:t>
      </w:r>
      <w:r w:rsidR="0056599F">
        <w:rPr>
          <w:rFonts w:ascii="Bookman Old Style" w:hAnsi="Bookman Old Style"/>
          <w:szCs w:val="24"/>
        </w:rPr>
        <w:t xml:space="preserve">a new sub-section (3A) </w:t>
      </w:r>
      <w:r>
        <w:rPr>
          <w:rFonts w:ascii="Bookman Old Style" w:hAnsi="Bookman Old Style"/>
          <w:szCs w:val="24"/>
        </w:rPr>
        <w:t>which might be worded</w:t>
      </w:r>
      <w:r w:rsidR="0056599F">
        <w:rPr>
          <w:rFonts w:ascii="Bookman Old Style" w:hAnsi="Bookman Old Style"/>
          <w:szCs w:val="24"/>
        </w:rPr>
        <w:t xml:space="preserve"> as follows:</w:t>
      </w:r>
    </w:p>
    <w:p w:rsidR="00E14212" w:rsidRDefault="00E14212" w:rsidP="00E14212">
      <w:pPr>
        <w:pStyle w:val="BodyText"/>
        <w:spacing w:line="254" w:lineRule="auto"/>
        <w:ind w:left="0" w:right="127" w:hanging="556"/>
        <w:rPr>
          <w:rFonts w:ascii="Bookman Old Style" w:hAnsi="Bookman Old Style"/>
          <w:color w:val="231F20"/>
          <w:spacing w:val="1"/>
          <w:sz w:val="22"/>
          <w:szCs w:val="22"/>
        </w:rPr>
      </w:pPr>
      <w:r>
        <w:rPr>
          <w:rFonts w:ascii="Bookman Old Style" w:hAnsi="Bookman Old Style"/>
          <w:color w:val="231F20"/>
          <w:spacing w:val="1"/>
          <w:sz w:val="22"/>
          <w:szCs w:val="22"/>
        </w:rPr>
        <w:t xml:space="preserve">        </w:t>
      </w:r>
    </w:p>
    <w:p w:rsidR="0056599F" w:rsidRPr="004845EF" w:rsidRDefault="00E14212" w:rsidP="00E14212">
      <w:pPr>
        <w:pStyle w:val="BodyText"/>
        <w:spacing w:line="254" w:lineRule="auto"/>
        <w:ind w:left="567" w:right="127" w:hanging="1123"/>
        <w:rPr>
          <w:rFonts w:ascii="Bookman Old Style" w:hAnsi="Bookman Old Style"/>
          <w:sz w:val="22"/>
          <w:szCs w:val="22"/>
        </w:rPr>
      </w:pPr>
      <w:r>
        <w:rPr>
          <w:rFonts w:ascii="Bookman Old Style" w:hAnsi="Bookman Old Style"/>
          <w:color w:val="231F20"/>
          <w:spacing w:val="1"/>
          <w:sz w:val="22"/>
          <w:szCs w:val="22"/>
        </w:rPr>
        <w:t xml:space="preserve">        </w:t>
      </w:r>
      <w:r w:rsidR="0056599F">
        <w:rPr>
          <w:rFonts w:ascii="Bookman Old Style" w:hAnsi="Bookman Old Style"/>
          <w:color w:val="231F20"/>
          <w:spacing w:val="1"/>
          <w:sz w:val="22"/>
          <w:szCs w:val="22"/>
        </w:rPr>
        <w:t>(3A)  For the purposes of this section an estate agent of the vendor or a legal practitioner or conveyancer acting for the vendor is an agent of the vendor</w:t>
      </w:r>
      <w:r w:rsidR="0056599F" w:rsidRPr="004845EF">
        <w:rPr>
          <w:rFonts w:ascii="Bookman Old Style" w:hAnsi="Bookman Old Style"/>
          <w:color w:val="231F20"/>
          <w:sz w:val="22"/>
          <w:szCs w:val="22"/>
        </w:rPr>
        <w:t>.</w:t>
      </w:r>
    </w:p>
    <w:p w:rsidR="0056599F" w:rsidRPr="0056599F" w:rsidRDefault="0056599F" w:rsidP="00E14212">
      <w:pPr>
        <w:spacing w:line="360" w:lineRule="auto"/>
        <w:rPr>
          <w:rFonts w:ascii="Bookman Old Style" w:hAnsi="Bookman Old Style"/>
          <w:szCs w:val="24"/>
        </w:rPr>
      </w:pPr>
    </w:p>
    <w:p w:rsidR="00B15B7D" w:rsidRPr="00387562" w:rsidRDefault="00B15B7D" w:rsidP="00E14212">
      <w:pPr>
        <w:spacing w:line="480" w:lineRule="auto"/>
        <w:jc w:val="both"/>
        <w:rPr>
          <w:rFonts w:ascii="Bookman Old Style" w:hAnsi="Bookman Old Style"/>
          <w:szCs w:val="24"/>
        </w:rPr>
      </w:pPr>
    </w:p>
    <w:p w:rsidR="00AF04C6" w:rsidRDefault="00AF04C6" w:rsidP="00F70F7E">
      <w:pPr>
        <w:spacing w:line="480" w:lineRule="auto"/>
        <w:jc w:val="both"/>
        <w:rPr>
          <w:rFonts w:ascii="Bookman Old Style" w:hAnsi="Bookman Old Style"/>
          <w:szCs w:val="24"/>
        </w:rPr>
      </w:pPr>
    </w:p>
    <w:p w:rsidR="00AF04C6" w:rsidRDefault="00AF04C6" w:rsidP="004A17E5">
      <w:pPr>
        <w:spacing w:line="276" w:lineRule="auto"/>
        <w:jc w:val="both"/>
        <w:rPr>
          <w:rFonts w:ascii="Bookman Old Style" w:hAnsi="Bookman Old Style"/>
          <w:szCs w:val="24"/>
        </w:rPr>
      </w:pPr>
      <w:r>
        <w:rPr>
          <w:rFonts w:ascii="Bookman Old Style" w:hAnsi="Bookman Old Style"/>
          <w:szCs w:val="24"/>
        </w:rPr>
        <w:t>D</w:t>
      </w:r>
      <w:r w:rsidR="00387562">
        <w:rPr>
          <w:rFonts w:ascii="Bookman Old Style" w:hAnsi="Bookman Old Style"/>
          <w:szCs w:val="24"/>
        </w:rPr>
        <w:t>PL</w:t>
      </w:r>
    </w:p>
    <w:p w:rsidR="00387562" w:rsidRDefault="00387562" w:rsidP="004A17E5">
      <w:pPr>
        <w:spacing w:line="276" w:lineRule="auto"/>
        <w:jc w:val="both"/>
        <w:rPr>
          <w:rFonts w:ascii="Bookman Old Style" w:hAnsi="Bookman Old Style"/>
          <w:szCs w:val="24"/>
        </w:rPr>
      </w:pPr>
      <w:r>
        <w:rPr>
          <w:rFonts w:ascii="Bookman Old Style" w:hAnsi="Bookman Old Style"/>
          <w:szCs w:val="24"/>
        </w:rPr>
        <w:t>WFR</w:t>
      </w:r>
    </w:p>
    <w:p w:rsidR="00394BB4" w:rsidRDefault="00394BB4" w:rsidP="004A17E5">
      <w:pPr>
        <w:spacing w:line="276" w:lineRule="auto"/>
        <w:jc w:val="both"/>
        <w:rPr>
          <w:rFonts w:ascii="Bookman Old Style" w:hAnsi="Bookman Old Style"/>
          <w:szCs w:val="24"/>
        </w:rPr>
      </w:pPr>
      <w:r>
        <w:rPr>
          <w:rFonts w:ascii="Bookman Old Style" w:hAnsi="Bookman Old Style"/>
          <w:szCs w:val="24"/>
        </w:rPr>
        <w:t>Barristers-at-Law</w:t>
      </w:r>
    </w:p>
    <w:p w:rsidR="004A17E5" w:rsidRDefault="00394BB4" w:rsidP="004A17E5">
      <w:pPr>
        <w:spacing w:line="276" w:lineRule="auto"/>
        <w:jc w:val="both"/>
        <w:rPr>
          <w:rFonts w:ascii="Bookman Old Style" w:hAnsi="Bookman Old Style"/>
          <w:szCs w:val="24"/>
        </w:rPr>
      </w:pPr>
      <w:r>
        <w:rPr>
          <w:rFonts w:ascii="Bookman Old Style" w:hAnsi="Bookman Old Style"/>
          <w:szCs w:val="24"/>
        </w:rPr>
        <w:t>Clerk B, Owen Dixon Chambers</w:t>
      </w:r>
    </w:p>
    <w:p w:rsidR="008D47FA" w:rsidRDefault="00394BB4" w:rsidP="00394BB4">
      <w:pPr>
        <w:spacing w:line="276" w:lineRule="auto"/>
        <w:jc w:val="both"/>
        <w:rPr>
          <w:rFonts w:ascii="Bookman Old Style" w:hAnsi="Bookman Old Style"/>
          <w:szCs w:val="24"/>
        </w:rPr>
      </w:pPr>
      <w:r>
        <w:rPr>
          <w:rFonts w:ascii="Bookman Old Style" w:hAnsi="Bookman Old Style"/>
          <w:szCs w:val="24"/>
        </w:rPr>
        <w:t>205 William Street, Melbourne</w:t>
      </w:r>
    </w:p>
    <w:sectPr w:rsidR="008D47FA" w:rsidSect="00F70F7E">
      <w:headerReference w:type="even" r:id="rId8"/>
      <w:headerReference w:type="default" r:id="rId9"/>
      <w:pgSz w:w="11909" w:h="16834"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19" w:rsidRDefault="00EE6719">
      <w:r>
        <w:separator/>
      </w:r>
    </w:p>
  </w:endnote>
  <w:endnote w:type="continuationSeparator" w:id="0">
    <w:p w:rsidR="00EE6719" w:rsidRDefault="00EE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19" w:rsidRDefault="00EE6719">
      <w:r>
        <w:separator/>
      </w:r>
    </w:p>
  </w:footnote>
  <w:footnote w:type="continuationSeparator" w:id="0">
    <w:p w:rsidR="00EE6719" w:rsidRDefault="00EE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AE" w:rsidRDefault="00914E25" w:rsidP="00536DDA">
    <w:pPr>
      <w:pStyle w:val="Header"/>
      <w:framePr w:wrap="around" w:vAnchor="text" w:hAnchor="margin" w:xAlign="center" w:y="1"/>
      <w:rPr>
        <w:rStyle w:val="PageNumber"/>
      </w:rPr>
    </w:pPr>
    <w:r>
      <w:rPr>
        <w:rStyle w:val="PageNumber"/>
      </w:rPr>
      <w:fldChar w:fldCharType="begin"/>
    </w:r>
    <w:r w:rsidR="00C457AE">
      <w:rPr>
        <w:rStyle w:val="PageNumber"/>
      </w:rPr>
      <w:instrText xml:space="preserve">PAGE  </w:instrText>
    </w:r>
    <w:r>
      <w:rPr>
        <w:rStyle w:val="PageNumber"/>
      </w:rPr>
      <w:fldChar w:fldCharType="end"/>
    </w:r>
  </w:p>
  <w:p w:rsidR="00C457AE" w:rsidRDefault="00C45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AE" w:rsidRPr="00BB5A36" w:rsidRDefault="00914E25" w:rsidP="00536DDA">
    <w:pPr>
      <w:pStyle w:val="Header"/>
      <w:framePr w:wrap="around" w:vAnchor="text" w:hAnchor="margin" w:xAlign="center" w:y="1"/>
      <w:rPr>
        <w:rStyle w:val="PageNumber"/>
        <w:rFonts w:ascii="Bookman Old Style" w:hAnsi="Bookman Old Style"/>
      </w:rPr>
    </w:pPr>
    <w:r w:rsidRPr="00BB5A36">
      <w:rPr>
        <w:rStyle w:val="PageNumber"/>
        <w:rFonts w:ascii="Bookman Old Style" w:hAnsi="Bookman Old Style"/>
      </w:rPr>
      <w:fldChar w:fldCharType="begin"/>
    </w:r>
    <w:r w:rsidR="00C457AE" w:rsidRPr="00BB5A36">
      <w:rPr>
        <w:rStyle w:val="PageNumber"/>
        <w:rFonts w:ascii="Bookman Old Style" w:hAnsi="Bookman Old Style"/>
      </w:rPr>
      <w:instrText xml:space="preserve">PAGE  </w:instrText>
    </w:r>
    <w:r w:rsidRPr="00BB5A36">
      <w:rPr>
        <w:rStyle w:val="PageNumber"/>
        <w:rFonts w:ascii="Bookman Old Style" w:hAnsi="Bookman Old Style"/>
      </w:rPr>
      <w:fldChar w:fldCharType="separate"/>
    </w:r>
    <w:r w:rsidR="00EB3B78">
      <w:rPr>
        <w:rStyle w:val="PageNumber"/>
        <w:rFonts w:ascii="Bookman Old Style" w:hAnsi="Bookman Old Style"/>
        <w:noProof/>
      </w:rPr>
      <w:t>2</w:t>
    </w:r>
    <w:r w:rsidRPr="00BB5A36">
      <w:rPr>
        <w:rStyle w:val="PageNumber"/>
        <w:rFonts w:ascii="Bookman Old Style" w:hAnsi="Bookman Old Style"/>
      </w:rPr>
      <w:fldChar w:fldCharType="end"/>
    </w:r>
  </w:p>
  <w:p w:rsidR="00C457AE" w:rsidRPr="00BB5A36" w:rsidRDefault="00C457AE">
    <w:pPr>
      <w:pStyle w:val="Header"/>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4056F"/>
    <w:multiLevelType w:val="hybridMultilevel"/>
    <w:tmpl w:val="7C44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469FB"/>
    <w:multiLevelType w:val="hybridMultilevel"/>
    <w:tmpl w:val="37EA786A"/>
    <w:lvl w:ilvl="0" w:tplc="9698B408">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9D29C5"/>
    <w:multiLevelType w:val="multilevel"/>
    <w:tmpl w:val="60003FC2"/>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3">
    <w:nsid w:val="6C5E1675"/>
    <w:multiLevelType w:val="hybridMultilevel"/>
    <w:tmpl w:val="3DD6B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124B9"/>
    <w:rsid w:val="00011302"/>
    <w:rsid w:val="00012935"/>
    <w:rsid w:val="0006775B"/>
    <w:rsid w:val="000717EE"/>
    <w:rsid w:val="000718D9"/>
    <w:rsid w:val="000A134C"/>
    <w:rsid w:val="000B2F54"/>
    <w:rsid w:val="000E6BD7"/>
    <w:rsid w:val="001065EB"/>
    <w:rsid w:val="00113914"/>
    <w:rsid w:val="00175828"/>
    <w:rsid w:val="001A3952"/>
    <w:rsid w:val="001D2C6E"/>
    <w:rsid w:val="001F3E5B"/>
    <w:rsid w:val="001F4CDC"/>
    <w:rsid w:val="00200A25"/>
    <w:rsid w:val="00213018"/>
    <w:rsid w:val="0025681C"/>
    <w:rsid w:val="00262ADD"/>
    <w:rsid w:val="00293482"/>
    <w:rsid w:val="002A6B7D"/>
    <w:rsid w:val="002E4378"/>
    <w:rsid w:val="002E4D10"/>
    <w:rsid w:val="00303A43"/>
    <w:rsid w:val="0030710D"/>
    <w:rsid w:val="003124B9"/>
    <w:rsid w:val="00326232"/>
    <w:rsid w:val="00330170"/>
    <w:rsid w:val="00336FF5"/>
    <w:rsid w:val="00344121"/>
    <w:rsid w:val="00352411"/>
    <w:rsid w:val="00376EB7"/>
    <w:rsid w:val="003807A4"/>
    <w:rsid w:val="00387562"/>
    <w:rsid w:val="00394BB4"/>
    <w:rsid w:val="003A330E"/>
    <w:rsid w:val="003B2C8E"/>
    <w:rsid w:val="003E768C"/>
    <w:rsid w:val="003F0765"/>
    <w:rsid w:val="0042075A"/>
    <w:rsid w:val="00433B56"/>
    <w:rsid w:val="00457B6B"/>
    <w:rsid w:val="004845EF"/>
    <w:rsid w:val="004910BF"/>
    <w:rsid w:val="0049570A"/>
    <w:rsid w:val="004A0C0C"/>
    <w:rsid w:val="004A17E5"/>
    <w:rsid w:val="004A6A6B"/>
    <w:rsid w:val="004B6EFA"/>
    <w:rsid w:val="004C3584"/>
    <w:rsid w:val="004D0C5C"/>
    <w:rsid w:val="004F5534"/>
    <w:rsid w:val="004F605B"/>
    <w:rsid w:val="005023D3"/>
    <w:rsid w:val="00506EBD"/>
    <w:rsid w:val="005078D1"/>
    <w:rsid w:val="00536DDA"/>
    <w:rsid w:val="00551B60"/>
    <w:rsid w:val="0056599F"/>
    <w:rsid w:val="00573B2C"/>
    <w:rsid w:val="005849C4"/>
    <w:rsid w:val="00590805"/>
    <w:rsid w:val="00591A6E"/>
    <w:rsid w:val="005B1C78"/>
    <w:rsid w:val="005D1064"/>
    <w:rsid w:val="005D6829"/>
    <w:rsid w:val="005D7664"/>
    <w:rsid w:val="00605796"/>
    <w:rsid w:val="006166D9"/>
    <w:rsid w:val="00625A70"/>
    <w:rsid w:val="0063141C"/>
    <w:rsid w:val="006449D5"/>
    <w:rsid w:val="006609CC"/>
    <w:rsid w:val="00661BB2"/>
    <w:rsid w:val="006A769D"/>
    <w:rsid w:val="006E6D0C"/>
    <w:rsid w:val="006E733E"/>
    <w:rsid w:val="00703CB8"/>
    <w:rsid w:val="0071593E"/>
    <w:rsid w:val="00730C63"/>
    <w:rsid w:val="00744450"/>
    <w:rsid w:val="00745DEF"/>
    <w:rsid w:val="007556A7"/>
    <w:rsid w:val="007C409B"/>
    <w:rsid w:val="007C6F08"/>
    <w:rsid w:val="007E094C"/>
    <w:rsid w:val="007E7A04"/>
    <w:rsid w:val="007F00B2"/>
    <w:rsid w:val="00807847"/>
    <w:rsid w:val="00815C89"/>
    <w:rsid w:val="008700FE"/>
    <w:rsid w:val="008B0999"/>
    <w:rsid w:val="008C1898"/>
    <w:rsid w:val="008D1777"/>
    <w:rsid w:val="008D432A"/>
    <w:rsid w:val="008D47FA"/>
    <w:rsid w:val="008E7D1D"/>
    <w:rsid w:val="008F3369"/>
    <w:rsid w:val="00914E25"/>
    <w:rsid w:val="009255CD"/>
    <w:rsid w:val="00953268"/>
    <w:rsid w:val="009917C7"/>
    <w:rsid w:val="009A426D"/>
    <w:rsid w:val="009C057E"/>
    <w:rsid w:val="009D3B82"/>
    <w:rsid w:val="00A065B9"/>
    <w:rsid w:val="00A17556"/>
    <w:rsid w:val="00A61BC6"/>
    <w:rsid w:val="00A70462"/>
    <w:rsid w:val="00A8310F"/>
    <w:rsid w:val="00A83776"/>
    <w:rsid w:val="00AB049B"/>
    <w:rsid w:val="00AE0EB1"/>
    <w:rsid w:val="00AE20AF"/>
    <w:rsid w:val="00AE3253"/>
    <w:rsid w:val="00AF04C6"/>
    <w:rsid w:val="00AF555A"/>
    <w:rsid w:val="00AF5B6A"/>
    <w:rsid w:val="00B00D65"/>
    <w:rsid w:val="00B15B7D"/>
    <w:rsid w:val="00B56703"/>
    <w:rsid w:val="00B73466"/>
    <w:rsid w:val="00B77A90"/>
    <w:rsid w:val="00B8538E"/>
    <w:rsid w:val="00B87389"/>
    <w:rsid w:val="00BB117E"/>
    <w:rsid w:val="00BB1DC2"/>
    <w:rsid w:val="00BB5A36"/>
    <w:rsid w:val="00C10518"/>
    <w:rsid w:val="00C107F6"/>
    <w:rsid w:val="00C166AA"/>
    <w:rsid w:val="00C33A95"/>
    <w:rsid w:val="00C457AE"/>
    <w:rsid w:val="00C55663"/>
    <w:rsid w:val="00C57DB8"/>
    <w:rsid w:val="00C62126"/>
    <w:rsid w:val="00C6224F"/>
    <w:rsid w:val="00C7228A"/>
    <w:rsid w:val="00C93090"/>
    <w:rsid w:val="00C97A99"/>
    <w:rsid w:val="00CA3DF8"/>
    <w:rsid w:val="00CA634B"/>
    <w:rsid w:val="00CC08C0"/>
    <w:rsid w:val="00CC40BD"/>
    <w:rsid w:val="00CC739A"/>
    <w:rsid w:val="00CD4AFE"/>
    <w:rsid w:val="00CF1BC3"/>
    <w:rsid w:val="00D12938"/>
    <w:rsid w:val="00D40DB8"/>
    <w:rsid w:val="00D61B43"/>
    <w:rsid w:val="00D7035B"/>
    <w:rsid w:val="00D71779"/>
    <w:rsid w:val="00D74DF3"/>
    <w:rsid w:val="00D77564"/>
    <w:rsid w:val="00D878B3"/>
    <w:rsid w:val="00DA1AF1"/>
    <w:rsid w:val="00DB5F86"/>
    <w:rsid w:val="00DC0202"/>
    <w:rsid w:val="00DC2128"/>
    <w:rsid w:val="00DC67FD"/>
    <w:rsid w:val="00DC7C02"/>
    <w:rsid w:val="00DD6BF9"/>
    <w:rsid w:val="00DD6D91"/>
    <w:rsid w:val="00E14212"/>
    <w:rsid w:val="00E23AAD"/>
    <w:rsid w:val="00E407C0"/>
    <w:rsid w:val="00E529EB"/>
    <w:rsid w:val="00E53466"/>
    <w:rsid w:val="00E534A2"/>
    <w:rsid w:val="00E82FC5"/>
    <w:rsid w:val="00E872D8"/>
    <w:rsid w:val="00E9704A"/>
    <w:rsid w:val="00EB3B78"/>
    <w:rsid w:val="00ED0619"/>
    <w:rsid w:val="00EE5CE0"/>
    <w:rsid w:val="00EE6719"/>
    <w:rsid w:val="00F14443"/>
    <w:rsid w:val="00F65EE8"/>
    <w:rsid w:val="00F66760"/>
    <w:rsid w:val="00F70F7E"/>
    <w:rsid w:val="00F823D3"/>
    <w:rsid w:val="00FB458F"/>
    <w:rsid w:val="00FE68B2"/>
    <w:rsid w:val="00FE7C6E"/>
    <w:rsid w:val="00FF0A5A"/>
    <w:rsid w:val="00FF3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22D080-7387-4AEC-8D30-AFF84F69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93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124B9"/>
    <w:pPr>
      <w:tabs>
        <w:tab w:val="center" w:pos="4320"/>
        <w:tab w:val="right" w:pos="8640"/>
      </w:tabs>
    </w:pPr>
  </w:style>
  <w:style w:type="character" w:styleId="PageNumber">
    <w:name w:val="page number"/>
    <w:basedOn w:val="DefaultParagraphFont"/>
    <w:rsid w:val="003124B9"/>
  </w:style>
  <w:style w:type="paragraph" w:styleId="ListParagraph">
    <w:name w:val="List Paragraph"/>
    <w:basedOn w:val="Normal"/>
    <w:uiPriority w:val="34"/>
    <w:qFormat/>
    <w:rsid w:val="004F605B"/>
    <w:pPr>
      <w:ind w:left="720"/>
    </w:pPr>
  </w:style>
  <w:style w:type="paragraph" w:styleId="Footer">
    <w:name w:val="footer"/>
    <w:basedOn w:val="Normal"/>
    <w:link w:val="FooterChar"/>
    <w:rsid w:val="00BB5A36"/>
    <w:pPr>
      <w:tabs>
        <w:tab w:val="center" w:pos="4680"/>
        <w:tab w:val="right" w:pos="9360"/>
      </w:tabs>
    </w:pPr>
  </w:style>
  <w:style w:type="character" w:customStyle="1" w:styleId="FooterChar">
    <w:name w:val="Footer Char"/>
    <w:basedOn w:val="DefaultParagraphFont"/>
    <w:link w:val="Footer"/>
    <w:rsid w:val="00BB5A36"/>
    <w:rPr>
      <w:sz w:val="24"/>
      <w:lang w:val="en-AU"/>
    </w:rPr>
  </w:style>
  <w:style w:type="paragraph" w:styleId="BalloonText">
    <w:name w:val="Balloon Text"/>
    <w:basedOn w:val="Normal"/>
    <w:link w:val="BalloonTextChar"/>
    <w:rsid w:val="000717EE"/>
    <w:rPr>
      <w:rFonts w:ascii="Tahoma" w:hAnsi="Tahoma" w:cs="Tahoma"/>
      <w:sz w:val="16"/>
      <w:szCs w:val="16"/>
    </w:rPr>
  </w:style>
  <w:style w:type="character" w:customStyle="1" w:styleId="BalloonTextChar">
    <w:name w:val="Balloon Text Char"/>
    <w:basedOn w:val="DefaultParagraphFont"/>
    <w:link w:val="BalloonText"/>
    <w:rsid w:val="000717EE"/>
    <w:rPr>
      <w:rFonts w:ascii="Tahoma" w:hAnsi="Tahoma" w:cs="Tahoma"/>
      <w:sz w:val="16"/>
      <w:szCs w:val="16"/>
      <w:lang w:eastAsia="en-US"/>
    </w:rPr>
  </w:style>
  <w:style w:type="paragraph" w:styleId="BodyText">
    <w:name w:val="Body Text"/>
    <w:basedOn w:val="Normal"/>
    <w:link w:val="BodyTextChar"/>
    <w:uiPriority w:val="1"/>
    <w:unhideWhenUsed/>
    <w:qFormat/>
    <w:rsid w:val="004845EF"/>
    <w:pPr>
      <w:widowControl w:val="0"/>
      <w:ind w:left="100"/>
    </w:pPr>
    <w:rPr>
      <w:rFonts w:ascii="Arial" w:eastAsia="Arial" w:hAnsi="Arial"/>
      <w:sz w:val="18"/>
      <w:szCs w:val="18"/>
      <w:lang w:val="en-US"/>
    </w:rPr>
  </w:style>
  <w:style w:type="character" w:customStyle="1" w:styleId="BodyTextChar">
    <w:name w:val="Body Text Char"/>
    <w:basedOn w:val="DefaultParagraphFont"/>
    <w:link w:val="BodyText"/>
    <w:uiPriority w:val="1"/>
    <w:rsid w:val="004845EF"/>
    <w:rPr>
      <w:rFonts w:ascii="Arial" w:eastAsia="Arial" w:hAnsi="Arial"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3D0A4-DC86-446A-AD5E-FC35A492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VICBAR</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Fiona Creedy</cp:lastModifiedBy>
  <cp:revision>17</cp:revision>
  <cp:lastPrinted>2016-05-05T05:07:00Z</cp:lastPrinted>
  <dcterms:created xsi:type="dcterms:W3CDTF">2016-05-03T02:56:00Z</dcterms:created>
  <dcterms:modified xsi:type="dcterms:W3CDTF">2016-06-08T06:57:00Z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