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5FEDE" w14:textId="6FD6FC23" w:rsidR="00BE6CE4" w:rsidRPr="002C1E2B" w:rsidRDefault="00BE6CE4" w:rsidP="0038555D">
      <w:bookmarkStart w:id="0" w:name="xxTitle"/>
    </w:p>
    <w:p w14:paraId="78664B96" w14:textId="77777777" w:rsidR="00166B4D" w:rsidRPr="002C1E2B" w:rsidRDefault="00166B4D" w:rsidP="0038555D"/>
    <w:tbl>
      <w:tblPr>
        <w:tblpPr w:leftFromText="180" w:rightFromText="180" w:vertAnchor="text" w:horzAnchor="page" w:tblpX="1441" w:tblpY="38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34"/>
      </w:tblGrid>
      <w:tr w:rsidR="00166B4D" w:rsidRPr="002C1E2B" w14:paraId="35A8DCC3" w14:textId="77777777">
        <w:trPr>
          <w:trHeight w:val="1701"/>
        </w:trPr>
        <w:tc>
          <w:tcPr>
            <w:tcW w:w="9134" w:type="dxa"/>
            <w:tcBorders>
              <w:top w:val="nil"/>
              <w:left w:val="nil"/>
              <w:bottom w:val="nil"/>
              <w:right w:val="nil"/>
            </w:tcBorders>
          </w:tcPr>
          <w:p w14:paraId="076EC191" w14:textId="77777777" w:rsidR="00166B4D" w:rsidRPr="002C1E2B" w:rsidRDefault="00166B4D" w:rsidP="0038555D">
            <w:pPr>
              <w:pStyle w:val="ReportTitle"/>
            </w:pPr>
            <w:bookmarkStart w:id="1" w:name="ReportTitle"/>
            <w:r w:rsidRPr="002C1E2B">
              <w:t>Retirement Villages (Contractual Arrangements) Regulations Regulatory Impact Statement</w:t>
            </w:r>
          </w:p>
          <w:bookmarkEnd w:id="1"/>
          <w:p w14:paraId="3F0485C2" w14:textId="77777777" w:rsidR="00166B4D" w:rsidRPr="00263234" w:rsidRDefault="00166B4D" w:rsidP="0038555D">
            <w:pPr>
              <w:pStyle w:val="ClientName"/>
            </w:pPr>
            <w:r w:rsidRPr="00263234">
              <w:t>Consumer Affairs Victoria</w:t>
            </w:r>
          </w:p>
          <w:p w14:paraId="2B8C3227" w14:textId="5D5C9319" w:rsidR="00166B4D" w:rsidRPr="00A169E6" w:rsidRDefault="00263234" w:rsidP="0038555D">
            <w:pPr>
              <w:pStyle w:val="LetterDate"/>
            </w:pPr>
            <w:r w:rsidRPr="00263234">
              <w:t>FINAL SUBMISSION 8</w:t>
            </w:r>
            <w:r w:rsidR="0094638B" w:rsidRPr="00A169E6">
              <w:t xml:space="preserve"> MARCH 2017</w:t>
            </w:r>
            <w:r w:rsidR="00F25943" w:rsidRPr="00A169E6">
              <w:t xml:space="preserve"> </w:t>
            </w:r>
          </w:p>
          <w:p w14:paraId="3C6CD15E" w14:textId="77777777" w:rsidR="00166B4D" w:rsidRPr="002C1E2B" w:rsidRDefault="00166B4D" w:rsidP="0038555D">
            <w:bookmarkStart w:id="2" w:name="FrontSubCompany"/>
            <w:bookmarkEnd w:id="2"/>
          </w:p>
        </w:tc>
      </w:tr>
    </w:tbl>
    <w:p w14:paraId="2A2A07F9" w14:textId="77777777" w:rsidR="00166B4D" w:rsidRPr="002C1E2B" w:rsidRDefault="00166B4D" w:rsidP="0038555D">
      <w:pPr>
        <w:sectPr w:rsidR="00166B4D" w:rsidRPr="002C1E2B" w:rsidSect="00166B4D">
          <w:headerReference w:type="default" r:id="rId8"/>
          <w:footerReference w:type="even" r:id="rId9"/>
          <w:headerReference w:type="first" r:id="rId10"/>
          <w:footerReference w:type="first" r:id="rId11"/>
          <w:type w:val="oddPage"/>
          <w:pgSz w:w="11907" w:h="16839" w:code="9"/>
          <w:pgMar w:top="2891" w:right="1276" w:bottom="2880" w:left="1440" w:header="986" w:footer="130" w:gutter="0"/>
          <w:cols w:space="720"/>
          <w:titlePg/>
          <w:docGrid w:linePitch="326"/>
        </w:sectPr>
      </w:pPr>
      <w:bookmarkStart w:id="5" w:name="Prism"/>
      <w:bookmarkEnd w:id="5"/>
      <w:r w:rsidRPr="002C1E2B">
        <w:rPr>
          <w:noProof/>
          <w:lang w:eastAsia="en-AU"/>
        </w:rPr>
        <w:drawing>
          <wp:anchor distT="0" distB="0" distL="114300" distR="114300" simplePos="0" relativeHeight="251656704" behindDoc="1" locked="0" layoutInCell="1" allowOverlap="1" wp14:anchorId="636E34FB" wp14:editId="15F3739A">
            <wp:simplePos x="0" y="0"/>
            <wp:positionH relativeFrom="column">
              <wp:posOffset>-914400</wp:posOffset>
            </wp:positionH>
            <wp:positionV relativeFrom="paragraph">
              <wp:posOffset>622300</wp:posOffset>
            </wp:positionV>
            <wp:extent cx="7758430" cy="1371600"/>
            <wp:effectExtent l="0" t="0" r="0" b="0"/>
            <wp:wrapNone/>
            <wp:docPr id="12" name="Picture 12" descr="Report_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port_Cover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5843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809AD9" w14:textId="77777777" w:rsidR="00880CAA" w:rsidRPr="002C1E2B" w:rsidRDefault="00166B4D">
      <w:pPr>
        <w:pStyle w:val="TOC1"/>
      </w:pPr>
      <w:bookmarkStart w:id="6" w:name="xxTOC"/>
      <w:bookmarkEnd w:id="0"/>
      <w:r w:rsidRPr="002C1E2B">
        <w:lastRenderedPageBreak/>
        <w:t>Contents</w:t>
      </w:r>
    </w:p>
    <w:p w14:paraId="45C143EF" w14:textId="0F5309AC" w:rsidR="00263234" w:rsidRPr="00A169E6" w:rsidRDefault="006F6040">
      <w:pPr>
        <w:pStyle w:val="TOC1"/>
        <w:rPr>
          <w:rFonts w:asciiTheme="minorHAnsi" w:hAnsiTheme="minorHAnsi"/>
          <w:b w:val="0"/>
          <w:sz w:val="22"/>
          <w:lang w:val="en-US"/>
        </w:rPr>
      </w:pPr>
      <w:r w:rsidRPr="002C1E2B">
        <w:fldChar w:fldCharType="begin"/>
      </w:r>
      <w:r w:rsidRPr="002C1E2B">
        <w:instrText xml:space="preserve"> </w:instrText>
      </w:r>
      <w:r w:rsidR="000B722D" w:rsidRPr="002C1E2B">
        <w:instrText>TOC \o "2-2" \t "Heading 1,1,Heading U,1"</w:instrText>
      </w:r>
      <w:r w:rsidRPr="002C1E2B">
        <w:instrText xml:space="preserve"> </w:instrText>
      </w:r>
      <w:r w:rsidRPr="002C1E2B">
        <w:fldChar w:fldCharType="separate"/>
      </w:r>
      <w:r w:rsidR="00263234">
        <w:rPr>
          <w:noProof/>
        </w:rPr>
        <w:t>List of shortened forms</w:t>
      </w:r>
      <w:r w:rsidR="00263234">
        <w:rPr>
          <w:noProof/>
        </w:rPr>
        <w:tab/>
      </w:r>
      <w:r w:rsidR="00263234">
        <w:rPr>
          <w:noProof/>
        </w:rPr>
        <w:fldChar w:fldCharType="begin"/>
      </w:r>
      <w:r w:rsidR="00263234">
        <w:rPr>
          <w:noProof/>
        </w:rPr>
        <w:instrText xml:space="preserve"> PAGEREF _Toc476739251 \h </w:instrText>
      </w:r>
      <w:r w:rsidR="00263234">
        <w:rPr>
          <w:noProof/>
        </w:rPr>
      </w:r>
      <w:r w:rsidR="00263234">
        <w:rPr>
          <w:noProof/>
        </w:rPr>
        <w:fldChar w:fldCharType="separate"/>
      </w:r>
      <w:r w:rsidR="0090772F">
        <w:rPr>
          <w:noProof/>
        </w:rPr>
        <w:t>i</w:t>
      </w:r>
      <w:r w:rsidR="00263234">
        <w:rPr>
          <w:noProof/>
        </w:rPr>
        <w:fldChar w:fldCharType="end"/>
      </w:r>
    </w:p>
    <w:p w14:paraId="2257FE25" w14:textId="3D76D854" w:rsidR="00263234" w:rsidRPr="00A169E6" w:rsidRDefault="00263234">
      <w:pPr>
        <w:pStyle w:val="TOC1"/>
        <w:rPr>
          <w:rFonts w:asciiTheme="minorHAnsi" w:hAnsiTheme="minorHAnsi"/>
          <w:b w:val="0"/>
          <w:sz w:val="22"/>
          <w:lang w:val="en-US"/>
        </w:rPr>
      </w:pPr>
      <w:r>
        <w:rPr>
          <w:noProof/>
        </w:rPr>
        <w:t>Glossary</w:t>
      </w:r>
      <w:r>
        <w:rPr>
          <w:noProof/>
        </w:rPr>
        <w:tab/>
      </w:r>
      <w:r>
        <w:rPr>
          <w:noProof/>
        </w:rPr>
        <w:fldChar w:fldCharType="begin"/>
      </w:r>
      <w:r>
        <w:rPr>
          <w:noProof/>
        </w:rPr>
        <w:instrText xml:space="preserve"> PAGEREF _Toc476739252 \h </w:instrText>
      </w:r>
      <w:r>
        <w:rPr>
          <w:noProof/>
        </w:rPr>
      </w:r>
      <w:r>
        <w:rPr>
          <w:noProof/>
        </w:rPr>
        <w:fldChar w:fldCharType="separate"/>
      </w:r>
      <w:r w:rsidR="0090772F">
        <w:rPr>
          <w:noProof/>
        </w:rPr>
        <w:t>ii</w:t>
      </w:r>
      <w:r>
        <w:rPr>
          <w:noProof/>
        </w:rPr>
        <w:fldChar w:fldCharType="end"/>
      </w:r>
    </w:p>
    <w:p w14:paraId="24BD8E83" w14:textId="1355EDC1" w:rsidR="00263234" w:rsidRPr="00A169E6" w:rsidRDefault="00263234">
      <w:pPr>
        <w:pStyle w:val="TOC1"/>
        <w:rPr>
          <w:rFonts w:asciiTheme="minorHAnsi" w:hAnsiTheme="minorHAnsi"/>
          <w:b w:val="0"/>
          <w:sz w:val="22"/>
          <w:lang w:val="en-US"/>
        </w:rPr>
      </w:pPr>
      <w:r>
        <w:rPr>
          <w:noProof/>
        </w:rPr>
        <w:t>Executive Summary</w:t>
      </w:r>
      <w:r>
        <w:rPr>
          <w:noProof/>
        </w:rPr>
        <w:tab/>
      </w:r>
      <w:r>
        <w:rPr>
          <w:noProof/>
        </w:rPr>
        <w:fldChar w:fldCharType="begin"/>
      </w:r>
      <w:r>
        <w:rPr>
          <w:noProof/>
        </w:rPr>
        <w:instrText xml:space="preserve"> PAGEREF _Toc476739253 \h </w:instrText>
      </w:r>
      <w:r>
        <w:rPr>
          <w:noProof/>
        </w:rPr>
      </w:r>
      <w:r>
        <w:rPr>
          <w:noProof/>
        </w:rPr>
        <w:fldChar w:fldCharType="separate"/>
      </w:r>
      <w:r w:rsidR="0090772F">
        <w:rPr>
          <w:noProof/>
        </w:rPr>
        <w:t>iv</w:t>
      </w:r>
      <w:r>
        <w:rPr>
          <w:noProof/>
        </w:rPr>
        <w:fldChar w:fldCharType="end"/>
      </w:r>
    </w:p>
    <w:p w14:paraId="1710EC7E" w14:textId="628EB36B" w:rsidR="00263234" w:rsidRPr="00A169E6" w:rsidRDefault="00263234">
      <w:pPr>
        <w:pStyle w:val="TOC1"/>
        <w:rPr>
          <w:rFonts w:asciiTheme="minorHAnsi" w:hAnsiTheme="minorHAnsi"/>
          <w:b w:val="0"/>
          <w:sz w:val="22"/>
          <w:lang w:val="en-US"/>
        </w:rPr>
      </w:pPr>
      <w:r>
        <w:rPr>
          <w:noProof/>
        </w:rPr>
        <w:t>1.</w:t>
      </w:r>
      <w:r w:rsidRPr="00A169E6">
        <w:rPr>
          <w:rFonts w:asciiTheme="minorHAnsi" w:hAnsiTheme="minorHAnsi"/>
          <w:b w:val="0"/>
          <w:sz w:val="22"/>
          <w:lang w:val="en-US"/>
        </w:rPr>
        <w:tab/>
      </w:r>
      <w:r>
        <w:rPr>
          <w:noProof/>
        </w:rPr>
        <w:t>Background</w:t>
      </w:r>
      <w:r>
        <w:rPr>
          <w:noProof/>
        </w:rPr>
        <w:tab/>
      </w:r>
      <w:r>
        <w:rPr>
          <w:noProof/>
        </w:rPr>
        <w:fldChar w:fldCharType="begin"/>
      </w:r>
      <w:r>
        <w:rPr>
          <w:noProof/>
        </w:rPr>
        <w:instrText xml:space="preserve"> PAGEREF _Toc476739254 \h </w:instrText>
      </w:r>
      <w:r>
        <w:rPr>
          <w:noProof/>
        </w:rPr>
      </w:r>
      <w:r>
        <w:rPr>
          <w:noProof/>
        </w:rPr>
        <w:fldChar w:fldCharType="separate"/>
      </w:r>
      <w:r w:rsidR="0090772F">
        <w:rPr>
          <w:noProof/>
        </w:rPr>
        <w:t>1</w:t>
      </w:r>
      <w:r>
        <w:rPr>
          <w:noProof/>
        </w:rPr>
        <w:fldChar w:fldCharType="end"/>
      </w:r>
    </w:p>
    <w:p w14:paraId="7F4D5A63" w14:textId="1785F374" w:rsidR="00263234" w:rsidRPr="00A169E6" w:rsidRDefault="00263234">
      <w:pPr>
        <w:pStyle w:val="TOC2"/>
        <w:rPr>
          <w:rFonts w:asciiTheme="minorHAnsi" w:hAnsiTheme="minorHAnsi"/>
          <w:sz w:val="22"/>
          <w:lang w:val="en-US"/>
        </w:rPr>
      </w:pPr>
      <w:r>
        <w:rPr>
          <w:noProof/>
        </w:rPr>
        <w:t>1.1.</w:t>
      </w:r>
      <w:r w:rsidRPr="00A169E6">
        <w:rPr>
          <w:rFonts w:asciiTheme="minorHAnsi" w:hAnsiTheme="minorHAnsi"/>
          <w:sz w:val="22"/>
          <w:lang w:val="en-US"/>
        </w:rPr>
        <w:tab/>
      </w:r>
      <w:r>
        <w:rPr>
          <w:noProof/>
        </w:rPr>
        <w:t>Overview of the retirement village sector</w:t>
      </w:r>
      <w:r>
        <w:rPr>
          <w:noProof/>
        </w:rPr>
        <w:tab/>
      </w:r>
      <w:r>
        <w:rPr>
          <w:noProof/>
        </w:rPr>
        <w:fldChar w:fldCharType="begin"/>
      </w:r>
      <w:r>
        <w:rPr>
          <w:noProof/>
        </w:rPr>
        <w:instrText xml:space="preserve"> PAGEREF _Toc476739255 \h </w:instrText>
      </w:r>
      <w:r>
        <w:rPr>
          <w:noProof/>
        </w:rPr>
      </w:r>
      <w:r>
        <w:rPr>
          <w:noProof/>
        </w:rPr>
        <w:fldChar w:fldCharType="separate"/>
      </w:r>
      <w:r w:rsidR="0090772F">
        <w:rPr>
          <w:noProof/>
        </w:rPr>
        <w:t>1</w:t>
      </w:r>
      <w:r>
        <w:rPr>
          <w:noProof/>
        </w:rPr>
        <w:fldChar w:fldCharType="end"/>
      </w:r>
    </w:p>
    <w:p w14:paraId="55918625" w14:textId="08D96BFB" w:rsidR="00263234" w:rsidRPr="00A169E6" w:rsidRDefault="00263234">
      <w:pPr>
        <w:pStyle w:val="TOC2"/>
        <w:rPr>
          <w:rFonts w:asciiTheme="minorHAnsi" w:hAnsiTheme="minorHAnsi"/>
          <w:sz w:val="22"/>
          <w:lang w:val="en-US"/>
        </w:rPr>
      </w:pPr>
      <w:r>
        <w:rPr>
          <w:noProof/>
        </w:rPr>
        <w:t>1.2.</w:t>
      </w:r>
      <w:r w:rsidRPr="00A169E6">
        <w:rPr>
          <w:rFonts w:asciiTheme="minorHAnsi" w:hAnsiTheme="minorHAnsi"/>
          <w:sz w:val="22"/>
          <w:lang w:val="en-US"/>
        </w:rPr>
        <w:tab/>
      </w:r>
      <w:r>
        <w:rPr>
          <w:noProof/>
        </w:rPr>
        <w:t>Legislative and regulatory framework</w:t>
      </w:r>
      <w:r>
        <w:rPr>
          <w:noProof/>
        </w:rPr>
        <w:tab/>
      </w:r>
      <w:r>
        <w:rPr>
          <w:noProof/>
        </w:rPr>
        <w:fldChar w:fldCharType="begin"/>
      </w:r>
      <w:r>
        <w:rPr>
          <w:noProof/>
        </w:rPr>
        <w:instrText xml:space="preserve"> PAGEREF _Toc476739256 \h </w:instrText>
      </w:r>
      <w:r>
        <w:rPr>
          <w:noProof/>
        </w:rPr>
      </w:r>
      <w:r>
        <w:rPr>
          <w:noProof/>
        </w:rPr>
        <w:fldChar w:fldCharType="separate"/>
      </w:r>
      <w:r w:rsidR="0090772F">
        <w:rPr>
          <w:noProof/>
        </w:rPr>
        <w:t>1</w:t>
      </w:r>
      <w:r>
        <w:rPr>
          <w:noProof/>
        </w:rPr>
        <w:fldChar w:fldCharType="end"/>
      </w:r>
    </w:p>
    <w:p w14:paraId="4AD40EC9" w14:textId="18103090" w:rsidR="00263234" w:rsidRPr="00A169E6" w:rsidRDefault="00263234">
      <w:pPr>
        <w:pStyle w:val="TOC2"/>
        <w:rPr>
          <w:rFonts w:asciiTheme="minorHAnsi" w:hAnsiTheme="minorHAnsi"/>
          <w:sz w:val="22"/>
          <w:lang w:val="en-US"/>
        </w:rPr>
      </w:pPr>
      <w:r w:rsidRPr="00A169E6">
        <w:rPr>
          <w:lang w:val="en-US"/>
        </w:rPr>
        <w:t>1.3.</w:t>
      </w:r>
      <w:r w:rsidRPr="00A169E6">
        <w:rPr>
          <w:rFonts w:asciiTheme="minorHAnsi" w:hAnsiTheme="minorHAnsi"/>
          <w:sz w:val="22"/>
          <w:lang w:val="en-US"/>
        </w:rPr>
        <w:tab/>
      </w:r>
      <w:r w:rsidRPr="00A169E6">
        <w:rPr>
          <w:lang w:val="en-US"/>
        </w:rPr>
        <w:t>Retirement Villages (Contractual Arrangements) Regulations 2006</w:t>
      </w:r>
      <w:r>
        <w:rPr>
          <w:noProof/>
        </w:rPr>
        <w:tab/>
      </w:r>
      <w:r>
        <w:rPr>
          <w:noProof/>
        </w:rPr>
        <w:fldChar w:fldCharType="begin"/>
      </w:r>
      <w:r>
        <w:rPr>
          <w:noProof/>
        </w:rPr>
        <w:instrText xml:space="preserve"> PAGEREF _Toc476739257 \h </w:instrText>
      </w:r>
      <w:r>
        <w:rPr>
          <w:noProof/>
        </w:rPr>
      </w:r>
      <w:r>
        <w:rPr>
          <w:noProof/>
        </w:rPr>
        <w:fldChar w:fldCharType="separate"/>
      </w:r>
      <w:r w:rsidR="0090772F">
        <w:rPr>
          <w:noProof/>
        </w:rPr>
        <w:t>2</w:t>
      </w:r>
      <w:r>
        <w:rPr>
          <w:noProof/>
        </w:rPr>
        <w:fldChar w:fldCharType="end"/>
      </w:r>
    </w:p>
    <w:p w14:paraId="44480A96" w14:textId="4023B684" w:rsidR="00263234" w:rsidRPr="00A169E6" w:rsidRDefault="00263234">
      <w:pPr>
        <w:pStyle w:val="TOC2"/>
        <w:rPr>
          <w:rFonts w:asciiTheme="minorHAnsi" w:hAnsiTheme="minorHAnsi"/>
          <w:sz w:val="22"/>
          <w:lang w:val="en-US"/>
        </w:rPr>
      </w:pPr>
      <w:r>
        <w:rPr>
          <w:noProof/>
        </w:rPr>
        <w:t>1.4.</w:t>
      </w:r>
      <w:r w:rsidRPr="00A169E6">
        <w:rPr>
          <w:rFonts w:asciiTheme="minorHAnsi" w:hAnsiTheme="minorHAnsi"/>
          <w:sz w:val="22"/>
          <w:lang w:val="en-US"/>
        </w:rPr>
        <w:tab/>
      </w:r>
      <w:r>
        <w:rPr>
          <w:noProof/>
        </w:rPr>
        <w:t>Residential aged care</w:t>
      </w:r>
      <w:r>
        <w:rPr>
          <w:noProof/>
        </w:rPr>
        <w:tab/>
      </w:r>
      <w:r>
        <w:rPr>
          <w:noProof/>
        </w:rPr>
        <w:fldChar w:fldCharType="begin"/>
      </w:r>
      <w:r>
        <w:rPr>
          <w:noProof/>
        </w:rPr>
        <w:instrText xml:space="preserve"> PAGEREF _Toc476739258 \h </w:instrText>
      </w:r>
      <w:r>
        <w:rPr>
          <w:noProof/>
        </w:rPr>
      </w:r>
      <w:r>
        <w:rPr>
          <w:noProof/>
        </w:rPr>
        <w:fldChar w:fldCharType="separate"/>
      </w:r>
      <w:r w:rsidR="0090772F">
        <w:rPr>
          <w:noProof/>
        </w:rPr>
        <w:t>4</w:t>
      </w:r>
      <w:r>
        <w:rPr>
          <w:noProof/>
        </w:rPr>
        <w:fldChar w:fldCharType="end"/>
      </w:r>
    </w:p>
    <w:p w14:paraId="1ACB06F8" w14:textId="351DB441" w:rsidR="00263234" w:rsidRPr="00A169E6" w:rsidRDefault="00263234">
      <w:pPr>
        <w:pStyle w:val="TOC2"/>
        <w:rPr>
          <w:rFonts w:asciiTheme="minorHAnsi" w:hAnsiTheme="minorHAnsi"/>
          <w:sz w:val="22"/>
          <w:lang w:val="en-US"/>
        </w:rPr>
      </w:pPr>
      <w:r>
        <w:rPr>
          <w:noProof/>
        </w:rPr>
        <w:t>1.5.</w:t>
      </w:r>
      <w:r w:rsidRPr="00A169E6">
        <w:rPr>
          <w:rFonts w:asciiTheme="minorHAnsi" w:hAnsiTheme="minorHAnsi"/>
          <w:sz w:val="22"/>
          <w:lang w:val="en-US"/>
        </w:rPr>
        <w:tab/>
      </w:r>
      <w:r>
        <w:rPr>
          <w:noProof/>
        </w:rPr>
        <w:t>Demand and supply profile in the retirement village sector</w:t>
      </w:r>
      <w:r>
        <w:rPr>
          <w:noProof/>
        </w:rPr>
        <w:tab/>
      </w:r>
      <w:r>
        <w:rPr>
          <w:noProof/>
        </w:rPr>
        <w:fldChar w:fldCharType="begin"/>
      </w:r>
      <w:r>
        <w:rPr>
          <w:noProof/>
        </w:rPr>
        <w:instrText xml:space="preserve"> PAGEREF _Toc476739259 \h </w:instrText>
      </w:r>
      <w:r>
        <w:rPr>
          <w:noProof/>
        </w:rPr>
      </w:r>
      <w:r>
        <w:rPr>
          <w:noProof/>
        </w:rPr>
        <w:fldChar w:fldCharType="separate"/>
      </w:r>
      <w:r w:rsidR="0090772F">
        <w:rPr>
          <w:noProof/>
        </w:rPr>
        <w:t>7</w:t>
      </w:r>
      <w:r>
        <w:rPr>
          <w:noProof/>
        </w:rPr>
        <w:fldChar w:fldCharType="end"/>
      </w:r>
    </w:p>
    <w:p w14:paraId="79D70FD6" w14:textId="4F98F455" w:rsidR="00263234" w:rsidRPr="00A169E6" w:rsidRDefault="00263234">
      <w:pPr>
        <w:pStyle w:val="TOC2"/>
        <w:rPr>
          <w:rFonts w:asciiTheme="minorHAnsi" w:hAnsiTheme="minorHAnsi"/>
          <w:sz w:val="22"/>
          <w:lang w:val="en-US"/>
        </w:rPr>
      </w:pPr>
      <w:r>
        <w:rPr>
          <w:noProof/>
        </w:rPr>
        <w:t>1.6.</w:t>
      </w:r>
      <w:r w:rsidRPr="00A169E6">
        <w:rPr>
          <w:rFonts w:asciiTheme="minorHAnsi" w:hAnsiTheme="minorHAnsi"/>
          <w:sz w:val="22"/>
          <w:lang w:val="en-US"/>
        </w:rPr>
        <w:tab/>
      </w:r>
      <w:r>
        <w:rPr>
          <w:noProof/>
        </w:rPr>
        <w:t>Reform context</w:t>
      </w:r>
      <w:r>
        <w:rPr>
          <w:noProof/>
        </w:rPr>
        <w:tab/>
      </w:r>
      <w:r>
        <w:rPr>
          <w:noProof/>
        </w:rPr>
        <w:fldChar w:fldCharType="begin"/>
      </w:r>
      <w:r>
        <w:rPr>
          <w:noProof/>
        </w:rPr>
        <w:instrText xml:space="preserve"> PAGEREF _Toc476739260 \h </w:instrText>
      </w:r>
      <w:r>
        <w:rPr>
          <w:noProof/>
        </w:rPr>
      </w:r>
      <w:r>
        <w:rPr>
          <w:noProof/>
        </w:rPr>
        <w:fldChar w:fldCharType="separate"/>
      </w:r>
      <w:r w:rsidR="0090772F">
        <w:rPr>
          <w:noProof/>
        </w:rPr>
        <w:t>11</w:t>
      </w:r>
      <w:r>
        <w:rPr>
          <w:noProof/>
        </w:rPr>
        <w:fldChar w:fldCharType="end"/>
      </w:r>
    </w:p>
    <w:p w14:paraId="4A878A57" w14:textId="39E24F19" w:rsidR="00263234" w:rsidRPr="00A169E6" w:rsidRDefault="00263234">
      <w:pPr>
        <w:pStyle w:val="TOC1"/>
        <w:rPr>
          <w:rFonts w:asciiTheme="minorHAnsi" w:hAnsiTheme="minorHAnsi"/>
          <w:b w:val="0"/>
          <w:sz w:val="22"/>
          <w:lang w:val="en-US"/>
        </w:rPr>
      </w:pPr>
      <w:r>
        <w:rPr>
          <w:noProof/>
        </w:rPr>
        <w:t>2.</w:t>
      </w:r>
      <w:r w:rsidRPr="00A169E6">
        <w:rPr>
          <w:rFonts w:asciiTheme="minorHAnsi" w:hAnsiTheme="minorHAnsi"/>
          <w:b w:val="0"/>
          <w:sz w:val="22"/>
          <w:lang w:val="en-US"/>
        </w:rPr>
        <w:tab/>
      </w:r>
      <w:r>
        <w:rPr>
          <w:noProof/>
        </w:rPr>
        <w:t>Problem analysis</w:t>
      </w:r>
      <w:r>
        <w:rPr>
          <w:noProof/>
        </w:rPr>
        <w:tab/>
      </w:r>
      <w:r>
        <w:rPr>
          <w:noProof/>
        </w:rPr>
        <w:fldChar w:fldCharType="begin"/>
      </w:r>
      <w:r>
        <w:rPr>
          <w:noProof/>
        </w:rPr>
        <w:instrText xml:space="preserve"> PAGEREF _Toc476739261 \h </w:instrText>
      </w:r>
      <w:r>
        <w:rPr>
          <w:noProof/>
        </w:rPr>
      </w:r>
      <w:r>
        <w:rPr>
          <w:noProof/>
        </w:rPr>
        <w:fldChar w:fldCharType="separate"/>
      </w:r>
      <w:r w:rsidR="0090772F">
        <w:rPr>
          <w:noProof/>
        </w:rPr>
        <w:t>13</w:t>
      </w:r>
      <w:r>
        <w:rPr>
          <w:noProof/>
        </w:rPr>
        <w:fldChar w:fldCharType="end"/>
      </w:r>
    </w:p>
    <w:p w14:paraId="4CD30059" w14:textId="3A015357" w:rsidR="00263234" w:rsidRPr="00A169E6" w:rsidRDefault="00263234">
      <w:pPr>
        <w:pStyle w:val="TOC2"/>
        <w:rPr>
          <w:rFonts w:asciiTheme="minorHAnsi" w:hAnsiTheme="minorHAnsi"/>
          <w:sz w:val="22"/>
          <w:lang w:val="en-US"/>
        </w:rPr>
      </w:pPr>
      <w:r>
        <w:rPr>
          <w:noProof/>
        </w:rPr>
        <w:t>2.1.</w:t>
      </w:r>
      <w:r w:rsidRPr="00A169E6">
        <w:rPr>
          <w:rFonts w:asciiTheme="minorHAnsi" w:hAnsiTheme="minorHAnsi"/>
          <w:sz w:val="22"/>
          <w:lang w:val="en-US"/>
        </w:rPr>
        <w:tab/>
      </w:r>
      <w:r>
        <w:rPr>
          <w:noProof/>
        </w:rPr>
        <w:t>Context</w:t>
      </w:r>
      <w:r>
        <w:rPr>
          <w:noProof/>
        </w:rPr>
        <w:tab/>
      </w:r>
      <w:r>
        <w:rPr>
          <w:noProof/>
        </w:rPr>
        <w:fldChar w:fldCharType="begin"/>
      </w:r>
      <w:r>
        <w:rPr>
          <w:noProof/>
        </w:rPr>
        <w:instrText xml:space="preserve"> PAGEREF _Toc476739262 \h </w:instrText>
      </w:r>
      <w:r>
        <w:rPr>
          <w:noProof/>
        </w:rPr>
      </w:r>
      <w:r>
        <w:rPr>
          <w:noProof/>
        </w:rPr>
        <w:fldChar w:fldCharType="separate"/>
      </w:r>
      <w:r w:rsidR="0090772F">
        <w:rPr>
          <w:noProof/>
        </w:rPr>
        <w:t>13</w:t>
      </w:r>
      <w:r>
        <w:rPr>
          <w:noProof/>
        </w:rPr>
        <w:fldChar w:fldCharType="end"/>
      </w:r>
    </w:p>
    <w:p w14:paraId="55C140E1" w14:textId="5FE7019A" w:rsidR="00263234" w:rsidRPr="00A169E6" w:rsidRDefault="00263234">
      <w:pPr>
        <w:pStyle w:val="TOC2"/>
        <w:rPr>
          <w:rFonts w:asciiTheme="minorHAnsi" w:hAnsiTheme="minorHAnsi"/>
          <w:sz w:val="22"/>
          <w:lang w:val="en-US"/>
        </w:rPr>
      </w:pPr>
      <w:r>
        <w:rPr>
          <w:noProof/>
        </w:rPr>
        <w:t>2.2.</w:t>
      </w:r>
      <w:r w:rsidRPr="00A169E6">
        <w:rPr>
          <w:rFonts w:asciiTheme="minorHAnsi" w:hAnsiTheme="minorHAnsi"/>
          <w:sz w:val="22"/>
          <w:lang w:val="en-US"/>
        </w:rPr>
        <w:tab/>
      </w:r>
      <w:r>
        <w:rPr>
          <w:noProof/>
        </w:rPr>
        <w:t>Problems identified</w:t>
      </w:r>
      <w:r>
        <w:rPr>
          <w:noProof/>
        </w:rPr>
        <w:tab/>
      </w:r>
      <w:r>
        <w:rPr>
          <w:noProof/>
        </w:rPr>
        <w:fldChar w:fldCharType="begin"/>
      </w:r>
      <w:r>
        <w:rPr>
          <w:noProof/>
        </w:rPr>
        <w:instrText xml:space="preserve"> PAGEREF _Toc476739263 \h </w:instrText>
      </w:r>
      <w:r>
        <w:rPr>
          <w:noProof/>
        </w:rPr>
      </w:r>
      <w:r>
        <w:rPr>
          <w:noProof/>
        </w:rPr>
        <w:fldChar w:fldCharType="separate"/>
      </w:r>
      <w:r w:rsidR="0090772F">
        <w:rPr>
          <w:noProof/>
        </w:rPr>
        <w:t>14</w:t>
      </w:r>
      <w:r>
        <w:rPr>
          <w:noProof/>
        </w:rPr>
        <w:fldChar w:fldCharType="end"/>
      </w:r>
    </w:p>
    <w:p w14:paraId="71E2DCD0" w14:textId="3C355859" w:rsidR="00263234" w:rsidRPr="00A169E6" w:rsidRDefault="00263234">
      <w:pPr>
        <w:pStyle w:val="TOC2"/>
        <w:rPr>
          <w:rFonts w:asciiTheme="minorHAnsi" w:hAnsiTheme="minorHAnsi"/>
          <w:sz w:val="22"/>
          <w:lang w:val="en-US"/>
        </w:rPr>
      </w:pPr>
      <w:r>
        <w:rPr>
          <w:noProof/>
        </w:rPr>
        <w:t>2.3.</w:t>
      </w:r>
      <w:r w:rsidRPr="00A169E6">
        <w:rPr>
          <w:rFonts w:asciiTheme="minorHAnsi" w:hAnsiTheme="minorHAnsi"/>
          <w:sz w:val="22"/>
          <w:lang w:val="en-US"/>
        </w:rPr>
        <w:tab/>
      </w:r>
      <w:r>
        <w:rPr>
          <w:noProof/>
        </w:rPr>
        <w:t>Evidence of the problem</w:t>
      </w:r>
      <w:r>
        <w:rPr>
          <w:noProof/>
        </w:rPr>
        <w:tab/>
      </w:r>
      <w:r>
        <w:rPr>
          <w:noProof/>
        </w:rPr>
        <w:fldChar w:fldCharType="begin"/>
      </w:r>
      <w:r>
        <w:rPr>
          <w:noProof/>
        </w:rPr>
        <w:instrText xml:space="preserve"> PAGEREF _Toc476739264 \h </w:instrText>
      </w:r>
      <w:r>
        <w:rPr>
          <w:noProof/>
        </w:rPr>
      </w:r>
      <w:r>
        <w:rPr>
          <w:noProof/>
        </w:rPr>
        <w:fldChar w:fldCharType="separate"/>
      </w:r>
      <w:r w:rsidR="0090772F">
        <w:rPr>
          <w:noProof/>
        </w:rPr>
        <w:t>17</w:t>
      </w:r>
      <w:r>
        <w:rPr>
          <w:noProof/>
        </w:rPr>
        <w:fldChar w:fldCharType="end"/>
      </w:r>
    </w:p>
    <w:p w14:paraId="273E190A" w14:textId="658B1B48" w:rsidR="00263234" w:rsidRPr="00A169E6" w:rsidRDefault="00263234">
      <w:pPr>
        <w:pStyle w:val="TOC1"/>
        <w:rPr>
          <w:rFonts w:asciiTheme="minorHAnsi" w:hAnsiTheme="minorHAnsi"/>
          <w:b w:val="0"/>
          <w:sz w:val="22"/>
          <w:lang w:val="en-US"/>
        </w:rPr>
      </w:pPr>
      <w:r>
        <w:rPr>
          <w:noProof/>
        </w:rPr>
        <w:t>3.</w:t>
      </w:r>
      <w:r w:rsidRPr="00A169E6">
        <w:rPr>
          <w:rFonts w:asciiTheme="minorHAnsi" w:hAnsiTheme="minorHAnsi"/>
          <w:b w:val="0"/>
          <w:sz w:val="22"/>
          <w:lang w:val="en-US"/>
        </w:rPr>
        <w:tab/>
      </w:r>
      <w:r>
        <w:rPr>
          <w:noProof/>
        </w:rPr>
        <w:t>Objective of regulation</w:t>
      </w:r>
      <w:r>
        <w:rPr>
          <w:noProof/>
        </w:rPr>
        <w:tab/>
      </w:r>
      <w:r>
        <w:rPr>
          <w:noProof/>
        </w:rPr>
        <w:fldChar w:fldCharType="begin"/>
      </w:r>
      <w:r>
        <w:rPr>
          <w:noProof/>
        </w:rPr>
        <w:instrText xml:space="preserve"> PAGEREF _Toc476739265 \h </w:instrText>
      </w:r>
      <w:r>
        <w:rPr>
          <w:noProof/>
        </w:rPr>
      </w:r>
      <w:r>
        <w:rPr>
          <w:noProof/>
        </w:rPr>
        <w:fldChar w:fldCharType="separate"/>
      </w:r>
      <w:r w:rsidR="0090772F">
        <w:rPr>
          <w:noProof/>
        </w:rPr>
        <w:t>23</w:t>
      </w:r>
      <w:r>
        <w:rPr>
          <w:noProof/>
        </w:rPr>
        <w:fldChar w:fldCharType="end"/>
      </w:r>
    </w:p>
    <w:p w14:paraId="145369AE" w14:textId="24A287E7" w:rsidR="00263234" w:rsidRPr="00A169E6" w:rsidRDefault="00263234">
      <w:pPr>
        <w:pStyle w:val="TOC2"/>
        <w:rPr>
          <w:rFonts w:asciiTheme="minorHAnsi" w:hAnsiTheme="minorHAnsi"/>
          <w:sz w:val="22"/>
          <w:lang w:val="en-US"/>
        </w:rPr>
      </w:pPr>
      <w:r>
        <w:rPr>
          <w:noProof/>
        </w:rPr>
        <w:t>3.1.</w:t>
      </w:r>
      <w:r w:rsidRPr="00A169E6">
        <w:rPr>
          <w:rFonts w:asciiTheme="minorHAnsi" w:hAnsiTheme="minorHAnsi"/>
          <w:sz w:val="22"/>
          <w:lang w:val="en-US"/>
        </w:rPr>
        <w:tab/>
      </w:r>
      <w:r>
        <w:rPr>
          <w:noProof/>
        </w:rPr>
        <w:t>Legislative and regulatory objectives</w:t>
      </w:r>
      <w:r>
        <w:rPr>
          <w:noProof/>
        </w:rPr>
        <w:tab/>
      </w:r>
      <w:r>
        <w:rPr>
          <w:noProof/>
        </w:rPr>
        <w:fldChar w:fldCharType="begin"/>
      </w:r>
      <w:r>
        <w:rPr>
          <w:noProof/>
        </w:rPr>
        <w:instrText xml:space="preserve"> PAGEREF _Toc476739266 \h </w:instrText>
      </w:r>
      <w:r>
        <w:rPr>
          <w:noProof/>
        </w:rPr>
      </w:r>
      <w:r>
        <w:rPr>
          <w:noProof/>
        </w:rPr>
        <w:fldChar w:fldCharType="separate"/>
      </w:r>
      <w:r w:rsidR="0090772F">
        <w:rPr>
          <w:noProof/>
        </w:rPr>
        <w:t>23</w:t>
      </w:r>
      <w:r>
        <w:rPr>
          <w:noProof/>
        </w:rPr>
        <w:fldChar w:fldCharType="end"/>
      </w:r>
    </w:p>
    <w:p w14:paraId="5F09F1E7" w14:textId="0A446E3B" w:rsidR="00263234" w:rsidRPr="00A169E6" w:rsidRDefault="00263234">
      <w:pPr>
        <w:pStyle w:val="TOC2"/>
        <w:rPr>
          <w:rFonts w:asciiTheme="minorHAnsi" w:hAnsiTheme="minorHAnsi"/>
          <w:sz w:val="22"/>
          <w:lang w:val="en-US"/>
        </w:rPr>
      </w:pPr>
      <w:r>
        <w:rPr>
          <w:noProof/>
        </w:rPr>
        <w:t>3.2.</w:t>
      </w:r>
      <w:r w:rsidRPr="00A169E6">
        <w:rPr>
          <w:rFonts w:asciiTheme="minorHAnsi" w:hAnsiTheme="minorHAnsi"/>
          <w:sz w:val="22"/>
          <w:lang w:val="en-US"/>
        </w:rPr>
        <w:tab/>
      </w:r>
      <w:r>
        <w:rPr>
          <w:noProof/>
        </w:rPr>
        <w:t>Objectives of the reform proposal</w:t>
      </w:r>
      <w:r>
        <w:rPr>
          <w:noProof/>
        </w:rPr>
        <w:tab/>
      </w:r>
      <w:r>
        <w:rPr>
          <w:noProof/>
        </w:rPr>
        <w:fldChar w:fldCharType="begin"/>
      </w:r>
      <w:r>
        <w:rPr>
          <w:noProof/>
        </w:rPr>
        <w:instrText xml:space="preserve"> PAGEREF _Toc476739267 \h </w:instrText>
      </w:r>
      <w:r>
        <w:rPr>
          <w:noProof/>
        </w:rPr>
      </w:r>
      <w:r>
        <w:rPr>
          <w:noProof/>
        </w:rPr>
        <w:fldChar w:fldCharType="separate"/>
      </w:r>
      <w:r w:rsidR="0090772F">
        <w:rPr>
          <w:noProof/>
        </w:rPr>
        <w:t>23</w:t>
      </w:r>
      <w:r>
        <w:rPr>
          <w:noProof/>
        </w:rPr>
        <w:fldChar w:fldCharType="end"/>
      </w:r>
    </w:p>
    <w:p w14:paraId="1B9225E1" w14:textId="7E458195" w:rsidR="00263234" w:rsidRPr="00A169E6" w:rsidRDefault="00263234">
      <w:pPr>
        <w:pStyle w:val="TOC1"/>
        <w:rPr>
          <w:rFonts w:asciiTheme="minorHAnsi" w:hAnsiTheme="minorHAnsi"/>
          <w:b w:val="0"/>
          <w:sz w:val="22"/>
          <w:lang w:val="en-US"/>
        </w:rPr>
      </w:pPr>
      <w:r>
        <w:rPr>
          <w:noProof/>
          <w:lang w:eastAsia="zh-MO"/>
        </w:rPr>
        <w:t>4.</w:t>
      </w:r>
      <w:r w:rsidRPr="00A169E6">
        <w:rPr>
          <w:rFonts w:asciiTheme="minorHAnsi" w:hAnsiTheme="minorHAnsi"/>
          <w:b w:val="0"/>
          <w:sz w:val="22"/>
          <w:lang w:val="en-US"/>
        </w:rPr>
        <w:tab/>
      </w:r>
      <w:r>
        <w:rPr>
          <w:noProof/>
        </w:rPr>
        <w:t>Options to address the problem</w:t>
      </w:r>
      <w:r>
        <w:rPr>
          <w:noProof/>
        </w:rPr>
        <w:tab/>
      </w:r>
      <w:r>
        <w:rPr>
          <w:noProof/>
        </w:rPr>
        <w:fldChar w:fldCharType="begin"/>
      </w:r>
      <w:r>
        <w:rPr>
          <w:noProof/>
        </w:rPr>
        <w:instrText xml:space="preserve"> PAGEREF _Toc476739268 \h </w:instrText>
      </w:r>
      <w:r>
        <w:rPr>
          <w:noProof/>
        </w:rPr>
      </w:r>
      <w:r>
        <w:rPr>
          <w:noProof/>
        </w:rPr>
        <w:fldChar w:fldCharType="separate"/>
      </w:r>
      <w:r w:rsidR="0090772F">
        <w:rPr>
          <w:noProof/>
        </w:rPr>
        <w:t>25</w:t>
      </w:r>
      <w:r>
        <w:rPr>
          <w:noProof/>
        </w:rPr>
        <w:fldChar w:fldCharType="end"/>
      </w:r>
    </w:p>
    <w:p w14:paraId="50C3DEFC" w14:textId="4B891B27" w:rsidR="00263234" w:rsidRPr="00A169E6" w:rsidRDefault="00263234">
      <w:pPr>
        <w:pStyle w:val="TOC2"/>
        <w:rPr>
          <w:rFonts w:asciiTheme="minorHAnsi" w:hAnsiTheme="minorHAnsi"/>
          <w:sz w:val="22"/>
          <w:lang w:val="en-US"/>
        </w:rPr>
      </w:pPr>
      <w:r>
        <w:rPr>
          <w:noProof/>
          <w:lang w:eastAsia="zh-MO"/>
        </w:rPr>
        <w:t>4.1.</w:t>
      </w:r>
      <w:r w:rsidRPr="00A169E6">
        <w:rPr>
          <w:rFonts w:asciiTheme="minorHAnsi" w:hAnsiTheme="minorHAnsi"/>
          <w:sz w:val="22"/>
          <w:lang w:val="en-US"/>
        </w:rPr>
        <w:tab/>
      </w:r>
      <w:r w:rsidRPr="00123530">
        <w:rPr>
          <w:rFonts w:eastAsia="PMingLiU"/>
          <w:noProof/>
          <w:lang w:eastAsia="zh-MO"/>
        </w:rPr>
        <w:t>Overview of the options</w:t>
      </w:r>
      <w:r>
        <w:rPr>
          <w:noProof/>
        </w:rPr>
        <w:tab/>
      </w:r>
      <w:r>
        <w:rPr>
          <w:noProof/>
        </w:rPr>
        <w:fldChar w:fldCharType="begin"/>
      </w:r>
      <w:r>
        <w:rPr>
          <w:noProof/>
        </w:rPr>
        <w:instrText xml:space="preserve"> PAGEREF _Toc476739269 \h </w:instrText>
      </w:r>
      <w:r>
        <w:rPr>
          <w:noProof/>
        </w:rPr>
      </w:r>
      <w:r>
        <w:rPr>
          <w:noProof/>
        </w:rPr>
        <w:fldChar w:fldCharType="separate"/>
      </w:r>
      <w:r w:rsidR="0090772F">
        <w:rPr>
          <w:noProof/>
        </w:rPr>
        <w:t>25</w:t>
      </w:r>
      <w:r>
        <w:rPr>
          <w:noProof/>
        </w:rPr>
        <w:fldChar w:fldCharType="end"/>
      </w:r>
    </w:p>
    <w:p w14:paraId="054E56DF" w14:textId="65E381E7" w:rsidR="00263234" w:rsidRPr="00A169E6" w:rsidRDefault="00263234">
      <w:pPr>
        <w:pStyle w:val="TOC2"/>
        <w:rPr>
          <w:rFonts w:asciiTheme="minorHAnsi" w:hAnsiTheme="minorHAnsi"/>
          <w:sz w:val="22"/>
          <w:lang w:val="en-US"/>
        </w:rPr>
      </w:pPr>
      <w:r>
        <w:rPr>
          <w:noProof/>
        </w:rPr>
        <w:t>4.2.</w:t>
      </w:r>
      <w:r w:rsidRPr="00A169E6">
        <w:rPr>
          <w:rFonts w:asciiTheme="minorHAnsi" w:hAnsiTheme="minorHAnsi"/>
          <w:sz w:val="22"/>
          <w:lang w:val="en-US"/>
        </w:rPr>
        <w:tab/>
      </w:r>
      <w:r>
        <w:rPr>
          <w:noProof/>
        </w:rPr>
        <w:t>Common provisions</w:t>
      </w:r>
      <w:r>
        <w:rPr>
          <w:noProof/>
        </w:rPr>
        <w:tab/>
      </w:r>
      <w:r>
        <w:rPr>
          <w:noProof/>
        </w:rPr>
        <w:fldChar w:fldCharType="begin"/>
      </w:r>
      <w:r>
        <w:rPr>
          <w:noProof/>
        </w:rPr>
        <w:instrText xml:space="preserve"> PAGEREF _Toc476739270 \h </w:instrText>
      </w:r>
      <w:r>
        <w:rPr>
          <w:noProof/>
        </w:rPr>
      </w:r>
      <w:r>
        <w:rPr>
          <w:noProof/>
        </w:rPr>
        <w:fldChar w:fldCharType="separate"/>
      </w:r>
      <w:r w:rsidR="0090772F">
        <w:rPr>
          <w:noProof/>
        </w:rPr>
        <w:t>28</w:t>
      </w:r>
      <w:r>
        <w:rPr>
          <w:noProof/>
        </w:rPr>
        <w:fldChar w:fldCharType="end"/>
      </w:r>
    </w:p>
    <w:p w14:paraId="29675D03" w14:textId="63FB79D8" w:rsidR="00263234" w:rsidRPr="00A169E6" w:rsidRDefault="00263234">
      <w:pPr>
        <w:pStyle w:val="TOC2"/>
        <w:rPr>
          <w:rFonts w:asciiTheme="minorHAnsi" w:hAnsiTheme="minorHAnsi"/>
          <w:sz w:val="22"/>
          <w:lang w:val="en-US"/>
        </w:rPr>
      </w:pPr>
      <w:r>
        <w:rPr>
          <w:noProof/>
        </w:rPr>
        <w:t>4.3.</w:t>
      </w:r>
      <w:r w:rsidRPr="00A169E6">
        <w:rPr>
          <w:rFonts w:asciiTheme="minorHAnsi" w:hAnsiTheme="minorHAnsi"/>
          <w:sz w:val="22"/>
          <w:lang w:val="en-US"/>
        </w:rPr>
        <w:tab/>
      </w:r>
      <w:r>
        <w:rPr>
          <w:noProof/>
        </w:rPr>
        <w:t>Aged care rule</w:t>
      </w:r>
      <w:r>
        <w:rPr>
          <w:noProof/>
        </w:rPr>
        <w:tab/>
      </w:r>
      <w:r>
        <w:rPr>
          <w:noProof/>
        </w:rPr>
        <w:fldChar w:fldCharType="begin"/>
      </w:r>
      <w:r>
        <w:rPr>
          <w:noProof/>
        </w:rPr>
        <w:instrText xml:space="preserve"> PAGEREF _Toc476739271 \h </w:instrText>
      </w:r>
      <w:r>
        <w:rPr>
          <w:noProof/>
        </w:rPr>
      </w:r>
      <w:r>
        <w:rPr>
          <w:noProof/>
        </w:rPr>
        <w:fldChar w:fldCharType="separate"/>
      </w:r>
      <w:r w:rsidR="0090772F">
        <w:rPr>
          <w:noProof/>
        </w:rPr>
        <w:t>29</w:t>
      </w:r>
      <w:r>
        <w:rPr>
          <w:noProof/>
        </w:rPr>
        <w:fldChar w:fldCharType="end"/>
      </w:r>
    </w:p>
    <w:p w14:paraId="7D68182C" w14:textId="417E4822" w:rsidR="00263234" w:rsidRPr="00A169E6" w:rsidRDefault="00263234">
      <w:pPr>
        <w:pStyle w:val="TOC1"/>
        <w:rPr>
          <w:rFonts w:asciiTheme="minorHAnsi" w:hAnsiTheme="minorHAnsi"/>
          <w:b w:val="0"/>
          <w:sz w:val="22"/>
          <w:lang w:val="en-US"/>
        </w:rPr>
      </w:pPr>
      <w:r>
        <w:rPr>
          <w:noProof/>
        </w:rPr>
        <w:t>5.</w:t>
      </w:r>
      <w:r w:rsidRPr="00A169E6">
        <w:rPr>
          <w:rFonts w:asciiTheme="minorHAnsi" w:hAnsiTheme="minorHAnsi"/>
          <w:b w:val="0"/>
          <w:sz w:val="22"/>
          <w:lang w:val="en-US"/>
        </w:rPr>
        <w:tab/>
      </w:r>
      <w:r>
        <w:rPr>
          <w:noProof/>
        </w:rPr>
        <w:t>Options analysis</w:t>
      </w:r>
      <w:r>
        <w:rPr>
          <w:noProof/>
        </w:rPr>
        <w:tab/>
      </w:r>
      <w:r>
        <w:rPr>
          <w:noProof/>
        </w:rPr>
        <w:fldChar w:fldCharType="begin"/>
      </w:r>
      <w:r>
        <w:rPr>
          <w:noProof/>
        </w:rPr>
        <w:instrText xml:space="preserve"> PAGEREF _Toc476739272 \h </w:instrText>
      </w:r>
      <w:r>
        <w:rPr>
          <w:noProof/>
        </w:rPr>
      </w:r>
      <w:r>
        <w:rPr>
          <w:noProof/>
        </w:rPr>
        <w:fldChar w:fldCharType="separate"/>
      </w:r>
      <w:r w:rsidR="0090772F">
        <w:rPr>
          <w:noProof/>
        </w:rPr>
        <w:t>33</w:t>
      </w:r>
      <w:r>
        <w:rPr>
          <w:noProof/>
        </w:rPr>
        <w:fldChar w:fldCharType="end"/>
      </w:r>
    </w:p>
    <w:p w14:paraId="1D745941" w14:textId="24A21313" w:rsidR="00263234" w:rsidRPr="00A169E6" w:rsidRDefault="00263234">
      <w:pPr>
        <w:pStyle w:val="TOC2"/>
        <w:rPr>
          <w:rFonts w:asciiTheme="minorHAnsi" w:hAnsiTheme="minorHAnsi"/>
          <w:sz w:val="22"/>
          <w:lang w:val="en-US"/>
        </w:rPr>
      </w:pPr>
      <w:r>
        <w:rPr>
          <w:noProof/>
        </w:rPr>
        <w:t>5.1.</w:t>
      </w:r>
      <w:r w:rsidRPr="00A169E6">
        <w:rPr>
          <w:rFonts w:asciiTheme="minorHAnsi" w:hAnsiTheme="minorHAnsi"/>
          <w:sz w:val="22"/>
          <w:lang w:val="en-US"/>
        </w:rPr>
        <w:tab/>
      </w:r>
      <w:r>
        <w:rPr>
          <w:noProof/>
        </w:rPr>
        <w:t>Assessment framework</w:t>
      </w:r>
      <w:r>
        <w:rPr>
          <w:noProof/>
        </w:rPr>
        <w:tab/>
      </w:r>
      <w:r>
        <w:rPr>
          <w:noProof/>
        </w:rPr>
        <w:fldChar w:fldCharType="begin"/>
      </w:r>
      <w:r>
        <w:rPr>
          <w:noProof/>
        </w:rPr>
        <w:instrText xml:space="preserve"> PAGEREF _Toc476739273 \h </w:instrText>
      </w:r>
      <w:r>
        <w:rPr>
          <w:noProof/>
        </w:rPr>
      </w:r>
      <w:r>
        <w:rPr>
          <w:noProof/>
        </w:rPr>
        <w:fldChar w:fldCharType="separate"/>
      </w:r>
      <w:r w:rsidR="0090772F">
        <w:rPr>
          <w:noProof/>
        </w:rPr>
        <w:t>33</w:t>
      </w:r>
      <w:r>
        <w:rPr>
          <w:noProof/>
        </w:rPr>
        <w:fldChar w:fldCharType="end"/>
      </w:r>
    </w:p>
    <w:p w14:paraId="1390E377" w14:textId="78C287C1" w:rsidR="00263234" w:rsidRPr="00A169E6" w:rsidRDefault="00263234">
      <w:pPr>
        <w:pStyle w:val="TOC2"/>
        <w:rPr>
          <w:rFonts w:asciiTheme="minorHAnsi" w:hAnsiTheme="minorHAnsi"/>
          <w:sz w:val="22"/>
          <w:lang w:val="en-US"/>
        </w:rPr>
      </w:pPr>
      <w:r>
        <w:rPr>
          <w:noProof/>
        </w:rPr>
        <w:t>5.2.</w:t>
      </w:r>
      <w:r w:rsidRPr="00A169E6">
        <w:rPr>
          <w:rFonts w:asciiTheme="minorHAnsi" w:hAnsiTheme="minorHAnsi"/>
          <w:sz w:val="22"/>
          <w:lang w:val="en-US"/>
        </w:rPr>
        <w:tab/>
      </w:r>
      <w:r>
        <w:rPr>
          <w:noProof/>
        </w:rPr>
        <w:t>Analysis of common provisions</w:t>
      </w:r>
      <w:r>
        <w:rPr>
          <w:noProof/>
        </w:rPr>
        <w:tab/>
      </w:r>
      <w:r>
        <w:rPr>
          <w:noProof/>
        </w:rPr>
        <w:fldChar w:fldCharType="begin"/>
      </w:r>
      <w:r>
        <w:rPr>
          <w:noProof/>
        </w:rPr>
        <w:instrText xml:space="preserve"> PAGEREF _Toc476739274 \h </w:instrText>
      </w:r>
      <w:r>
        <w:rPr>
          <w:noProof/>
        </w:rPr>
      </w:r>
      <w:r>
        <w:rPr>
          <w:noProof/>
        </w:rPr>
        <w:fldChar w:fldCharType="separate"/>
      </w:r>
      <w:r w:rsidR="0090772F">
        <w:rPr>
          <w:noProof/>
        </w:rPr>
        <w:t>33</w:t>
      </w:r>
      <w:r>
        <w:rPr>
          <w:noProof/>
        </w:rPr>
        <w:fldChar w:fldCharType="end"/>
      </w:r>
    </w:p>
    <w:p w14:paraId="3872FF55" w14:textId="59DEFEBB" w:rsidR="00263234" w:rsidRPr="00A169E6" w:rsidRDefault="00263234">
      <w:pPr>
        <w:pStyle w:val="TOC2"/>
        <w:rPr>
          <w:rFonts w:asciiTheme="minorHAnsi" w:hAnsiTheme="minorHAnsi"/>
          <w:sz w:val="22"/>
          <w:lang w:val="en-US"/>
        </w:rPr>
      </w:pPr>
      <w:r>
        <w:rPr>
          <w:noProof/>
        </w:rPr>
        <w:t>5.3.</w:t>
      </w:r>
      <w:r w:rsidRPr="00A169E6">
        <w:rPr>
          <w:rFonts w:asciiTheme="minorHAnsi" w:hAnsiTheme="minorHAnsi"/>
          <w:sz w:val="22"/>
          <w:lang w:val="en-US"/>
        </w:rPr>
        <w:tab/>
      </w:r>
      <w:r>
        <w:rPr>
          <w:noProof/>
        </w:rPr>
        <w:t>Financial analysis of the options for the aged care rule</w:t>
      </w:r>
      <w:r>
        <w:rPr>
          <w:noProof/>
        </w:rPr>
        <w:tab/>
      </w:r>
      <w:r>
        <w:rPr>
          <w:noProof/>
        </w:rPr>
        <w:fldChar w:fldCharType="begin"/>
      </w:r>
      <w:r>
        <w:rPr>
          <w:noProof/>
        </w:rPr>
        <w:instrText xml:space="preserve"> PAGEREF _Toc476739275 \h </w:instrText>
      </w:r>
      <w:r>
        <w:rPr>
          <w:noProof/>
        </w:rPr>
      </w:r>
      <w:r>
        <w:rPr>
          <w:noProof/>
        </w:rPr>
        <w:fldChar w:fldCharType="separate"/>
      </w:r>
      <w:r w:rsidR="0090772F">
        <w:rPr>
          <w:noProof/>
        </w:rPr>
        <w:t>35</w:t>
      </w:r>
      <w:r>
        <w:rPr>
          <w:noProof/>
        </w:rPr>
        <w:fldChar w:fldCharType="end"/>
      </w:r>
    </w:p>
    <w:p w14:paraId="2EBA3513" w14:textId="5ADF4371" w:rsidR="00263234" w:rsidRPr="00A169E6" w:rsidRDefault="00263234">
      <w:pPr>
        <w:pStyle w:val="TOC2"/>
        <w:rPr>
          <w:rFonts w:asciiTheme="minorHAnsi" w:hAnsiTheme="minorHAnsi"/>
          <w:sz w:val="22"/>
          <w:lang w:val="en-US"/>
        </w:rPr>
      </w:pPr>
      <w:r>
        <w:rPr>
          <w:noProof/>
        </w:rPr>
        <w:t>5.4.</w:t>
      </w:r>
      <w:r w:rsidRPr="00A169E6">
        <w:rPr>
          <w:rFonts w:asciiTheme="minorHAnsi" w:hAnsiTheme="minorHAnsi"/>
          <w:sz w:val="22"/>
          <w:lang w:val="en-US"/>
        </w:rPr>
        <w:tab/>
      </w:r>
      <w:r>
        <w:rPr>
          <w:noProof/>
        </w:rPr>
        <w:t>Qualitative analysis of the options for the aged care rule</w:t>
      </w:r>
      <w:r>
        <w:rPr>
          <w:noProof/>
        </w:rPr>
        <w:tab/>
      </w:r>
      <w:r>
        <w:rPr>
          <w:noProof/>
        </w:rPr>
        <w:fldChar w:fldCharType="begin"/>
      </w:r>
      <w:r>
        <w:rPr>
          <w:noProof/>
        </w:rPr>
        <w:instrText xml:space="preserve"> PAGEREF _Toc476739276 \h </w:instrText>
      </w:r>
      <w:r>
        <w:rPr>
          <w:noProof/>
        </w:rPr>
      </w:r>
      <w:r>
        <w:rPr>
          <w:noProof/>
        </w:rPr>
        <w:fldChar w:fldCharType="separate"/>
      </w:r>
      <w:r w:rsidR="0090772F">
        <w:rPr>
          <w:noProof/>
        </w:rPr>
        <w:t>43</w:t>
      </w:r>
      <w:r>
        <w:rPr>
          <w:noProof/>
        </w:rPr>
        <w:fldChar w:fldCharType="end"/>
      </w:r>
    </w:p>
    <w:p w14:paraId="3892E189" w14:textId="422B3B64" w:rsidR="00263234" w:rsidRPr="00A169E6" w:rsidRDefault="00263234">
      <w:pPr>
        <w:pStyle w:val="TOC2"/>
        <w:rPr>
          <w:rFonts w:asciiTheme="minorHAnsi" w:hAnsiTheme="minorHAnsi"/>
          <w:sz w:val="22"/>
          <w:lang w:val="en-US"/>
        </w:rPr>
      </w:pPr>
      <w:r>
        <w:rPr>
          <w:noProof/>
        </w:rPr>
        <w:t>5.5.</w:t>
      </w:r>
      <w:r w:rsidRPr="00A169E6">
        <w:rPr>
          <w:rFonts w:asciiTheme="minorHAnsi" w:hAnsiTheme="minorHAnsi"/>
          <w:sz w:val="22"/>
          <w:lang w:val="en-US"/>
        </w:rPr>
        <w:tab/>
      </w:r>
      <w:r>
        <w:rPr>
          <w:noProof/>
        </w:rPr>
        <w:t>Overall assessment</w:t>
      </w:r>
      <w:r>
        <w:rPr>
          <w:noProof/>
        </w:rPr>
        <w:tab/>
      </w:r>
      <w:r>
        <w:rPr>
          <w:noProof/>
        </w:rPr>
        <w:fldChar w:fldCharType="begin"/>
      </w:r>
      <w:r>
        <w:rPr>
          <w:noProof/>
        </w:rPr>
        <w:instrText xml:space="preserve"> PAGEREF _Toc476739277 \h </w:instrText>
      </w:r>
      <w:r>
        <w:rPr>
          <w:noProof/>
        </w:rPr>
      </w:r>
      <w:r>
        <w:rPr>
          <w:noProof/>
        </w:rPr>
        <w:fldChar w:fldCharType="separate"/>
      </w:r>
      <w:r w:rsidR="0090772F">
        <w:rPr>
          <w:noProof/>
        </w:rPr>
        <w:t>46</w:t>
      </w:r>
      <w:r>
        <w:rPr>
          <w:noProof/>
        </w:rPr>
        <w:fldChar w:fldCharType="end"/>
      </w:r>
    </w:p>
    <w:p w14:paraId="75E3111E" w14:textId="0F92300A" w:rsidR="00263234" w:rsidRPr="00A169E6" w:rsidRDefault="00263234">
      <w:pPr>
        <w:pStyle w:val="TOC1"/>
        <w:rPr>
          <w:rFonts w:asciiTheme="minorHAnsi" w:hAnsiTheme="minorHAnsi"/>
          <w:b w:val="0"/>
          <w:sz w:val="22"/>
          <w:lang w:val="en-US"/>
        </w:rPr>
      </w:pPr>
      <w:r>
        <w:rPr>
          <w:noProof/>
        </w:rPr>
        <w:t>6.</w:t>
      </w:r>
      <w:r w:rsidRPr="00A169E6">
        <w:rPr>
          <w:rFonts w:asciiTheme="minorHAnsi" w:hAnsiTheme="minorHAnsi"/>
          <w:b w:val="0"/>
          <w:sz w:val="22"/>
          <w:lang w:val="en-US"/>
        </w:rPr>
        <w:tab/>
      </w:r>
      <w:r>
        <w:rPr>
          <w:noProof/>
        </w:rPr>
        <w:t>Preferred option</w:t>
      </w:r>
      <w:r>
        <w:rPr>
          <w:noProof/>
        </w:rPr>
        <w:tab/>
      </w:r>
      <w:r>
        <w:rPr>
          <w:noProof/>
        </w:rPr>
        <w:fldChar w:fldCharType="begin"/>
      </w:r>
      <w:r>
        <w:rPr>
          <w:noProof/>
        </w:rPr>
        <w:instrText xml:space="preserve"> PAGEREF _Toc476739278 \h </w:instrText>
      </w:r>
      <w:r>
        <w:rPr>
          <w:noProof/>
        </w:rPr>
      </w:r>
      <w:r>
        <w:rPr>
          <w:noProof/>
        </w:rPr>
        <w:fldChar w:fldCharType="separate"/>
      </w:r>
      <w:r w:rsidR="0090772F">
        <w:rPr>
          <w:noProof/>
        </w:rPr>
        <w:t>47</w:t>
      </w:r>
      <w:r>
        <w:rPr>
          <w:noProof/>
        </w:rPr>
        <w:fldChar w:fldCharType="end"/>
      </w:r>
    </w:p>
    <w:p w14:paraId="2314AFA0" w14:textId="7649B8C3" w:rsidR="00263234" w:rsidRPr="00A169E6" w:rsidRDefault="00263234">
      <w:pPr>
        <w:pStyle w:val="TOC2"/>
        <w:rPr>
          <w:rFonts w:asciiTheme="minorHAnsi" w:hAnsiTheme="minorHAnsi"/>
          <w:sz w:val="22"/>
          <w:lang w:val="en-US"/>
        </w:rPr>
      </w:pPr>
      <w:r>
        <w:rPr>
          <w:noProof/>
        </w:rPr>
        <w:t>6.1.</w:t>
      </w:r>
      <w:r w:rsidRPr="00A169E6">
        <w:rPr>
          <w:rFonts w:asciiTheme="minorHAnsi" w:hAnsiTheme="minorHAnsi"/>
          <w:sz w:val="22"/>
          <w:lang w:val="en-US"/>
        </w:rPr>
        <w:tab/>
      </w:r>
      <w:r>
        <w:rPr>
          <w:noProof/>
        </w:rPr>
        <w:t>Summary of preferred option and impacts</w:t>
      </w:r>
      <w:r>
        <w:rPr>
          <w:noProof/>
        </w:rPr>
        <w:tab/>
      </w:r>
      <w:r>
        <w:rPr>
          <w:noProof/>
        </w:rPr>
        <w:fldChar w:fldCharType="begin"/>
      </w:r>
      <w:r>
        <w:rPr>
          <w:noProof/>
        </w:rPr>
        <w:instrText xml:space="preserve"> PAGEREF _Toc476739279 \h </w:instrText>
      </w:r>
      <w:r>
        <w:rPr>
          <w:noProof/>
        </w:rPr>
      </w:r>
      <w:r>
        <w:rPr>
          <w:noProof/>
        </w:rPr>
        <w:fldChar w:fldCharType="separate"/>
      </w:r>
      <w:r w:rsidR="0090772F">
        <w:rPr>
          <w:noProof/>
        </w:rPr>
        <w:t>47</w:t>
      </w:r>
      <w:r>
        <w:rPr>
          <w:noProof/>
        </w:rPr>
        <w:fldChar w:fldCharType="end"/>
      </w:r>
    </w:p>
    <w:p w14:paraId="6BA24D09" w14:textId="0541F579" w:rsidR="00263234" w:rsidRPr="00A169E6" w:rsidRDefault="00263234">
      <w:pPr>
        <w:pStyle w:val="TOC2"/>
        <w:rPr>
          <w:rFonts w:asciiTheme="minorHAnsi" w:hAnsiTheme="minorHAnsi"/>
          <w:sz w:val="22"/>
          <w:lang w:val="en-US"/>
        </w:rPr>
      </w:pPr>
      <w:r>
        <w:rPr>
          <w:noProof/>
        </w:rPr>
        <w:t>6.2.</w:t>
      </w:r>
      <w:r w:rsidRPr="00A169E6">
        <w:rPr>
          <w:rFonts w:asciiTheme="minorHAnsi" w:hAnsiTheme="minorHAnsi"/>
          <w:sz w:val="22"/>
          <w:lang w:val="en-US"/>
        </w:rPr>
        <w:tab/>
      </w:r>
      <w:r>
        <w:rPr>
          <w:noProof/>
        </w:rPr>
        <w:t>Case study to illustrate the impacts of the preferred option</w:t>
      </w:r>
      <w:r>
        <w:rPr>
          <w:noProof/>
        </w:rPr>
        <w:tab/>
      </w:r>
      <w:r>
        <w:rPr>
          <w:noProof/>
        </w:rPr>
        <w:fldChar w:fldCharType="begin"/>
      </w:r>
      <w:r>
        <w:rPr>
          <w:noProof/>
        </w:rPr>
        <w:instrText xml:space="preserve"> PAGEREF _Toc476739280 \h </w:instrText>
      </w:r>
      <w:r>
        <w:rPr>
          <w:noProof/>
        </w:rPr>
      </w:r>
      <w:r>
        <w:rPr>
          <w:noProof/>
        </w:rPr>
        <w:fldChar w:fldCharType="separate"/>
      </w:r>
      <w:r w:rsidR="0090772F">
        <w:rPr>
          <w:noProof/>
        </w:rPr>
        <w:t>49</w:t>
      </w:r>
      <w:r>
        <w:rPr>
          <w:noProof/>
        </w:rPr>
        <w:fldChar w:fldCharType="end"/>
      </w:r>
    </w:p>
    <w:p w14:paraId="4C725026" w14:textId="4E72D456" w:rsidR="00263234" w:rsidRPr="00A169E6" w:rsidRDefault="00263234">
      <w:pPr>
        <w:pStyle w:val="TOC2"/>
        <w:rPr>
          <w:rFonts w:asciiTheme="minorHAnsi" w:hAnsiTheme="minorHAnsi"/>
          <w:sz w:val="22"/>
          <w:lang w:val="en-US"/>
        </w:rPr>
      </w:pPr>
      <w:r>
        <w:rPr>
          <w:noProof/>
        </w:rPr>
        <w:t>6.3.</w:t>
      </w:r>
      <w:r w:rsidRPr="00A169E6">
        <w:rPr>
          <w:rFonts w:asciiTheme="minorHAnsi" w:hAnsiTheme="minorHAnsi"/>
          <w:sz w:val="22"/>
          <w:lang w:val="en-US"/>
        </w:rPr>
        <w:tab/>
      </w:r>
      <w:r>
        <w:rPr>
          <w:noProof/>
        </w:rPr>
        <w:t>Case study to illustrate impacts of changes in key assumptions</w:t>
      </w:r>
      <w:r>
        <w:rPr>
          <w:noProof/>
        </w:rPr>
        <w:tab/>
      </w:r>
      <w:r>
        <w:rPr>
          <w:noProof/>
        </w:rPr>
        <w:fldChar w:fldCharType="begin"/>
      </w:r>
      <w:r>
        <w:rPr>
          <w:noProof/>
        </w:rPr>
        <w:instrText xml:space="preserve"> PAGEREF _Toc476739281 \h </w:instrText>
      </w:r>
      <w:r>
        <w:rPr>
          <w:noProof/>
        </w:rPr>
      </w:r>
      <w:r>
        <w:rPr>
          <w:noProof/>
        </w:rPr>
        <w:fldChar w:fldCharType="separate"/>
      </w:r>
      <w:r w:rsidR="0090772F">
        <w:rPr>
          <w:noProof/>
        </w:rPr>
        <w:t>50</w:t>
      </w:r>
      <w:r>
        <w:rPr>
          <w:noProof/>
        </w:rPr>
        <w:fldChar w:fldCharType="end"/>
      </w:r>
    </w:p>
    <w:p w14:paraId="5879A1A3" w14:textId="2648B59E" w:rsidR="00263234" w:rsidRPr="00A169E6" w:rsidRDefault="00263234">
      <w:pPr>
        <w:pStyle w:val="TOC2"/>
        <w:rPr>
          <w:rFonts w:asciiTheme="minorHAnsi" w:hAnsiTheme="minorHAnsi"/>
          <w:sz w:val="22"/>
          <w:lang w:val="en-US"/>
        </w:rPr>
      </w:pPr>
      <w:r>
        <w:rPr>
          <w:noProof/>
        </w:rPr>
        <w:t>6.4.</w:t>
      </w:r>
      <w:r w:rsidRPr="00A169E6">
        <w:rPr>
          <w:rFonts w:asciiTheme="minorHAnsi" w:hAnsiTheme="minorHAnsi"/>
          <w:sz w:val="22"/>
          <w:lang w:val="en-US"/>
        </w:rPr>
        <w:tab/>
      </w:r>
      <w:r>
        <w:rPr>
          <w:noProof/>
        </w:rPr>
        <w:t>Interest rate sensitivity analysis</w:t>
      </w:r>
      <w:r>
        <w:rPr>
          <w:noProof/>
        </w:rPr>
        <w:tab/>
      </w:r>
      <w:r>
        <w:rPr>
          <w:noProof/>
        </w:rPr>
        <w:fldChar w:fldCharType="begin"/>
      </w:r>
      <w:r>
        <w:rPr>
          <w:noProof/>
        </w:rPr>
        <w:instrText xml:space="preserve"> PAGEREF _Toc476739282 \h </w:instrText>
      </w:r>
      <w:r>
        <w:rPr>
          <w:noProof/>
        </w:rPr>
      </w:r>
      <w:r>
        <w:rPr>
          <w:noProof/>
        </w:rPr>
        <w:fldChar w:fldCharType="separate"/>
      </w:r>
      <w:r w:rsidR="0090772F">
        <w:rPr>
          <w:noProof/>
        </w:rPr>
        <w:t>51</w:t>
      </w:r>
      <w:r>
        <w:rPr>
          <w:noProof/>
        </w:rPr>
        <w:fldChar w:fldCharType="end"/>
      </w:r>
    </w:p>
    <w:p w14:paraId="4D3AD044" w14:textId="4E6C4816" w:rsidR="00263234" w:rsidRPr="00A169E6" w:rsidRDefault="00263234">
      <w:pPr>
        <w:pStyle w:val="TOC2"/>
        <w:rPr>
          <w:rFonts w:asciiTheme="minorHAnsi" w:hAnsiTheme="minorHAnsi"/>
          <w:sz w:val="22"/>
          <w:lang w:val="en-US"/>
        </w:rPr>
      </w:pPr>
      <w:r>
        <w:rPr>
          <w:noProof/>
        </w:rPr>
        <w:t>6.5.</w:t>
      </w:r>
      <w:r w:rsidRPr="00A169E6">
        <w:rPr>
          <w:rFonts w:asciiTheme="minorHAnsi" w:hAnsiTheme="minorHAnsi"/>
          <w:sz w:val="22"/>
          <w:lang w:val="en-US"/>
        </w:rPr>
        <w:tab/>
      </w:r>
      <w:r>
        <w:rPr>
          <w:noProof/>
        </w:rPr>
        <w:t>Impact on small businesses</w:t>
      </w:r>
      <w:r>
        <w:rPr>
          <w:noProof/>
        </w:rPr>
        <w:tab/>
      </w:r>
      <w:r>
        <w:rPr>
          <w:noProof/>
        </w:rPr>
        <w:fldChar w:fldCharType="begin"/>
      </w:r>
      <w:r>
        <w:rPr>
          <w:noProof/>
        </w:rPr>
        <w:instrText xml:space="preserve"> PAGEREF _Toc476739283 \h </w:instrText>
      </w:r>
      <w:r>
        <w:rPr>
          <w:noProof/>
        </w:rPr>
      </w:r>
      <w:r>
        <w:rPr>
          <w:noProof/>
        </w:rPr>
        <w:fldChar w:fldCharType="separate"/>
      </w:r>
      <w:r w:rsidR="0090772F">
        <w:rPr>
          <w:noProof/>
        </w:rPr>
        <w:t>52</w:t>
      </w:r>
      <w:r>
        <w:rPr>
          <w:noProof/>
        </w:rPr>
        <w:fldChar w:fldCharType="end"/>
      </w:r>
    </w:p>
    <w:p w14:paraId="6454A9AD" w14:textId="2B165E18" w:rsidR="00263234" w:rsidRPr="00A169E6" w:rsidRDefault="00263234">
      <w:pPr>
        <w:pStyle w:val="TOC2"/>
        <w:rPr>
          <w:rFonts w:asciiTheme="minorHAnsi" w:hAnsiTheme="minorHAnsi"/>
          <w:sz w:val="22"/>
          <w:lang w:val="en-US"/>
        </w:rPr>
      </w:pPr>
      <w:r>
        <w:rPr>
          <w:noProof/>
        </w:rPr>
        <w:t>6.6.</w:t>
      </w:r>
      <w:r w:rsidRPr="00A169E6">
        <w:rPr>
          <w:rFonts w:asciiTheme="minorHAnsi" w:hAnsiTheme="minorHAnsi"/>
          <w:sz w:val="22"/>
          <w:lang w:val="en-US"/>
        </w:rPr>
        <w:tab/>
      </w:r>
      <w:r>
        <w:rPr>
          <w:noProof/>
        </w:rPr>
        <w:t>Competition Assessment</w:t>
      </w:r>
      <w:r>
        <w:rPr>
          <w:noProof/>
        </w:rPr>
        <w:tab/>
      </w:r>
      <w:r>
        <w:rPr>
          <w:noProof/>
        </w:rPr>
        <w:fldChar w:fldCharType="begin"/>
      </w:r>
      <w:r>
        <w:rPr>
          <w:noProof/>
        </w:rPr>
        <w:instrText xml:space="preserve"> PAGEREF _Toc476739284 \h </w:instrText>
      </w:r>
      <w:r>
        <w:rPr>
          <w:noProof/>
        </w:rPr>
      </w:r>
      <w:r>
        <w:rPr>
          <w:noProof/>
        </w:rPr>
        <w:fldChar w:fldCharType="separate"/>
      </w:r>
      <w:r w:rsidR="0090772F">
        <w:rPr>
          <w:noProof/>
        </w:rPr>
        <w:t>52</w:t>
      </w:r>
      <w:r>
        <w:rPr>
          <w:noProof/>
        </w:rPr>
        <w:fldChar w:fldCharType="end"/>
      </w:r>
    </w:p>
    <w:p w14:paraId="1EFE3E0C" w14:textId="142479FD" w:rsidR="00263234" w:rsidRPr="00A169E6" w:rsidRDefault="00263234">
      <w:pPr>
        <w:pStyle w:val="TOC1"/>
        <w:rPr>
          <w:rFonts w:asciiTheme="minorHAnsi" w:hAnsiTheme="minorHAnsi"/>
          <w:b w:val="0"/>
          <w:sz w:val="22"/>
          <w:lang w:val="en-US"/>
        </w:rPr>
      </w:pPr>
      <w:r>
        <w:rPr>
          <w:noProof/>
        </w:rPr>
        <w:lastRenderedPageBreak/>
        <w:t>7.</w:t>
      </w:r>
      <w:r w:rsidRPr="00A169E6">
        <w:rPr>
          <w:rFonts w:asciiTheme="minorHAnsi" w:hAnsiTheme="minorHAnsi"/>
          <w:b w:val="0"/>
          <w:sz w:val="22"/>
          <w:lang w:val="en-US"/>
        </w:rPr>
        <w:tab/>
      </w:r>
      <w:r>
        <w:rPr>
          <w:noProof/>
        </w:rPr>
        <w:t>Consultation</w:t>
      </w:r>
      <w:r>
        <w:rPr>
          <w:noProof/>
        </w:rPr>
        <w:tab/>
      </w:r>
      <w:r>
        <w:rPr>
          <w:noProof/>
        </w:rPr>
        <w:fldChar w:fldCharType="begin"/>
      </w:r>
      <w:r>
        <w:rPr>
          <w:noProof/>
        </w:rPr>
        <w:instrText xml:space="preserve"> PAGEREF _Toc476739285 \h </w:instrText>
      </w:r>
      <w:r>
        <w:rPr>
          <w:noProof/>
        </w:rPr>
      </w:r>
      <w:r>
        <w:rPr>
          <w:noProof/>
        </w:rPr>
        <w:fldChar w:fldCharType="separate"/>
      </w:r>
      <w:r w:rsidR="0090772F">
        <w:rPr>
          <w:noProof/>
        </w:rPr>
        <w:t>54</w:t>
      </w:r>
      <w:r>
        <w:rPr>
          <w:noProof/>
        </w:rPr>
        <w:fldChar w:fldCharType="end"/>
      </w:r>
    </w:p>
    <w:p w14:paraId="1A9F10ED" w14:textId="5668AC63" w:rsidR="00263234" w:rsidRPr="00A169E6" w:rsidRDefault="00263234">
      <w:pPr>
        <w:pStyle w:val="TOC2"/>
        <w:rPr>
          <w:rFonts w:asciiTheme="minorHAnsi" w:hAnsiTheme="minorHAnsi"/>
          <w:sz w:val="22"/>
          <w:lang w:val="en-US"/>
        </w:rPr>
      </w:pPr>
      <w:r>
        <w:rPr>
          <w:noProof/>
        </w:rPr>
        <w:t>7.1.</w:t>
      </w:r>
      <w:r w:rsidRPr="00A169E6">
        <w:rPr>
          <w:rFonts w:asciiTheme="minorHAnsi" w:hAnsiTheme="minorHAnsi"/>
          <w:sz w:val="22"/>
          <w:lang w:val="en-US"/>
        </w:rPr>
        <w:tab/>
      </w:r>
      <w:r>
        <w:rPr>
          <w:noProof/>
        </w:rPr>
        <w:t>Policy development process</w:t>
      </w:r>
      <w:r>
        <w:rPr>
          <w:noProof/>
        </w:rPr>
        <w:tab/>
      </w:r>
      <w:r>
        <w:rPr>
          <w:noProof/>
        </w:rPr>
        <w:fldChar w:fldCharType="begin"/>
      </w:r>
      <w:r>
        <w:rPr>
          <w:noProof/>
        </w:rPr>
        <w:instrText xml:space="preserve"> PAGEREF _Toc476739286 \h </w:instrText>
      </w:r>
      <w:r>
        <w:rPr>
          <w:noProof/>
        </w:rPr>
      </w:r>
      <w:r>
        <w:rPr>
          <w:noProof/>
        </w:rPr>
        <w:fldChar w:fldCharType="separate"/>
      </w:r>
      <w:r w:rsidR="0090772F">
        <w:rPr>
          <w:noProof/>
        </w:rPr>
        <w:t>54</w:t>
      </w:r>
      <w:r>
        <w:rPr>
          <w:noProof/>
        </w:rPr>
        <w:fldChar w:fldCharType="end"/>
      </w:r>
    </w:p>
    <w:p w14:paraId="63592146" w14:textId="02511BAB" w:rsidR="00263234" w:rsidRPr="00A169E6" w:rsidRDefault="00263234">
      <w:pPr>
        <w:pStyle w:val="TOC2"/>
        <w:rPr>
          <w:rFonts w:asciiTheme="minorHAnsi" w:hAnsiTheme="minorHAnsi"/>
          <w:sz w:val="22"/>
          <w:lang w:val="en-US"/>
        </w:rPr>
      </w:pPr>
      <w:r>
        <w:rPr>
          <w:noProof/>
        </w:rPr>
        <w:t>7.2.</w:t>
      </w:r>
      <w:r w:rsidRPr="00A169E6">
        <w:rPr>
          <w:rFonts w:asciiTheme="minorHAnsi" w:hAnsiTheme="minorHAnsi"/>
          <w:sz w:val="22"/>
          <w:lang w:val="en-US"/>
        </w:rPr>
        <w:tab/>
      </w:r>
      <w:r>
        <w:rPr>
          <w:noProof/>
        </w:rPr>
        <w:t>Formal consultation on the RIS</w:t>
      </w:r>
      <w:r>
        <w:rPr>
          <w:noProof/>
        </w:rPr>
        <w:tab/>
      </w:r>
      <w:r>
        <w:rPr>
          <w:noProof/>
        </w:rPr>
        <w:fldChar w:fldCharType="begin"/>
      </w:r>
      <w:r>
        <w:rPr>
          <w:noProof/>
        </w:rPr>
        <w:instrText xml:space="preserve"> PAGEREF _Toc476739287 \h </w:instrText>
      </w:r>
      <w:r>
        <w:rPr>
          <w:noProof/>
        </w:rPr>
      </w:r>
      <w:r>
        <w:rPr>
          <w:noProof/>
        </w:rPr>
        <w:fldChar w:fldCharType="separate"/>
      </w:r>
      <w:r w:rsidR="0090772F">
        <w:rPr>
          <w:noProof/>
        </w:rPr>
        <w:t>54</w:t>
      </w:r>
      <w:r>
        <w:rPr>
          <w:noProof/>
        </w:rPr>
        <w:fldChar w:fldCharType="end"/>
      </w:r>
    </w:p>
    <w:p w14:paraId="6D5E57B7" w14:textId="7C9F25E4" w:rsidR="00263234" w:rsidRPr="00A169E6" w:rsidRDefault="00263234">
      <w:pPr>
        <w:pStyle w:val="TOC1"/>
        <w:rPr>
          <w:rFonts w:asciiTheme="minorHAnsi" w:hAnsiTheme="minorHAnsi"/>
          <w:b w:val="0"/>
          <w:sz w:val="22"/>
          <w:lang w:val="en-US"/>
        </w:rPr>
      </w:pPr>
      <w:r>
        <w:rPr>
          <w:noProof/>
        </w:rPr>
        <w:t>8.</w:t>
      </w:r>
      <w:r w:rsidRPr="00A169E6">
        <w:rPr>
          <w:rFonts w:asciiTheme="minorHAnsi" w:hAnsiTheme="minorHAnsi"/>
          <w:b w:val="0"/>
          <w:sz w:val="22"/>
          <w:lang w:val="en-US"/>
        </w:rPr>
        <w:tab/>
      </w:r>
      <w:r>
        <w:rPr>
          <w:noProof/>
        </w:rPr>
        <w:t>Implementation, monitoring and evaluation</w:t>
      </w:r>
      <w:r>
        <w:rPr>
          <w:noProof/>
        </w:rPr>
        <w:tab/>
      </w:r>
      <w:r>
        <w:rPr>
          <w:noProof/>
        </w:rPr>
        <w:fldChar w:fldCharType="begin"/>
      </w:r>
      <w:r>
        <w:rPr>
          <w:noProof/>
        </w:rPr>
        <w:instrText xml:space="preserve"> PAGEREF _Toc476739288 \h </w:instrText>
      </w:r>
      <w:r>
        <w:rPr>
          <w:noProof/>
        </w:rPr>
      </w:r>
      <w:r>
        <w:rPr>
          <w:noProof/>
        </w:rPr>
        <w:fldChar w:fldCharType="separate"/>
      </w:r>
      <w:r w:rsidR="0090772F">
        <w:rPr>
          <w:noProof/>
        </w:rPr>
        <w:t>56</w:t>
      </w:r>
      <w:r>
        <w:rPr>
          <w:noProof/>
        </w:rPr>
        <w:fldChar w:fldCharType="end"/>
      </w:r>
    </w:p>
    <w:p w14:paraId="5757E6CA" w14:textId="007D9392" w:rsidR="00263234" w:rsidRPr="00A169E6" w:rsidRDefault="00263234">
      <w:pPr>
        <w:pStyle w:val="TOC2"/>
        <w:rPr>
          <w:rFonts w:asciiTheme="minorHAnsi" w:hAnsiTheme="minorHAnsi"/>
          <w:sz w:val="22"/>
          <w:lang w:val="en-US"/>
        </w:rPr>
      </w:pPr>
      <w:r>
        <w:rPr>
          <w:noProof/>
        </w:rPr>
        <w:t>8.1.</w:t>
      </w:r>
      <w:r w:rsidRPr="00A169E6">
        <w:rPr>
          <w:rFonts w:asciiTheme="minorHAnsi" w:hAnsiTheme="minorHAnsi"/>
          <w:sz w:val="22"/>
          <w:lang w:val="en-US"/>
        </w:rPr>
        <w:tab/>
      </w:r>
      <w:r>
        <w:rPr>
          <w:noProof/>
        </w:rPr>
        <w:t>Implementation outline</w:t>
      </w:r>
      <w:r>
        <w:rPr>
          <w:noProof/>
        </w:rPr>
        <w:tab/>
      </w:r>
      <w:r>
        <w:rPr>
          <w:noProof/>
        </w:rPr>
        <w:fldChar w:fldCharType="begin"/>
      </w:r>
      <w:r>
        <w:rPr>
          <w:noProof/>
        </w:rPr>
        <w:instrText xml:space="preserve"> PAGEREF _Toc476739289 \h </w:instrText>
      </w:r>
      <w:r>
        <w:rPr>
          <w:noProof/>
        </w:rPr>
      </w:r>
      <w:r>
        <w:rPr>
          <w:noProof/>
        </w:rPr>
        <w:fldChar w:fldCharType="separate"/>
      </w:r>
      <w:r w:rsidR="0090772F">
        <w:rPr>
          <w:noProof/>
        </w:rPr>
        <w:t>56</w:t>
      </w:r>
      <w:r>
        <w:rPr>
          <w:noProof/>
        </w:rPr>
        <w:fldChar w:fldCharType="end"/>
      </w:r>
    </w:p>
    <w:p w14:paraId="623DAF05" w14:textId="6C92F644" w:rsidR="00263234" w:rsidRPr="00A169E6" w:rsidRDefault="00263234">
      <w:pPr>
        <w:pStyle w:val="TOC2"/>
        <w:rPr>
          <w:rFonts w:asciiTheme="minorHAnsi" w:hAnsiTheme="minorHAnsi"/>
          <w:sz w:val="22"/>
          <w:lang w:val="en-US"/>
        </w:rPr>
      </w:pPr>
      <w:r>
        <w:rPr>
          <w:noProof/>
        </w:rPr>
        <w:t>8.2.</w:t>
      </w:r>
      <w:r w:rsidRPr="00A169E6">
        <w:rPr>
          <w:rFonts w:asciiTheme="minorHAnsi" w:hAnsiTheme="minorHAnsi"/>
          <w:sz w:val="22"/>
          <w:lang w:val="en-US"/>
        </w:rPr>
        <w:tab/>
      </w:r>
      <w:r>
        <w:rPr>
          <w:noProof/>
        </w:rPr>
        <w:t>Compliance and enforcement</w:t>
      </w:r>
      <w:r>
        <w:rPr>
          <w:noProof/>
        </w:rPr>
        <w:tab/>
      </w:r>
      <w:r>
        <w:rPr>
          <w:noProof/>
        </w:rPr>
        <w:fldChar w:fldCharType="begin"/>
      </w:r>
      <w:r>
        <w:rPr>
          <w:noProof/>
        </w:rPr>
        <w:instrText xml:space="preserve"> PAGEREF _Toc476739290 \h </w:instrText>
      </w:r>
      <w:r>
        <w:rPr>
          <w:noProof/>
        </w:rPr>
      </w:r>
      <w:r>
        <w:rPr>
          <w:noProof/>
        </w:rPr>
        <w:fldChar w:fldCharType="separate"/>
      </w:r>
      <w:r w:rsidR="0090772F">
        <w:rPr>
          <w:noProof/>
        </w:rPr>
        <w:t>56</w:t>
      </w:r>
      <w:r>
        <w:rPr>
          <w:noProof/>
        </w:rPr>
        <w:fldChar w:fldCharType="end"/>
      </w:r>
    </w:p>
    <w:p w14:paraId="73703246" w14:textId="5CFE91AD" w:rsidR="00263234" w:rsidRPr="00A169E6" w:rsidRDefault="00263234">
      <w:pPr>
        <w:pStyle w:val="TOC2"/>
        <w:rPr>
          <w:rFonts w:asciiTheme="minorHAnsi" w:hAnsiTheme="minorHAnsi"/>
          <w:sz w:val="22"/>
          <w:lang w:val="en-US"/>
        </w:rPr>
      </w:pPr>
      <w:r>
        <w:rPr>
          <w:noProof/>
        </w:rPr>
        <w:t>8.3.</w:t>
      </w:r>
      <w:r w:rsidRPr="00A169E6">
        <w:rPr>
          <w:rFonts w:asciiTheme="minorHAnsi" w:hAnsiTheme="minorHAnsi"/>
          <w:sz w:val="22"/>
          <w:lang w:val="en-US"/>
        </w:rPr>
        <w:tab/>
      </w:r>
      <w:r>
        <w:rPr>
          <w:noProof/>
        </w:rPr>
        <w:t>Evaluation</w:t>
      </w:r>
      <w:r>
        <w:rPr>
          <w:noProof/>
        </w:rPr>
        <w:tab/>
      </w:r>
      <w:r>
        <w:rPr>
          <w:noProof/>
        </w:rPr>
        <w:fldChar w:fldCharType="begin"/>
      </w:r>
      <w:r>
        <w:rPr>
          <w:noProof/>
        </w:rPr>
        <w:instrText xml:space="preserve"> PAGEREF _Toc476739291 \h </w:instrText>
      </w:r>
      <w:r>
        <w:rPr>
          <w:noProof/>
        </w:rPr>
      </w:r>
      <w:r>
        <w:rPr>
          <w:noProof/>
        </w:rPr>
        <w:fldChar w:fldCharType="separate"/>
      </w:r>
      <w:r w:rsidR="0090772F">
        <w:rPr>
          <w:noProof/>
        </w:rPr>
        <w:t>57</w:t>
      </w:r>
      <w:r>
        <w:rPr>
          <w:noProof/>
        </w:rPr>
        <w:fldChar w:fldCharType="end"/>
      </w:r>
    </w:p>
    <w:p w14:paraId="32459101" w14:textId="2D2792B5" w:rsidR="00263234" w:rsidRPr="00A169E6" w:rsidRDefault="00263234">
      <w:pPr>
        <w:pStyle w:val="TOC1"/>
        <w:tabs>
          <w:tab w:val="left" w:pos="1766"/>
        </w:tabs>
        <w:rPr>
          <w:rFonts w:asciiTheme="minorHAnsi" w:hAnsiTheme="minorHAnsi"/>
          <w:b w:val="0"/>
          <w:sz w:val="22"/>
          <w:lang w:val="en-US"/>
        </w:rPr>
      </w:pPr>
      <w:r>
        <w:rPr>
          <w:noProof/>
        </w:rPr>
        <w:t>Appendix A.</w:t>
      </w:r>
      <w:r w:rsidRPr="00A169E6">
        <w:rPr>
          <w:rFonts w:asciiTheme="minorHAnsi" w:hAnsiTheme="minorHAnsi"/>
          <w:b w:val="0"/>
          <w:sz w:val="22"/>
          <w:lang w:val="en-US"/>
        </w:rPr>
        <w:tab/>
      </w:r>
      <w:r>
        <w:rPr>
          <w:noProof/>
        </w:rPr>
        <w:t>Bibliography</w:t>
      </w:r>
      <w:r>
        <w:rPr>
          <w:noProof/>
        </w:rPr>
        <w:tab/>
      </w:r>
      <w:r>
        <w:rPr>
          <w:noProof/>
        </w:rPr>
        <w:fldChar w:fldCharType="begin"/>
      </w:r>
      <w:r>
        <w:rPr>
          <w:noProof/>
        </w:rPr>
        <w:instrText xml:space="preserve"> PAGEREF _Toc476739292 \h </w:instrText>
      </w:r>
      <w:r>
        <w:rPr>
          <w:noProof/>
        </w:rPr>
      </w:r>
      <w:r>
        <w:rPr>
          <w:noProof/>
        </w:rPr>
        <w:fldChar w:fldCharType="separate"/>
      </w:r>
      <w:r w:rsidR="0090772F">
        <w:rPr>
          <w:noProof/>
        </w:rPr>
        <w:t>58</w:t>
      </w:r>
      <w:r>
        <w:rPr>
          <w:noProof/>
        </w:rPr>
        <w:fldChar w:fldCharType="end"/>
      </w:r>
    </w:p>
    <w:p w14:paraId="31D8AAA8" w14:textId="62340311" w:rsidR="00263234" w:rsidRPr="00A169E6" w:rsidRDefault="00263234">
      <w:pPr>
        <w:pStyle w:val="TOC1"/>
        <w:tabs>
          <w:tab w:val="left" w:pos="1766"/>
        </w:tabs>
        <w:rPr>
          <w:rFonts w:asciiTheme="minorHAnsi" w:hAnsiTheme="minorHAnsi"/>
          <w:b w:val="0"/>
          <w:sz w:val="22"/>
          <w:lang w:val="en-US"/>
        </w:rPr>
      </w:pPr>
      <w:r>
        <w:rPr>
          <w:noProof/>
        </w:rPr>
        <w:t>Appendix B.</w:t>
      </w:r>
      <w:r w:rsidRPr="00A169E6">
        <w:rPr>
          <w:rFonts w:asciiTheme="minorHAnsi" w:hAnsiTheme="minorHAnsi"/>
          <w:b w:val="0"/>
          <w:sz w:val="22"/>
          <w:lang w:val="en-US"/>
        </w:rPr>
        <w:tab/>
      </w:r>
      <w:r>
        <w:rPr>
          <w:noProof/>
        </w:rPr>
        <w:t>Inter-jurisdictional comparison</w:t>
      </w:r>
      <w:r>
        <w:rPr>
          <w:noProof/>
        </w:rPr>
        <w:tab/>
      </w:r>
      <w:r>
        <w:rPr>
          <w:noProof/>
        </w:rPr>
        <w:fldChar w:fldCharType="begin"/>
      </w:r>
      <w:r>
        <w:rPr>
          <w:noProof/>
        </w:rPr>
        <w:instrText xml:space="preserve"> PAGEREF _Toc476739297 \h </w:instrText>
      </w:r>
      <w:r>
        <w:rPr>
          <w:noProof/>
        </w:rPr>
      </w:r>
      <w:r>
        <w:rPr>
          <w:noProof/>
        </w:rPr>
        <w:fldChar w:fldCharType="separate"/>
      </w:r>
      <w:r w:rsidR="0090772F">
        <w:rPr>
          <w:noProof/>
        </w:rPr>
        <w:t>60</w:t>
      </w:r>
      <w:r>
        <w:rPr>
          <w:noProof/>
        </w:rPr>
        <w:fldChar w:fldCharType="end"/>
      </w:r>
    </w:p>
    <w:p w14:paraId="6017B9F5" w14:textId="006690CD" w:rsidR="00263234" w:rsidRPr="00A169E6" w:rsidRDefault="00263234">
      <w:pPr>
        <w:pStyle w:val="TOC1"/>
        <w:tabs>
          <w:tab w:val="left" w:pos="1760"/>
        </w:tabs>
        <w:rPr>
          <w:rFonts w:asciiTheme="minorHAnsi" w:hAnsiTheme="minorHAnsi"/>
          <w:b w:val="0"/>
          <w:sz w:val="22"/>
          <w:lang w:val="en-US"/>
        </w:rPr>
      </w:pPr>
      <w:r>
        <w:rPr>
          <w:noProof/>
        </w:rPr>
        <w:t>Appendix C.</w:t>
      </w:r>
      <w:r w:rsidRPr="00A169E6">
        <w:rPr>
          <w:rFonts w:asciiTheme="minorHAnsi" w:hAnsiTheme="minorHAnsi"/>
          <w:b w:val="0"/>
          <w:sz w:val="22"/>
          <w:lang w:val="en-US"/>
        </w:rPr>
        <w:tab/>
      </w:r>
      <w:r>
        <w:rPr>
          <w:noProof/>
        </w:rPr>
        <w:t>Summary of Regulations 8B – 8H</w:t>
      </w:r>
      <w:r>
        <w:rPr>
          <w:noProof/>
        </w:rPr>
        <w:tab/>
      </w:r>
      <w:r>
        <w:rPr>
          <w:noProof/>
        </w:rPr>
        <w:fldChar w:fldCharType="begin"/>
      </w:r>
      <w:r>
        <w:rPr>
          <w:noProof/>
        </w:rPr>
        <w:instrText xml:space="preserve"> PAGEREF _Toc476739304 \h </w:instrText>
      </w:r>
      <w:r>
        <w:rPr>
          <w:noProof/>
        </w:rPr>
      </w:r>
      <w:r>
        <w:rPr>
          <w:noProof/>
        </w:rPr>
        <w:fldChar w:fldCharType="separate"/>
      </w:r>
      <w:r w:rsidR="0090772F">
        <w:rPr>
          <w:noProof/>
        </w:rPr>
        <w:t>65</w:t>
      </w:r>
      <w:r>
        <w:rPr>
          <w:noProof/>
        </w:rPr>
        <w:fldChar w:fldCharType="end"/>
      </w:r>
    </w:p>
    <w:p w14:paraId="0945DE6C" w14:textId="79CDB1FB" w:rsidR="00263234" w:rsidRPr="00A169E6" w:rsidRDefault="00263234">
      <w:pPr>
        <w:pStyle w:val="TOC1"/>
        <w:tabs>
          <w:tab w:val="left" w:pos="1781"/>
        </w:tabs>
        <w:rPr>
          <w:rFonts w:asciiTheme="minorHAnsi" w:hAnsiTheme="minorHAnsi"/>
          <w:b w:val="0"/>
          <w:sz w:val="22"/>
          <w:lang w:val="en-US"/>
        </w:rPr>
      </w:pPr>
      <w:r>
        <w:rPr>
          <w:noProof/>
        </w:rPr>
        <w:t>Appendix D.</w:t>
      </w:r>
      <w:r w:rsidRPr="00A169E6">
        <w:rPr>
          <w:rFonts w:asciiTheme="minorHAnsi" w:hAnsiTheme="minorHAnsi"/>
          <w:b w:val="0"/>
          <w:sz w:val="22"/>
          <w:lang w:val="en-US"/>
        </w:rPr>
        <w:tab/>
      </w:r>
      <w:r>
        <w:rPr>
          <w:noProof/>
        </w:rPr>
        <w:t>Impact analysis assumptions</w:t>
      </w:r>
      <w:r>
        <w:rPr>
          <w:noProof/>
        </w:rPr>
        <w:tab/>
      </w:r>
      <w:r>
        <w:rPr>
          <w:noProof/>
        </w:rPr>
        <w:fldChar w:fldCharType="begin"/>
      </w:r>
      <w:r>
        <w:rPr>
          <w:noProof/>
        </w:rPr>
        <w:instrText xml:space="preserve"> PAGEREF _Toc476739305 \h </w:instrText>
      </w:r>
      <w:r>
        <w:rPr>
          <w:noProof/>
        </w:rPr>
      </w:r>
      <w:r>
        <w:rPr>
          <w:noProof/>
        </w:rPr>
        <w:fldChar w:fldCharType="separate"/>
      </w:r>
      <w:r w:rsidR="0090772F">
        <w:rPr>
          <w:noProof/>
        </w:rPr>
        <w:t>67</w:t>
      </w:r>
      <w:r>
        <w:rPr>
          <w:noProof/>
        </w:rPr>
        <w:fldChar w:fldCharType="end"/>
      </w:r>
    </w:p>
    <w:p w14:paraId="587296B8" w14:textId="6331DC26" w:rsidR="00263234" w:rsidRPr="00A169E6" w:rsidRDefault="00263234">
      <w:pPr>
        <w:pStyle w:val="TOC1"/>
        <w:tabs>
          <w:tab w:val="left" w:pos="1760"/>
        </w:tabs>
        <w:rPr>
          <w:rFonts w:asciiTheme="minorHAnsi" w:hAnsiTheme="minorHAnsi"/>
          <w:b w:val="0"/>
          <w:sz w:val="22"/>
          <w:lang w:val="en-US"/>
        </w:rPr>
      </w:pPr>
      <w:r>
        <w:rPr>
          <w:noProof/>
        </w:rPr>
        <w:t>Appendix E.</w:t>
      </w:r>
      <w:r w:rsidRPr="00A169E6">
        <w:rPr>
          <w:rFonts w:asciiTheme="minorHAnsi" w:hAnsiTheme="minorHAnsi"/>
          <w:b w:val="0"/>
          <w:sz w:val="22"/>
          <w:lang w:val="en-US"/>
        </w:rPr>
        <w:tab/>
      </w:r>
      <w:r>
        <w:rPr>
          <w:noProof/>
        </w:rPr>
        <w:t>Financial impacts on retirement village residents and operators</w:t>
      </w:r>
      <w:r>
        <w:rPr>
          <w:noProof/>
        </w:rPr>
        <w:tab/>
      </w:r>
      <w:r>
        <w:rPr>
          <w:noProof/>
        </w:rPr>
        <w:fldChar w:fldCharType="begin"/>
      </w:r>
      <w:r>
        <w:rPr>
          <w:noProof/>
        </w:rPr>
        <w:instrText xml:space="preserve"> PAGEREF _Toc476739312 \h </w:instrText>
      </w:r>
      <w:r>
        <w:rPr>
          <w:noProof/>
        </w:rPr>
      </w:r>
      <w:r>
        <w:rPr>
          <w:noProof/>
        </w:rPr>
        <w:fldChar w:fldCharType="separate"/>
      </w:r>
      <w:r w:rsidR="0090772F">
        <w:rPr>
          <w:noProof/>
        </w:rPr>
        <w:t>75</w:t>
      </w:r>
      <w:r>
        <w:rPr>
          <w:noProof/>
        </w:rPr>
        <w:fldChar w:fldCharType="end"/>
      </w:r>
    </w:p>
    <w:p w14:paraId="3F0D079B" w14:textId="0AD790AC" w:rsidR="00263234" w:rsidRPr="00A169E6" w:rsidRDefault="00263234">
      <w:pPr>
        <w:pStyle w:val="TOC1"/>
        <w:tabs>
          <w:tab w:val="left" w:pos="1760"/>
        </w:tabs>
        <w:rPr>
          <w:rFonts w:asciiTheme="minorHAnsi" w:hAnsiTheme="minorHAnsi"/>
          <w:b w:val="0"/>
          <w:sz w:val="22"/>
          <w:lang w:val="en-US"/>
        </w:rPr>
      </w:pPr>
      <w:r>
        <w:rPr>
          <w:noProof/>
        </w:rPr>
        <w:t>Appendix F.</w:t>
      </w:r>
      <w:r w:rsidRPr="00A169E6">
        <w:rPr>
          <w:rFonts w:asciiTheme="minorHAnsi" w:hAnsiTheme="minorHAnsi"/>
          <w:b w:val="0"/>
          <w:sz w:val="22"/>
          <w:lang w:val="en-US"/>
        </w:rPr>
        <w:tab/>
      </w:r>
      <w:r>
        <w:rPr>
          <w:noProof/>
        </w:rPr>
        <w:t>Summary of individual impacts</w:t>
      </w:r>
      <w:r>
        <w:rPr>
          <w:noProof/>
        </w:rPr>
        <w:tab/>
      </w:r>
      <w:r>
        <w:rPr>
          <w:noProof/>
        </w:rPr>
        <w:fldChar w:fldCharType="begin"/>
      </w:r>
      <w:r>
        <w:rPr>
          <w:noProof/>
        </w:rPr>
        <w:instrText xml:space="preserve"> PAGEREF _Toc476739313 \h </w:instrText>
      </w:r>
      <w:r>
        <w:rPr>
          <w:noProof/>
        </w:rPr>
      </w:r>
      <w:r>
        <w:rPr>
          <w:noProof/>
        </w:rPr>
        <w:fldChar w:fldCharType="separate"/>
      </w:r>
      <w:r w:rsidR="0090772F">
        <w:rPr>
          <w:noProof/>
        </w:rPr>
        <w:t>77</w:t>
      </w:r>
      <w:r>
        <w:rPr>
          <w:noProof/>
        </w:rPr>
        <w:fldChar w:fldCharType="end"/>
      </w:r>
    </w:p>
    <w:p w14:paraId="71E99B53" w14:textId="0AD5DB6C" w:rsidR="00263234" w:rsidRPr="00A169E6" w:rsidRDefault="00263234">
      <w:pPr>
        <w:pStyle w:val="TOC1"/>
        <w:tabs>
          <w:tab w:val="left" w:pos="1765"/>
        </w:tabs>
        <w:rPr>
          <w:rFonts w:asciiTheme="minorHAnsi" w:hAnsiTheme="minorHAnsi"/>
          <w:b w:val="0"/>
          <w:sz w:val="22"/>
          <w:lang w:val="en-US"/>
        </w:rPr>
      </w:pPr>
      <w:r>
        <w:rPr>
          <w:noProof/>
        </w:rPr>
        <w:t>Appendix G.</w:t>
      </w:r>
      <w:r w:rsidRPr="00A169E6">
        <w:rPr>
          <w:rFonts w:asciiTheme="minorHAnsi" w:hAnsiTheme="minorHAnsi"/>
          <w:b w:val="0"/>
          <w:sz w:val="22"/>
          <w:lang w:val="en-US"/>
        </w:rPr>
        <w:tab/>
      </w:r>
      <w:r>
        <w:rPr>
          <w:noProof/>
        </w:rPr>
        <w:t>Consultation note</w:t>
      </w:r>
      <w:r>
        <w:rPr>
          <w:noProof/>
        </w:rPr>
        <w:tab/>
      </w:r>
      <w:r>
        <w:rPr>
          <w:noProof/>
        </w:rPr>
        <w:fldChar w:fldCharType="begin"/>
      </w:r>
      <w:r>
        <w:rPr>
          <w:noProof/>
        </w:rPr>
        <w:instrText xml:space="preserve"> PAGEREF _Toc476739314 \h </w:instrText>
      </w:r>
      <w:r>
        <w:rPr>
          <w:noProof/>
        </w:rPr>
      </w:r>
      <w:r>
        <w:rPr>
          <w:noProof/>
        </w:rPr>
        <w:fldChar w:fldCharType="separate"/>
      </w:r>
      <w:r w:rsidR="0090772F">
        <w:rPr>
          <w:noProof/>
        </w:rPr>
        <w:t>79</w:t>
      </w:r>
      <w:r>
        <w:rPr>
          <w:noProof/>
        </w:rPr>
        <w:fldChar w:fldCharType="end"/>
      </w:r>
    </w:p>
    <w:p w14:paraId="29F8AD13" w14:textId="494F75E8" w:rsidR="00263234" w:rsidRPr="00A169E6" w:rsidRDefault="00263234">
      <w:pPr>
        <w:pStyle w:val="TOC1"/>
        <w:tabs>
          <w:tab w:val="left" w:pos="1786"/>
        </w:tabs>
        <w:rPr>
          <w:rFonts w:asciiTheme="minorHAnsi" w:hAnsiTheme="minorHAnsi"/>
          <w:b w:val="0"/>
          <w:sz w:val="22"/>
          <w:lang w:val="en-US"/>
        </w:rPr>
      </w:pPr>
      <w:r>
        <w:rPr>
          <w:noProof/>
        </w:rPr>
        <w:t>Appendix H.</w:t>
      </w:r>
      <w:r w:rsidRPr="00A169E6">
        <w:rPr>
          <w:rFonts w:asciiTheme="minorHAnsi" w:hAnsiTheme="minorHAnsi"/>
          <w:b w:val="0"/>
          <w:sz w:val="22"/>
          <w:lang w:val="en-US"/>
        </w:rPr>
        <w:tab/>
      </w:r>
      <w:r>
        <w:rPr>
          <w:noProof/>
        </w:rPr>
        <w:t>Stakeholder consultation timeline</w:t>
      </w:r>
      <w:r>
        <w:rPr>
          <w:noProof/>
        </w:rPr>
        <w:tab/>
      </w:r>
      <w:r>
        <w:rPr>
          <w:noProof/>
        </w:rPr>
        <w:fldChar w:fldCharType="begin"/>
      </w:r>
      <w:r>
        <w:rPr>
          <w:noProof/>
        </w:rPr>
        <w:instrText xml:space="preserve"> PAGEREF _Toc476739315 \h </w:instrText>
      </w:r>
      <w:r>
        <w:rPr>
          <w:noProof/>
        </w:rPr>
      </w:r>
      <w:r>
        <w:rPr>
          <w:noProof/>
        </w:rPr>
        <w:fldChar w:fldCharType="separate"/>
      </w:r>
      <w:r w:rsidR="0090772F">
        <w:rPr>
          <w:noProof/>
        </w:rPr>
        <w:t>82</w:t>
      </w:r>
      <w:r>
        <w:rPr>
          <w:noProof/>
        </w:rPr>
        <w:fldChar w:fldCharType="end"/>
      </w:r>
    </w:p>
    <w:p w14:paraId="4414775C" w14:textId="086B1D8D" w:rsidR="00263234" w:rsidRPr="00A169E6" w:rsidRDefault="00263234">
      <w:pPr>
        <w:pStyle w:val="TOC1"/>
        <w:tabs>
          <w:tab w:val="left" w:pos="1760"/>
        </w:tabs>
        <w:rPr>
          <w:rFonts w:asciiTheme="minorHAnsi" w:hAnsiTheme="minorHAnsi"/>
          <w:b w:val="0"/>
          <w:sz w:val="22"/>
          <w:lang w:val="en-US"/>
        </w:rPr>
      </w:pPr>
      <w:r>
        <w:rPr>
          <w:noProof/>
        </w:rPr>
        <w:t>Appendix I.</w:t>
      </w:r>
      <w:r w:rsidRPr="00A169E6">
        <w:rPr>
          <w:rFonts w:asciiTheme="minorHAnsi" w:hAnsiTheme="minorHAnsi"/>
          <w:b w:val="0"/>
          <w:sz w:val="22"/>
          <w:lang w:val="en-US"/>
        </w:rPr>
        <w:tab/>
      </w:r>
      <w:r>
        <w:rPr>
          <w:noProof/>
        </w:rPr>
        <w:t>Draft Retirement Villages (Contractual Arrangements) Regulations 2017</w:t>
      </w:r>
      <w:r>
        <w:rPr>
          <w:noProof/>
        </w:rPr>
        <w:tab/>
      </w:r>
      <w:r>
        <w:rPr>
          <w:noProof/>
        </w:rPr>
        <w:fldChar w:fldCharType="begin"/>
      </w:r>
      <w:r>
        <w:rPr>
          <w:noProof/>
        </w:rPr>
        <w:instrText xml:space="preserve"> PAGEREF _Toc476739316 \h </w:instrText>
      </w:r>
      <w:r>
        <w:rPr>
          <w:noProof/>
        </w:rPr>
      </w:r>
      <w:r>
        <w:rPr>
          <w:noProof/>
        </w:rPr>
        <w:fldChar w:fldCharType="separate"/>
      </w:r>
      <w:r w:rsidR="0090772F">
        <w:rPr>
          <w:noProof/>
        </w:rPr>
        <w:t>83</w:t>
      </w:r>
      <w:r>
        <w:rPr>
          <w:noProof/>
        </w:rPr>
        <w:fldChar w:fldCharType="end"/>
      </w:r>
    </w:p>
    <w:p w14:paraId="6033ECDF" w14:textId="77777777" w:rsidR="00E026E4" w:rsidRPr="002C1E2B" w:rsidRDefault="006F6040" w:rsidP="00E026E4">
      <w:r w:rsidRPr="002C1E2B">
        <w:fldChar w:fldCharType="end"/>
      </w:r>
      <w:bookmarkStart w:id="7" w:name="xxTOE"/>
      <w:bookmarkEnd w:id="6"/>
    </w:p>
    <w:p w14:paraId="431308CB" w14:textId="77777777" w:rsidR="00E026E4" w:rsidRPr="002C1E2B" w:rsidRDefault="00E026E4" w:rsidP="00E026E4">
      <w:pPr>
        <w:sectPr w:rsidR="00E026E4" w:rsidRPr="002C1E2B" w:rsidSect="00166B4D">
          <w:headerReference w:type="even" r:id="rId13"/>
          <w:headerReference w:type="default" r:id="rId14"/>
          <w:pgSz w:w="11907" w:h="16839" w:code="9"/>
          <w:pgMar w:top="1915" w:right="1440" w:bottom="1440" w:left="1440" w:header="835" w:footer="432" w:gutter="0"/>
          <w:pgNumType w:fmt="lowerRoman" w:start="1"/>
          <w:cols w:space="708"/>
          <w:docGrid w:linePitch="360"/>
        </w:sectPr>
      </w:pPr>
      <w:bookmarkStart w:id="8" w:name="xxTOsBreak"/>
      <w:bookmarkEnd w:id="7"/>
    </w:p>
    <w:p w14:paraId="4C452F28" w14:textId="77777777" w:rsidR="008F664A" w:rsidRPr="002C1E2B" w:rsidRDefault="008F664A" w:rsidP="00820335">
      <w:pPr>
        <w:pStyle w:val="HeadingU"/>
      </w:pPr>
      <w:bookmarkStart w:id="9" w:name="_Toc476739251"/>
      <w:bookmarkStart w:id="10" w:name="_Toc476585805"/>
      <w:bookmarkStart w:id="11" w:name="_Toc472879466"/>
      <w:bookmarkStart w:id="12" w:name="_Toc472954227"/>
      <w:bookmarkStart w:id="13" w:name="xxExecSumSection"/>
      <w:bookmarkEnd w:id="8"/>
      <w:r w:rsidRPr="002C1E2B">
        <w:lastRenderedPageBreak/>
        <w:t>List of shortened forms</w:t>
      </w:r>
      <w:bookmarkEnd w:id="9"/>
      <w:bookmarkEnd w:id="10"/>
    </w:p>
    <w:tbl>
      <w:tblPr>
        <w:tblStyle w:val="OWGTable"/>
        <w:tblW w:w="0" w:type="auto"/>
        <w:tblBorders>
          <w:top w:val="single" w:sz="4" w:space="0" w:color="auto"/>
        </w:tblBorders>
        <w:tblLook w:val="04A0" w:firstRow="1" w:lastRow="0" w:firstColumn="1" w:lastColumn="0" w:noHBand="0" w:noVBand="1"/>
      </w:tblPr>
      <w:tblGrid>
        <w:gridCol w:w="2467"/>
        <w:gridCol w:w="6560"/>
      </w:tblGrid>
      <w:tr w:rsidR="008F664A" w:rsidRPr="002C1E2B" w14:paraId="3F08E3CA" w14:textId="77777777" w:rsidTr="00EB1D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bottom w:val="nil"/>
            </w:tcBorders>
          </w:tcPr>
          <w:p w14:paraId="152F0273" w14:textId="77777777" w:rsidR="008F664A" w:rsidRPr="002C1E2B" w:rsidRDefault="00427D2F" w:rsidP="003D490F">
            <w:pPr>
              <w:spacing w:before="120"/>
              <w:rPr>
                <w:b w:val="0"/>
              </w:rPr>
            </w:pPr>
            <w:r w:rsidRPr="002C1E2B">
              <w:rPr>
                <w:b w:val="0"/>
              </w:rPr>
              <w:t>CALC</w:t>
            </w:r>
          </w:p>
        </w:tc>
        <w:tc>
          <w:tcPr>
            <w:tcW w:w="6725" w:type="dxa"/>
            <w:tcBorders>
              <w:top w:val="single" w:sz="4" w:space="0" w:color="auto"/>
              <w:bottom w:val="nil"/>
            </w:tcBorders>
          </w:tcPr>
          <w:p w14:paraId="477DC55A" w14:textId="77777777" w:rsidR="008F664A" w:rsidRPr="002C1E2B" w:rsidRDefault="00427D2F" w:rsidP="003D490F">
            <w:pPr>
              <w:spacing w:before="120"/>
              <w:cnfStyle w:val="100000000000" w:firstRow="1" w:lastRow="0" w:firstColumn="0" w:lastColumn="0" w:oddVBand="0" w:evenVBand="0" w:oddHBand="0" w:evenHBand="0" w:firstRowFirstColumn="0" w:firstRowLastColumn="0" w:lastRowFirstColumn="0" w:lastRowLastColumn="0"/>
              <w:rPr>
                <w:b w:val="0"/>
              </w:rPr>
            </w:pPr>
            <w:r w:rsidRPr="002C1E2B">
              <w:rPr>
                <w:b w:val="0"/>
              </w:rPr>
              <w:t>Consumer Action Law Centre</w:t>
            </w:r>
          </w:p>
        </w:tc>
      </w:tr>
      <w:tr w:rsidR="00427D2F" w:rsidRPr="002C1E2B" w14:paraId="23401F24" w14:textId="77777777" w:rsidTr="00EB1DAB">
        <w:tc>
          <w:tcPr>
            <w:cnfStyle w:val="001000000000" w:firstRow="0" w:lastRow="0" w:firstColumn="1" w:lastColumn="0" w:oddVBand="0" w:evenVBand="0" w:oddHBand="0" w:evenHBand="0" w:firstRowFirstColumn="0" w:firstRowLastColumn="0" w:lastRowFirstColumn="0" w:lastRowLastColumn="0"/>
            <w:tcW w:w="2518" w:type="dxa"/>
          </w:tcPr>
          <w:p w14:paraId="53178AE8" w14:textId="77777777" w:rsidR="00427D2F" w:rsidRPr="002C1E2B" w:rsidRDefault="00427D2F" w:rsidP="008F664A">
            <w:r w:rsidRPr="002C1E2B">
              <w:t>CAV</w:t>
            </w:r>
          </w:p>
        </w:tc>
        <w:tc>
          <w:tcPr>
            <w:tcW w:w="6725" w:type="dxa"/>
            <w:tcBorders>
              <w:top w:val="nil"/>
              <w:bottom w:val="nil"/>
            </w:tcBorders>
          </w:tcPr>
          <w:p w14:paraId="4938CDE8" w14:textId="77777777" w:rsidR="00427D2F" w:rsidRPr="002C1E2B" w:rsidRDefault="00427D2F" w:rsidP="008F664A">
            <w:pPr>
              <w:cnfStyle w:val="000000000000" w:firstRow="0" w:lastRow="0" w:firstColumn="0" w:lastColumn="0" w:oddVBand="0" w:evenVBand="0" w:oddHBand="0" w:evenHBand="0" w:firstRowFirstColumn="0" w:firstRowLastColumn="0" w:lastRowFirstColumn="0" w:lastRowLastColumn="0"/>
            </w:pPr>
            <w:r w:rsidRPr="002C1E2B">
              <w:t>Consumer Affairs Victoria</w:t>
            </w:r>
          </w:p>
        </w:tc>
      </w:tr>
      <w:tr w:rsidR="00427D2F" w:rsidRPr="002C1E2B" w14:paraId="7BF06CE6" w14:textId="77777777" w:rsidTr="008F664A">
        <w:tc>
          <w:tcPr>
            <w:cnfStyle w:val="001000000000" w:firstRow="0" w:lastRow="0" w:firstColumn="1" w:lastColumn="0" w:oddVBand="0" w:evenVBand="0" w:oddHBand="0" w:evenHBand="0" w:firstRowFirstColumn="0" w:firstRowLastColumn="0" w:lastRowFirstColumn="0" w:lastRowLastColumn="0"/>
            <w:tcW w:w="2518" w:type="dxa"/>
          </w:tcPr>
          <w:p w14:paraId="6DF76418" w14:textId="77777777" w:rsidR="00427D2F" w:rsidRPr="002C1E2B" w:rsidRDefault="00427D2F" w:rsidP="008F664A">
            <w:r w:rsidRPr="002C1E2B">
              <w:t>DAP</w:t>
            </w:r>
          </w:p>
        </w:tc>
        <w:tc>
          <w:tcPr>
            <w:tcW w:w="6725" w:type="dxa"/>
            <w:tcBorders>
              <w:top w:val="nil"/>
            </w:tcBorders>
          </w:tcPr>
          <w:p w14:paraId="46C7D984" w14:textId="77777777" w:rsidR="00427D2F" w:rsidRPr="002C1E2B" w:rsidRDefault="00427D2F" w:rsidP="00353376">
            <w:pPr>
              <w:cnfStyle w:val="000000000000" w:firstRow="0" w:lastRow="0" w:firstColumn="0" w:lastColumn="0" w:oddVBand="0" w:evenVBand="0" w:oddHBand="0" w:evenHBand="0" w:firstRowFirstColumn="0" w:firstRowLastColumn="0" w:lastRowFirstColumn="0" w:lastRowLastColumn="0"/>
            </w:pPr>
            <w:r w:rsidRPr="002C1E2B">
              <w:t xml:space="preserve">Daily Accommodation Payment </w:t>
            </w:r>
          </w:p>
        </w:tc>
      </w:tr>
      <w:tr w:rsidR="00427D2F" w:rsidRPr="002C1E2B" w14:paraId="58A5CACC" w14:textId="77777777" w:rsidTr="008F664A">
        <w:tc>
          <w:tcPr>
            <w:cnfStyle w:val="001000000000" w:firstRow="0" w:lastRow="0" w:firstColumn="1" w:lastColumn="0" w:oddVBand="0" w:evenVBand="0" w:oddHBand="0" w:evenHBand="0" w:firstRowFirstColumn="0" w:firstRowLastColumn="0" w:lastRowFirstColumn="0" w:lastRowLastColumn="0"/>
            <w:tcW w:w="2518" w:type="dxa"/>
            <w:tcBorders>
              <w:left w:val="none" w:sz="0" w:space="0" w:color="auto"/>
              <w:bottom w:val="none" w:sz="0" w:space="0" w:color="auto"/>
              <w:right w:val="none" w:sz="0" w:space="0" w:color="auto"/>
              <w:tl2br w:val="none" w:sz="0" w:space="0" w:color="auto"/>
              <w:tr2bl w:val="none" w:sz="0" w:space="0" w:color="auto"/>
            </w:tcBorders>
          </w:tcPr>
          <w:p w14:paraId="518EAC7D" w14:textId="77777777" w:rsidR="00427D2F" w:rsidRPr="002C1E2B" w:rsidRDefault="00427D2F" w:rsidP="008F664A">
            <w:r w:rsidRPr="002C1E2B">
              <w:t>DMF</w:t>
            </w:r>
          </w:p>
        </w:tc>
        <w:tc>
          <w:tcPr>
            <w:tcW w:w="6725" w:type="dxa"/>
          </w:tcPr>
          <w:p w14:paraId="697C17B1" w14:textId="77777777" w:rsidR="00427D2F" w:rsidRPr="002C1E2B" w:rsidRDefault="00427D2F" w:rsidP="00294F68">
            <w:pPr>
              <w:cnfStyle w:val="000000000000" w:firstRow="0" w:lastRow="0" w:firstColumn="0" w:lastColumn="0" w:oddVBand="0" w:evenVBand="0" w:oddHBand="0" w:evenHBand="0" w:firstRowFirstColumn="0" w:firstRowLastColumn="0" w:lastRowFirstColumn="0" w:lastRowLastColumn="0"/>
            </w:pPr>
            <w:r w:rsidRPr="002C1E2B">
              <w:t xml:space="preserve">Deferred </w:t>
            </w:r>
            <w:r w:rsidR="00294F68" w:rsidRPr="002C1E2B">
              <w:t>Management Fee</w:t>
            </w:r>
          </w:p>
        </w:tc>
      </w:tr>
      <w:tr w:rsidR="00427D2F" w:rsidRPr="002C1E2B" w14:paraId="2B977DAF" w14:textId="77777777" w:rsidTr="008F664A">
        <w:tc>
          <w:tcPr>
            <w:cnfStyle w:val="001000000000" w:firstRow="0" w:lastRow="0" w:firstColumn="1" w:lastColumn="0" w:oddVBand="0" w:evenVBand="0" w:oddHBand="0" w:evenHBand="0" w:firstRowFirstColumn="0" w:firstRowLastColumn="0" w:lastRowFirstColumn="0" w:lastRowLastColumn="0"/>
            <w:tcW w:w="2518" w:type="dxa"/>
          </w:tcPr>
          <w:p w14:paraId="6B61EAB8" w14:textId="77777777" w:rsidR="00427D2F" w:rsidRPr="002C1E2B" w:rsidRDefault="00427D2F" w:rsidP="008F664A">
            <w:r w:rsidRPr="002C1E2B">
              <w:t>HAAG</w:t>
            </w:r>
          </w:p>
        </w:tc>
        <w:tc>
          <w:tcPr>
            <w:tcW w:w="6725" w:type="dxa"/>
          </w:tcPr>
          <w:p w14:paraId="2676834A" w14:textId="77777777" w:rsidR="00427D2F" w:rsidRPr="002C1E2B" w:rsidRDefault="00427D2F" w:rsidP="008F664A">
            <w:pPr>
              <w:cnfStyle w:val="000000000000" w:firstRow="0" w:lastRow="0" w:firstColumn="0" w:lastColumn="0" w:oddVBand="0" w:evenVBand="0" w:oddHBand="0" w:evenHBand="0" w:firstRowFirstColumn="0" w:firstRowLastColumn="0" w:lastRowFirstColumn="0" w:lastRowLastColumn="0"/>
            </w:pPr>
            <w:r w:rsidRPr="002C1E2B">
              <w:t>Housing for the Aged Acting Group</w:t>
            </w:r>
          </w:p>
        </w:tc>
      </w:tr>
      <w:tr w:rsidR="00427D2F" w:rsidRPr="002C1E2B" w14:paraId="61B46F1E" w14:textId="77777777" w:rsidTr="008F664A">
        <w:tc>
          <w:tcPr>
            <w:cnfStyle w:val="001000000000" w:firstRow="0" w:lastRow="0" w:firstColumn="1" w:lastColumn="0" w:oddVBand="0" w:evenVBand="0" w:oddHBand="0" w:evenHBand="0" w:firstRowFirstColumn="0" w:firstRowLastColumn="0" w:lastRowFirstColumn="0" w:lastRowLastColumn="0"/>
            <w:tcW w:w="2518" w:type="dxa"/>
          </w:tcPr>
          <w:p w14:paraId="6DBD6735" w14:textId="77777777" w:rsidR="00427D2F" w:rsidRPr="002C1E2B" w:rsidRDefault="00427D2F" w:rsidP="008F664A">
            <w:r w:rsidRPr="002C1E2B">
              <w:t>LASA</w:t>
            </w:r>
            <w:r w:rsidR="002968DF" w:rsidRPr="002C1E2B">
              <w:t>V</w:t>
            </w:r>
          </w:p>
        </w:tc>
        <w:tc>
          <w:tcPr>
            <w:tcW w:w="6725" w:type="dxa"/>
          </w:tcPr>
          <w:p w14:paraId="162D44C8" w14:textId="77777777" w:rsidR="00427D2F" w:rsidRPr="002C1E2B" w:rsidRDefault="00427D2F">
            <w:pPr>
              <w:cnfStyle w:val="000000000000" w:firstRow="0" w:lastRow="0" w:firstColumn="0" w:lastColumn="0" w:oddVBand="0" w:evenVBand="0" w:oddHBand="0" w:evenHBand="0" w:firstRowFirstColumn="0" w:firstRowLastColumn="0" w:lastRowFirstColumn="0" w:lastRowLastColumn="0"/>
            </w:pPr>
            <w:r w:rsidRPr="002C1E2B">
              <w:t xml:space="preserve">Leading Age Services Australia </w:t>
            </w:r>
            <w:r w:rsidR="002968DF" w:rsidRPr="002C1E2B">
              <w:t>(Victoria)</w:t>
            </w:r>
          </w:p>
        </w:tc>
      </w:tr>
      <w:tr w:rsidR="00427D2F" w:rsidRPr="002C1E2B" w14:paraId="117254D2" w14:textId="77777777" w:rsidTr="008F664A">
        <w:tc>
          <w:tcPr>
            <w:cnfStyle w:val="001000000000" w:firstRow="0" w:lastRow="0" w:firstColumn="1" w:lastColumn="0" w:oddVBand="0" w:evenVBand="0" w:oddHBand="0" w:evenHBand="0" w:firstRowFirstColumn="0" w:firstRowLastColumn="0" w:lastRowFirstColumn="0" w:lastRowLastColumn="0"/>
            <w:tcW w:w="2518" w:type="dxa"/>
            <w:tcBorders>
              <w:left w:val="none" w:sz="0" w:space="0" w:color="auto"/>
              <w:bottom w:val="none" w:sz="0" w:space="0" w:color="auto"/>
              <w:right w:val="none" w:sz="0" w:space="0" w:color="auto"/>
              <w:tl2br w:val="none" w:sz="0" w:space="0" w:color="auto"/>
              <w:tr2bl w:val="none" w:sz="0" w:space="0" w:color="auto"/>
            </w:tcBorders>
          </w:tcPr>
          <w:p w14:paraId="6217B028" w14:textId="77777777" w:rsidR="00427D2F" w:rsidRPr="002C1E2B" w:rsidRDefault="00427D2F" w:rsidP="008F664A">
            <w:r w:rsidRPr="002C1E2B">
              <w:t>MPIR</w:t>
            </w:r>
          </w:p>
        </w:tc>
        <w:tc>
          <w:tcPr>
            <w:tcW w:w="6725" w:type="dxa"/>
          </w:tcPr>
          <w:p w14:paraId="41CDDBB4" w14:textId="77777777" w:rsidR="00427D2F" w:rsidRPr="002C1E2B" w:rsidRDefault="00427D2F" w:rsidP="00294F68">
            <w:pPr>
              <w:cnfStyle w:val="000000000000" w:firstRow="0" w:lastRow="0" w:firstColumn="0" w:lastColumn="0" w:oddVBand="0" w:evenVBand="0" w:oddHBand="0" w:evenHBand="0" w:firstRowFirstColumn="0" w:firstRowLastColumn="0" w:lastRowFirstColumn="0" w:lastRowLastColumn="0"/>
            </w:pPr>
            <w:r w:rsidRPr="002C1E2B">
              <w:t xml:space="preserve">Maximum </w:t>
            </w:r>
            <w:r w:rsidR="00294F68" w:rsidRPr="002C1E2B">
              <w:t>Permissible Interest Rate</w:t>
            </w:r>
          </w:p>
        </w:tc>
      </w:tr>
      <w:tr w:rsidR="00427D2F" w:rsidRPr="002C1E2B" w14:paraId="766C2A74" w14:textId="77777777" w:rsidTr="008F664A">
        <w:tc>
          <w:tcPr>
            <w:cnfStyle w:val="001000000000" w:firstRow="0" w:lastRow="0" w:firstColumn="1" w:lastColumn="0" w:oddVBand="0" w:evenVBand="0" w:oddHBand="0" w:evenHBand="0" w:firstRowFirstColumn="0" w:firstRowLastColumn="0" w:lastRowFirstColumn="0" w:lastRowLastColumn="0"/>
            <w:tcW w:w="2518" w:type="dxa"/>
            <w:tcBorders>
              <w:left w:val="none" w:sz="0" w:space="0" w:color="auto"/>
              <w:bottom w:val="none" w:sz="0" w:space="0" w:color="auto"/>
              <w:right w:val="none" w:sz="0" w:space="0" w:color="auto"/>
              <w:tl2br w:val="none" w:sz="0" w:space="0" w:color="auto"/>
              <w:tr2bl w:val="none" w:sz="0" w:space="0" w:color="auto"/>
            </w:tcBorders>
          </w:tcPr>
          <w:p w14:paraId="6A2CBA41" w14:textId="77777777" w:rsidR="00427D2F" w:rsidRPr="002C1E2B" w:rsidRDefault="00427D2F" w:rsidP="008F664A">
            <w:r w:rsidRPr="002C1E2B">
              <w:t>PCA</w:t>
            </w:r>
          </w:p>
        </w:tc>
        <w:tc>
          <w:tcPr>
            <w:tcW w:w="6725" w:type="dxa"/>
          </w:tcPr>
          <w:p w14:paraId="50F231C5" w14:textId="77777777" w:rsidR="00427D2F" w:rsidRPr="002C1E2B" w:rsidRDefault="00427D2F" w:rsidP="008F664A">
            <w:pPr>
              <w:cnfStyle w:val="000000000000" w:firstRow="0" w:lastRow="0" w:firstColumn="0" w:lastColumn="0" w:oddVBand="0" w:evenVBand="0" w:oddHBand="0" w:evenHBand="0" w:firstRowFirstColumn="0" w:firstRowLastColumn="0" w:lastRowFirstColumn="0" w:lastRowLastColumn="0"/>
            </w:pPr>
            <w:r w:rsidRPr="002C1E2B">
              <w:t>Property Council of Australia</w:t>
            </w:r>
          </w:p>
        </w:tc>
      </w:tr>
      <w:tr w:rsidR="00427D2F" w:rsidRPr="002C1E2B" w14:paraId="4CF3345C" w14:textId="77777777" w:rsidTr="008F664A">
        <w:tc>
          <w:tcPr>
            <w:cnfStyle w:val="001000000000" w:firstRow="0" w:lastRow="0" w:firstColumn="1" w:lastColumn="0" w:oddVBand="0" w:evenVBand="0" w:oddHBand="0" w:evenHBand="0" w:firstRowFirstColumn="0" w:firstRowLastColumn="0" w:lastRowFirstColumn="0" w:lastRowLastColumn="0"/>
            <w:tcW w:w="2518" w:type="dxa"/>
            <w:tcBorders>
              <w:left w:val="none" w:sz="0" w:space="0" w:color="auto"/>
              <w:right w:val="none" w:sz="0" w:space="0" w:color="auto"/>
              <w:tl2br w:val="none" w:sz="0" w:space="0" w:color="auto"/>
              <w:tr2bl w:val="none" w:sz="0" w:space="0" w:color="auto"/>
            </w:tcBorders>
          </w:tcPr>
          <w:p w14:paraId="2EA5A6D1" w14:textId="77777777" w:rsidR="00427D2F" w:rsidRPr="002C1E2B" w:rsidRDefault="00427D2F" w:rsidP="008F664A">
            <w:r w:rsidRPr="002C1E2B">
              <w:t>RAD</w:t>
            </w:r>
          </w:p>
        </w:tc>
        <w:tc>
          <w:tcPr>
            <w:tcW w:w="6725" w:type="dxa"/>
            <w:tcBorders>
              <w:bottom w:val="nil"/>
            </w:tcBorders>
          </w:tcPr>
          <w:p w14:paraId="23FD7160" w14:textId="77777777" w:rsidR="00427D2F" w:rsidRPr="002C1E2B" w:rsidRDefault="00427D2F" w:rsidP="00353376">
            <w:pPr>
              <w:cnfStyle w:val="000000000000" w:firstRow="0" w:lastRow="0" w:firstColumn="0" w:lastColumn="0" w:oddVBand="0" w:evenVBand="0" w:oddHBand="0" w:evenHBand="0" w:firstRowFirstColumn="0" w:firstRowLastColumn="0" w:lastRowFirstColumn="0" w:lastRowLastColumn="0"/>
            </w:pPr>
            <w:r w:rsidRPr="002C1E2B">
              <w:t xml:space="preserve">Refundable Accommodation Deposit </w:t>
            </w:r>
          </w:p>
        </w:tc>
      </w:tr>
      <w:tr w:rsidR="00427D2F" w:rsidRPr="002C1E2B" w14:paraId="12645A64" w14:textId="77777777" w:rsidTr="005705AE">
        <w:tc>
          <w:tcPr>
            <w:cnfStyle w:val="001000000000" w:firstRow="0" w:lastRow="0" w:firstColumn="1" w:lastColumn="0" w:oddVBand="0" w:evenVBand="0" w:oddHBand="0" w:evenHBand="0" w:firstRowFirstColumn="0" w:firstRowLastColumn="0" w:lastRowFirstColumn="0" w:lastRowLastColumn="0"/>
            <w:tcW w:w="2518" w:type="dxa"/>
          </w:tcPr>
          <w:p w14:paraId="292C8803" w14:textId="77777777" w:rsidR="00427D2F" w:rsidRPr="002C1E2B" w:rsidRDefault="00427D2F" w:rsidP="008F664A">
            <w:r w:rsidRPr="002C1E2B">
              <w:t>RRVV</w:t>
            </w:r>
          </w:p>
        </w:tc>
        <w:tc>
          <w:tcPr>
            <w:tcW w:w="6725" w:type="dxa"/>
            <w:tcBorders>
              <w:top w:val="nil"/>
              <w:bottom w:val="nil"/>
            </w:tcBorders>
          </w:tcPr>
          <w:p w14:paraId="2C6AA5B8" w14:textId="77777777" w:rsidR="00427D2F" w:rsidRPr="002C1E2B" w:rsidRDefault="00427D2F" w:rsidP="00353376">
            <w:pPr>
              <w:cnfStyle w:val="000000000000" w:firstRow="0" w:lastRow="0" w:firstColumn="0" w:lastColumn="0" w:oddVBand="0" w:evenVBand="0" w:oddHBand="0" w:evenHBand="0" w:firstRowFirstColumn="0" w:firstRowLastColumn="0" w:lastRowFirstColumn="0" w:lastRowLastColumn="0"/>
            </w:pPr>
            <w:r w:rsidRPr="002C1E2B">
              <w:t>Residents of Retirement Villages Victoria</w:t>
            </w:r>
          </w:p>
        </w:tc>
      </w:tr>
      <w:tr w:rsidR="00427D2F" w:rsidRPr="002C1E2B" w14:paraId="7572FF18" w14:textId="77777777" w:rsidTr="005705AE">
        <w:tc>
          <w:tcPr>
            <w:cnfStyle w:val="001000000000" w:firstRow="0" w:lastRow="0" w:firstColumn="1" w:lastColumn="0" w:oddVBand="0" w:evenVBand="0" w:oddHBand="0" w:evenHBand="0" w:firstRowFirstColumn="0" w:firstRowLastColumn="0" w:lastRowFirstColumn="0" w:lastRowLastColumn="0"/>
            <w:tcW w:w="2518" w:type="dxa"/>
            <w:tcBorders>
              <w:left w:val="none" w:sz="0" w:space="0" w:color="auto"/>
              <w:right w:val="none" w:sz="0" w:space="0" w:color="auto"/>
              <w:tl2br w:val="none" w:sz="0" w:space="0" w:color="auto"/>
              <w:tr2bl w:val="none" w:sz="0" w:space="0" w:color="auto"/>
            </w:tcBorders>
          </w:tcPr>
          <w:p w14:paraId="2EEC59F0" w14:textId="77777777" w:rsidR="00427D2F" w:rsidRPr="002C1E2B" w:rsidRDefault="00427D2F" w:rsidP="008F664A">
            <w:r w:rsidRPr="002C1E2B">
              <w:t>RV</w:t>
            </w:r>
          </w:p>
        </w:tc>
        <w:tc>
          <w:tcPr>
            <w:tcW w:w="6725" w:type="dxa"/>
            <w:tcBorders>
              <w:top w:val="nil"/>
              <w:bottom w:val="nil"/>
            </w:tcBorders>
          </w:tcPr>
          <w:p w14:paraId="3C431B16" w14:textId="77777777" w:rsidR="00427D2F" w:rsidRPr="002C1E2B" w:rsidRDefault="00427D2F" w:rsidP="00294F68">
            <w:pPr>
              <w:cnfStyle w:val="000000000000" w:firstRow="0" w:lastRow="0" w:firstColumn="0" w:lastColumn="0" w:oddVBand="0" w:evenVBand="0" w:oddHBand="0" w:evenHBand="0" w:firstRowFirstColumn="0" w:firstRowLastColumn="0" w:lastRowFirstColumn="0" w:lastRowLastColumn="0"/>
            </w:pPr>
            <w:r w:rsidRPr="002C1E2B">
              <w:t xml:space="preserve">Retirement </w:t>
            </w:r>
            <w:r w:rsidR="00294F68" w:rsidRPr="002C1E2B">
              <w:t>Village</w:t>
            </w:r>
          </w:p>
        </w:tc>
      </w:tr>
      <w:tr w:rsidR="00427D2F" w:rsidRPr="002C1E2B" w14:paraId="7C1B3768" w14:textId="77777777" w:rsidTr="008F664A">
        <w:tc>
          <w:tcPr>
            <w:cnfStyle w:val="001000000000" w:firstRow="0" w:lastRow="0" w:firstColumn="1" w:lastColumn="0" w:oddVBand="0" w:evenVBand="0" w:oddHBand="0" w:evenHBand="0" w:firstRowFirstColumn="0" w:firstRowLastColumn="0" w:lastRowFirstColumn="0" w:lastRowLastColumn="0"/>
            <w:tcW w:w="2518" w:type="dxa"/>
            <w:tcBorders>
              <w:bottom w:val="single" w:sz="4" w:space="0" w:color="auto"/>
            </w:tcBorders>
          </w:tcPr>
          <w:p w14:paraId="57B12F55" w14:textId="77777777" w:rsidR="00427D2F" w:rsidRPr="002C1E2B" w:rsidRDefault="00427D2F" w:rsidP="008F664A">
            <w:r w:rsidRPr="002C1E2B">
              <w:t>VCAT</w:t>
            </w:r>
          </w:p>
        </w:tc>
        <w:tc>
          <w:tcPr>
            <w:tcW w:w="6725" w:type="dxa"/>
            <w:tcBorders>
              <w:top w:val="nil"/>
              <w:bottom w:val="single" w:sz="4" w:space="0" w:color="auto"/>
            </w:tcBorders>
          </w:tcPr>
          <w:p w14:paraId="4371B435" w14:textId="77777777" w:rsidR="00427D2F" w:rsidRPr="002C1E2B" w:rsidRDefault="00427D2F" w:rsidP="00353376">
            <w:pPr>
              <w:cnfStyle w:val="000000000000" w:firstRow="0" w:lastRow="0" w:firstColumn="0" w:lastColumn="0" w:oddVBand="0" w:evenVBand="0" w:oddHBand="0" w:evenHBand="0" w:firstRowFirstColumn="0" w:firstRowLastColumn="0" w:lastRowFirstColumn="0" w:lastRowLastColumn="0"/>
            </w:pPr>
            <w:r w:rsidRPr="002C1E2B">
              <w:t>Victorian Civil and Administrative Tribunal</w:t>
            </w:r>
          </w:p>
        </w:tc>
      </w:tr>
    </w:tbl>
    <w:p w14:paraId="3B298F09" w14:textId="77777777" w:rsidR="008F664A" w:rsidRPr="002C1E2B" w:rsidRDefault="008F664A" w:rsidP="008F664A">
      <w:pPr>
        <w:pStyle w:val="BodyText"/>
      </w:pPr>
    </w:p>
    <w:p w14:paraId="446128A8" w14:textId="77777777" w:rsidR="008F664A" w:rsidRPr="002C1E2B" w:rsidRDefault="008F664A">
      <w:pPr>
        <w:spacing w:after="200" w:line="276" w:lineRule="auto"/>
        <w:rPr>
          <w:rFonts w:asciiTheme="majorHAnsi" w:eastAsiaTheme="majorEastAsia" w:hAnsiTheme="majorHAnsi" w:cstheme="majorBidi"/>
          <w:b/>
          <w:sz w:val="28"/>
          <w:szCs w:val="28"/>
        </w:rPr>
      </w:pPr>
      <w:r w:rsidRPr="002C1E2B">
        <w:br w:type="page"/>
      </w:r>
    </w:p>
    <w:p w14:paraId="5E618D72" w14:textId="77777777" w:rsidR="00820335" w:rsidRPr="002C1E2B" w:rsidRDefault="00820335" w:rsidP="00820335">
      <w:pPr>
        <w:pStyle w:val="HeadingU"/>
      </w:pPr>
      <w:bookmarkStart w:id="14" w:name="_Toc476739252"/>
      <w:bookmarkStart w:id="15" w:name="_Toc476585806"/>
      <w:r w:rsidRPr="002C1E2B">
        <w:lastRenderedPageBreak/>
        <w:t>Glossary</w:t>
      </w:r>
      <w:bookmarkEnd w:id="11"/>
      <w:bookmarkEnd w:id="12"/>
      <w:bookmarkEnd w:id="14"/>
      <w:bookmarkEnd w:id="15"/>
    </w:p>
    <w:tbl>
      <w:tblPr>
        <w:tblStyle w:val="OWGTable"/>
        <w:tblW w:w="0" w:type="auto"/>
        <w:tblBorders>
          <w:top w:val="single" w:sz="4" w:space="0" w:color="auto"/>
          <w:bottom w:val="single" w:sz="4" w:space="0" w:color="auto"/>
        </w:tblBorders>
        <w:tblLook w:val="04A0" w:firstRow="1" w:lastRow="0" w:firstColumn="1" w:lastColumn="0" w:noHBand="0" w:noVBand="1"/>
      </w:tblPr>
      <w:tblGrid>
        <w:gridCol w:w="2219"/>
        <w:gridCol w:w="6808"/>
      </w:tblGrid>
      <w:tr w:rsidR="001E6D6D" w:rsidRPr="002C1E2B" w14:paraId="5CD64A1A" w14:textId="77777777" w:rsidTr="003D23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F7C3524" w14:textId="77777777" w:rsidR="001E6D6D" w:rsidRPr="002C1E2B" w:rsidRDefault="001E6D6D" w:rsidP="003D490F">
            <w:pPr>
              <w:spacing w:before="120" w:after="120"/>
              <w:rPr>
                <w:b w:val="0"/>
              </w:rPr>
            </w:pPr>
            <w:r w:rsidRPr="002C1E2B">
              <w:rPr>
                <w:b w:val="0"/>
                <w:i/>
              </w:rPr>
              <w:t>Aged Care Act 1997</w:t>
            </w:r>
            <w:r w:rsidRPr="002C1E2B">
              <w:rPr>
                <w:b w:val="0"/>
              </w:rPr>
              <w:t xml:space="preserve"> (Cth)</w:t>
            </w:r>
          </w:p>
        </w:tc>
        <w:tc>
          <w:tcPr>
            <w:tcW w:w="7008" w:type="dxa"/>
            <w:tcBorders>
              <w:bottom w:val="none" w:sz="0" w:space="0" w:color="auto"/>
            </w:tcBorders>
          </w:tcPr>
          <w:p w14:paraId="3B0F810B" w14:textId="77777777" w:rsidR="00584169" w:rsidRPr="002C1E2B" w:rsidRDefault="001E6D6D" w:rsidP="003D490F">
            <w:pPr>
              <w:spacing w:before="120" w:after="120"/>
              <w:cnfStyle w:val="100000000000" w:firstRow="1" w:lastRow="0" w:firstColumn="0" w:lastColumn="0" w:oddVBand="0" w:evenVBand="0" w:oddHBand="0" w:evenHBand="0" w:firstRowFirstColumn="0" w:firstRowLastColumn="0" w:lastRowFirstColumn="0" w:lastRowLastColumn="0"/>
              <w:rPr>
                <w:b w:val="0"/>
              </w:rPr>
            </w:pPr>
            <w:r w:rsidRPr="002C1E2B">
              <w:rPr>
                <w:b w:val="0"/>
              </w:rPr>
              <w:t xml:space="preserve">The </w:t>
            </w:r>
            <w:r w:rsidR="009B6742" w:rsidRPr="002C1E2B">
              <w:rPr>
                <w:b w:val="0"/>
              </w:rPr>
              <w:t xml:space="preserve">Act and its delegated legislation provide the regulatory framework for </w:t>
            </w:r>
            <w:r w:rsidR="00AC3672" w:rsidRPr="002C1E2B">
              <w:rPr>
                <w:b w:val="0"/>
              </w:rPr>
              <w:t>Commonwealth</w:t>
            </w:r>
            <w:r w:rsidR="009B6742" w:rsidRPr="002C1E2B">
              <w:rPr>
                <w:b w:val="0"/>
              </w:rPr>
              <w:t xml:space="preserve"> Government funded aged care providers, and provide protection for aged care recipients. The legislative framework sets out the requirements to be an approved provider of </w:t>
            </w:r>
            <w:r w:rsidR="00AC3672" w:rsidRPr="002C1E2B">
              <w:rPr>
                <w:b w:val="0"/>
              </w:rPr>
              <w:t>Commonwealth</w:t>
            </w:r>
            <w:r w:rsidR="009B6742" w:rsidRPr="002C1E2B">
              <w:rPr>
                <w:b w:val="0"/>
              </w:rPr>
              <w:t xml:space="preserve"> Government funded aged care, for the allocation of aged care places, the approval and classification of care recipients, the accreditation of services, and the subsidies paid by the </w:t>
            </w:r>
            <w:r w:rsidR="00AC3672" w:rsidRPr="002C1E2B">
              <w:rPr>
                <w:b w:val="0"/>
              </w:rPr>
              <w:t>Commonwealth</w:t>
            </w:r>
            <w:r w:rsidR="009B6742" w:rsidRPr="002C1E2B">
              <w:rPr>
                <w:b w:val="0"/>
              </w:rPr>
              <w:t xml:space="preserve"> Government. The framework also sets out the responsibilities of providers in relation to aged care quality and compliance.</w:t>
            </w:r>
            <w:r w:rsidRPr="002C1E2B">
              <w:rPr>
                <w:b w:val="0"/>
              </w:rPr>
              <w:t xml:space="preserve"> </w:t>
            </w:r>
          </w:p>
        </w:tc>
      </w:tr>
      <w:tr w:rsidR="001E6D6D" w:rsidRPr="002C1E2B" w14:paraId="72BFE916" w14:textId="77777777" w:rsidTr="003D236D">
        <w:tc>
          <w:tcPr>
            <w:cnfStyle w:val="001000000000" w:firstRow="0" w:lastRow="0" w:firstColumn="1" w:lastColumn="0" w:oddVBand="0" w:evenVBand="0" w:oddHBand="0" w:evenHBand="0" w:firstRowFirstColumn="0" w:firstRowLastColumn="0" w:lastRowFirstColumn="0" w:lastRowLastColumn="0"/>
            <w:tcW w:w="2235" w:type="dxa"/>
            <w:tcBorders>
              <w:left w:val="none" w:sz="0" w:space="0" w:color="auto"/>
              <w:bottom w:val="none" w:sz="0" w:space="0" w:color="auto"/>
              <w:right w:val="none" w:sz="0" w:space="0" w:color="auto"/>
              <w:tl2br w:val="none" w:sz="0" w:space="0" w:color="auto"/>
              <w:tr2bl w:val="none" w:sz="0" w:space="0" w:color="auto"/>
            </w:tcBorders>
          </w:tcPr>
          <w:p w14:paraId="23E5AFBF" w14:textId="77777777" w:rsidR="001E6D6D" w:rsidRPr="002C1E2B" w:rsidRDefault="001E6D6D" w:rsidP="00320EDE">
            <w:pPr>
              <w:spacing w:after="120"/>
            </w:pPr>
            <w:r w:rsidRPr="002C1E2B">
              <w:t>Aged care rule</w:t>
            </w:r>
          </w:p>
        </w:tc>
        <w:tc>
          <w:tcPr>
            <w:tcW w:w="7008" w:type="dxa"/>
          </w:tcPr>
          <w:p w14:paraId="3D94063B" w14:textId="77777777" w:rsidR="00584169" w:rsidRPr="002C1E2B" w:rsidRDefault="005F76B0" w:rsidP="00320EDE">
            <w:pPr>
              <w:spacing w:after="120"/>
              <w:cnfStyle w:val="000000000000" w:firstRow="0" w:lastRow="0" w:firstColumn="0" w:lastColumn="0" w:oddVBand="0" w:evenVBand="0" w:oddHBand="0" w:evenHBand="0" w:firstRowFirstColumn="0" w:firstRowLastColumn="0" w:lastRowFirstColumn="0" w:lastRowLastColumn="0"/>
            </w:pPr>
            <w:r w:rsidRPr="002C1E2B">
              <w:t>Specified</w:t>
            </w:r>
            <w:r w:rsidR="001E6D6D" w:rsidRPr="002C1E2B">
              <w:t xml:space="preserve"> in r. 6 of the Retirement Village (Contractual Arrangements) Regulations</w:t>
            </w:r>
            <w:r w:rsidR="00294F68" w:rsidRPr="002C1E2B">
              <w:t xml:space="preserve"> 2006</w:t>
            </w:r>
            <w:r w:rsidR="001E6D6D" w:rsidRPr="002C1E2B">
              <w:t>,</w:t>
            </w:r>
            <w:r w:rsidR="00353376" w:rsidRPr="002C1E2B">
              <w:t xml:space="preserve"> </w:t>
            </w:r>
            <w:r w:rsidR="0087032F" w:rsidRPr="002C1E2B">
              <w:rPr>
                <w:rStyle w:val="BodyTextChar"/>
                <w:lang w:val="en-AU"/>
              </w:rPr>
              <w:t>requires</w:t>
            </w:r>
            <w:r w:rsidRPr="002C1E2B">
              <w:rPr>
                <w:rStyle w:val="BodyTextChar"/>
                <w:lang w:val="en-AU"/>
              </w:rPr>
              <w:t xml:space="preserve"> retirement village operators</w:t>
            </w:r>
            <w:r w:rsidR="00353376" w:rsidRPr="002C1E2B">
              <w:rPr>
                <w:rStyle w:val="BodyTextChar"/>
                <w:lang w:val="en-AU"/>
              </w:rPr>
              <w:t xml:space="preserve"> to pay </w:t>
            </w:r>
            <w:r w:rsidR="0087032F" w:rsidRPr="002C1E2B">
              <w:rPr>
                <w:rStyle w:val="BodyTextChar"/>
                <w:lang w:val="en-AU"/>
              </w:rPr>
              <w:t xml:space="preserve">that part of a </w:t>
            </w:r>
            <w:r w:rsidR="00584169" w:rsidRPr="002C1E2B">
              <w:rPr>
                <w:rStyle w:val="BodyTextChar"/>
                <w:lang w:val="en-AU"/>
              </w:rPr>
              <w:t xml:space="preserve">non-owner resident’s estimated exit entitlement required for the </w:t>
            </w:r>
            <w:r w:rsidR="00E36E33" w:rsidRPr="002C1E2B">
              <w:rPr>
                <w:rStyle w:val="BodyTextChar"/>
                <w:lang w:val="en-AU"/>
              </w:rPr>
              <w:t xml:space="preserve">non-owner </w:t>
            </w:r>
            <w:r w:rsidR="00584169" w:rsidRPr="002C1E2B">
              <w:rPr>
                <w:rStyle w:val="BodyTextChar"/>
                <w:lang w:val="en-AU"/>
              </w:rPr>
              <w:t xml:space="preserve">resident to enter a residential aged care facility, </w:t>
            </w:r>
            <w:r w:rsidR="00880CAA" w:rsidRPr="002C1E2B">
              <w:rPr>
                <w:rStyle w:val="BodyTextChar"/>
                <w:lang w:val="en-AU"/>
              </w:rPr>
              <w:t>six</w:t>
            </w:r>
            <w:r w:rsidR="00584169" w:rsidRPr="002C1E2B">
              <w:rPr>
                <w:rStyle w:val="BodyTextChar"/>
                <w:lang w:val="en-AU"/>
              </w:rPr>
              <w:t xml:space="preserve"> months after the resident has entered care, </w:t>
            </w:r>
            <w:r w:rsidR="00584169" w:rsidRPr="002C1E2B">
              <w:t>even if the resident is not yet entitled to their exit entitlement under the terms of their residence contract.</w:t>
            </w:r>
          </w:p>
        </w:tc>
      </w:tr>
      <w:tr w:rsidR="001E6D6D" w:rsidRPr="002C1E2B" w14:paraId="791D3266" w14:textId="77777777" w:rsidTr="003D236D">
        <w:tc>
          <w:tcPr>
            <w:cnfStyle w:val="001000000000" w:firstRow="0" w:lastRow="0" w:firstColumn="1" w:lastColumn="0" w:oddVBand="0" w:evenVBand="0" w:oddHBand="0" w:evenHBand="0" w:firstRowFirstColumn="0" w:firstRowLastColumn="0" w:lastRowFirstColumn="0" w:lastRowLastColumn="0"/>
            <w:tcW w:w="2235" w:type="dxa"/>
            <w:tcBorders>
              <w:left w:val="none" w:sz="0" w:space="0" w:color="auto"/>
              <w:bottom w:val="none" w:sz="0" w:space="0" w:color="auto"/>
              <w:right w:val="none" w:sz="0" w:space="0" w:color="auto"/>
              <w:tl2br w:val="none" w:sz="0" w:space="0" w:color="auto"/>
              <w:tr2bl w:val="none" w:sz="0" w:space="0" w:color="auto"/>
            </w:tcBorders>
          </w:tcPr>
          <w:p w14:paraId="475DE129" w14:textId="77777777" w:rsidR="001E6D6D" w:rsidRPr="002C1E2B" w:rsidRDefault="00A73A6C" w:rsidP="00320EDE">
            <w:pPr>
              <w:spacing w:after="120"/>
            </w:pPr>
            <w:r w:rsidRPr="002C1E2B">
              <w:t xml:space="preserve">Daily Accommodation Payment </w:t>
            </w:r>
          </w:p>
        </w:tc>
        <w:tc>
          <w:tcPr>
            <w:tcW w:w="7008" w:type="dxa"/>
          </w:tcPr>
          <w:p w14:paraId="7793B895" w14:textId="77777777" w:rsidR="00584169" w:rsidRPr="002C1E2B" w:rsidRDefault="0087032F" w:rsidP="00320EDE">
            <w:pPr>
              <w:spacing w:after="120"/>
              <w:cnfStyle w:val="000000000000" w:firstRow="0" w:lastRow="0" w:firstColumn="0" w:lastColumn="0" w:oddVBand="0" w:evenVBand="0" w:oddHBand="0" w:evenHBand="0" w:firstRowFirstColumn="0" w:firstRowLastColumn="0" w:lastRowFirstColumn="0" w:lastRowLastColumn="0"/>
            </w:pPr>
            <w:r w:rsidRPr="002C1E2B">
              <w:t>A daily payment contributing to the cost of a resident’s accommodation in a residential aged care facility and is paid periodically i.e. fortnightly or monthly. It is not a refundable payment. It is calculated based on the refundable accommodation deposit multiplied by the maximum permissible interest rate and divided by 365 days.</w:t>
            </w:r>
            <w:r w:rsidR="001E6D6D" w:rsidRPr="002C1E2B">
              <w:t xml:space="preserve">  </w:t>
            </w:r>
          </w:p>
        </w:tc>
      </w:tr>
      <w:tr w:rsidR="001E6D6D" w:rsidRPr="002C1E2B" w14:paraId="0F98C1A2" w14:textId="77777777" w:rsidTr="003D236D">
        <w:tc>
          <w:tcPr>
            <w:cnfStyle w:val="001000000000" w:firstRow="0" w:lastRow="0" w:firstColumn="1" w:lastColumn="0" w:oddVBand="0" w:evenVBand="0" w:oddHBand="0" w:evenHBand="0" w:firstRowFirstColumn="0" w:firstRowLastColumn="0" w:lastRowFirstColumn="0" w:lastRowLastColumn="0"/>
            <w:tcW w:w="2235" w:type="dxa"/>
            <w:tcBorders>
              <w:left w:val="none" w:sz="0" w:space="0" w:color="auto"/>
              <w:bottom w:val="none" w:sz="0" w:space="0" w:color="auto"/>
              <w:right w:val="none" w:sz="0" w:space="0" w:color="auto"/>
              <w:tl2br w:val="none" w:sz="0" w:space="0" w:color="auto"/>
              <w:tr2bl w:val="none" w:sz="0" w:space="0" w:color="auto"/>
            </w:tcBorders>
          </w:tcPr>
          <w:p w14:paraId="70236013" w14:textId="77777777" w:rsidR="001E6D6D" w:rsidRPr="002C1E2B" w:rsidRDefault="001E6D6D" w:rsidP="00320EDE">
            <w:pPr>
              <w:spacing w:after="120"/>
            </w:pPr>
            <w:r w:rsidRPr="002C1E2B">
              <w:t xml:space="preserve">Deferred Management Fee </w:t>
            </w:r>
          </w:p>
        </w:tc>
        <w:tc>
          <w:tcPr>
            <w:tcW w:w="7008" w:type="dxa"/>
          </w:tcPr>
          <w:p w14:paraId="18299DD5" w14:textId="77777777" w:rsidR="00584169" w:rsidRPr="002C1E2B" w:rsidRDefault="005F76B0" w:rsidP="00320EDE">
            <w:pPr>
              <w:spacing w:after="120"/>
              <w:cnfStyle w:val="000000000000" w:firstRow="0" w:lastRow="0" w:firstColumn="0" w:lastColumn="0" w:oddVBand="0" w:evenVBand="0" w:oddHBand="0" w:evenHBand="0" w:firstRowFirstColumn="0" w:firstRowLastColumn="0" w:lastRowFirstColumn="0" w:lastRowLastColumn="0"/>
            </w:pPr>
            <w:r w:rsidRPr="002C1E2B">
              <w:t>A</w:t>
            </w:r>
            <w:r w:rsidR="00D56F8B" w:rsidRPr="002C1E2B">
              <w:t xml:space="preserve"> retirement village resident’s capital contribution, deferred until they</w:t>
            </w:r>
            <w:r w:rsidR="00FF3950" w:rsidRPr="002C1E2B">
              <w:t xml:space="preserve"> leave </w:t>
            </w:r>
            <w:r w:rsidR="00941E87" w:rsidRPr="002C1E2B">
              <w:t xml:space="preserve">their </w:t>
            </w:r>
            <w:r w:rsidR="00FF3950" w:rsidRPr="002C1E2B">
              <w:t xml:space="preserve">retirement village. The </w:t>
            </w:r>
            <w:r w:rsidR="00D56F8B" w:rsidRPr="002C1E2B">
              <w:t>deferred management fee</w:t>
            </w:r>
            <w:r w:rsidR="001E6D6D" w:rsidRPr="002C1E2B">
              <w:t xml:space="preserve"> </w:t>
            </w:r>
            <w:r w:rsidR="00D56F8B" w:rsidRPr="002C1E2B">
              <w:t xml:space="preserve">is determined by agreement between the retirement village operator and the resident at the time of entry (usually a proportion of the </w:t>
            </w:r>
            <w:r w:rsidR="00262169" w:rsidRPr="002C1E2B">
              <w:t>in-going</w:t>
            </w:r>
            <w:r w:rsidR="00D56F8B" w:rsidRPr="002C1E2B">
              <w:t xml:space="preserve"> contribution paid by the resident) and is deducted, on exit, from the refund of the resident’s </w:t>
            </w:r>
            <w:r w:rsidR="00262169" w:rsidRPr="002C1E2B">
              <w:t>in-going</w:t>
            </w:r>
            <w:r w:rsidR="00D56F8B" w:rsidRPr="002C1E2B">
              <w:t xml:space="preserve"> contribution. </w:t>
            </w:r>
          </w:p>
        </w:tc>
      </w:tr>
      <w:tr w:rsidR="001E6D6D" w:rsidRPr="002C1E2B" w14:paraId="735860B4" w14:textId="77777777" w:rsidTr="003D236D">
        <w:tc>
          <w:tcPr>
            <w:cnfStyle w:val="001000000000" w:firstRow="0" w:lastRow="0" w:firstColumn="1" w:lastColumn="0" w:oddVBand="0" w:evenVBand="0" w:oddHBand="0" w:evenHBand="0" w:firstRowFirstColumn="0" w:firstRowLastColumn="0" w:lastRowFirstColumn="0" w:lastRowLastColumn="0"/>
            <w:tcW w:w="2235" w:type="dxa"/>
            <w:tcBorders>
              <w:left w:val="none" w:sz="0" w:space="0" w:color="auto"/>
              <w:bottom w:val="none" w:sz="0" w:space="0" w:color="auto"/>
              <w:right w:val="none" w:sz="0" w:space="0" w:color="auto"/>
              <w:tl2br w:val="none" w:sz="0" w:space="0" w:color="auto"/>
              <w:tr2bl w:val="none" w:sz="0" w:space="0" w:color="auto"/>
            </w:tcBorders>
          </w:tcPr>
          <w:p w14:paraId="724921BD" w14:textId="77777777" w:rsidR="001E6D6D" w:rsidRPr="002C1E2B" w:rsidRDefault="001E6D6D" w:rsidP="00320EDE">
            <w:pPr>
              <w:spacing w:after="120"/>
            </w:pPr>
            <w:r w:rsidRPr="002C1E2B">
              <w:t>Exit entitlement</w:t>
            </w:r>
          </w:p>
        </w:tc>
        <w:tc>
          <w:tcPr>
            <w:tcW w:w="7008" w:type="dxa"/>
          </w:tcPr>
          <w:p w14:paraId="7AA05135" w14:textId="77777777" w:rsidR="00D56F8B" w:rsidRPr="002C1E2B" w:rsidRDefault="00D56F8B" w:rsidP="00320EDE">
            <w:pPr>
              <w:spacing w:after="120"/>
              <w:cnfStyle w:val="000000000000" w:firstRow="0" w:lastRow="0" w:firstColumn="0" w:lastColumn="0" w:oddVBand="0" w:evenVBand="0" w:oddHBand="0" w:evenHBand="0" w:firstRowFirstColumn="0" w:firstRowLastColumn="0" w:lastRowFirstColumn="0" w:lastRowLastColumn="0"/>
            </w:pPr>
            <w:r w:rsidRPr="002C1E2B">
              <w:t>T</w:t>
            </w:r>
            <w:r w:rsidR="001E6D6D" w:rsidRPr="002C1E2B">
              <w:t xml:space="preserve">he lump sum of money which a retirement village operator must </w:t>
            </w:r>
            <w:r w:rsidRPr="002C1E2B">
              <w:t>pay</w:t>
            </w:r>
            <w:r w:rsidR="001E6D6D" w:rsidRPr="002C1E2B">
              <w:t xml:space="preserve"> </w:t>
            </w:r>
            <w:r w:rsidRPr="002C1E2B">
              <w:t>to</w:t>
            </w:r>
            <w:r w:rsidR="001E6D6D" w:rsidRPr="002C1E2B">
              <w:t xml:space="preserve"> residents when they exit the</w:t>
            </w:r>
            <w:r w:rsidRPr="002C1E2B">
              <w:t>ir</w:t>
            </w:r>
            <w:r w:rsidR="001E6D6D" w:rsidRPr="002C1E2B">
              <w:t xml:space="preserve"> retirement village, calculated based on their </w:t>
            </w:r>
            <w:r w:rsidR="002A57D3" w:rsidRPr="002C1E2B">
              <w:t xml:space="preserve">refundable </w:t>
            </w:r>
            <w:r w:rsidR="001E6D6D" w:rsidRPr="002C1E2B">
              <w:t xml:space="preserve">in-going contribution minus agreed fees and charges and any </w:t>
            </w:r>
            <w:r w:rsidRPr="002C1E2B">
              <w:t xml:space="preserve">payments under the </w:t>
            </w:r>
            <w:r w:rsidR="001E6D6D" w:rsidRPr="002C1E2B">
              <w:t xml:space="preserve">aged care </w:t>
            </w:r>
            <w:r w:rsidRPr="002C1E2B">
              <w:t>rule, plus any agreed capital gain share from the sale of the retirement village unit</w:t>
            </w:r>
            <w:r w:rsidR="001E6D6D" w:rsidRPr="002C1E2B">
              <w:t>.</w:t>
            </w:r>
            <w:r w:rsidRPr="002C1E2B">
              <w:t xml:space="preserve"> It is normally made payable under the residence cont</w:t>
            </w:r>
            <w:r w:rsidR="00941E87" w:rsidRPr="002C1E2B">
              <w:t>r</w:t>
            </w:r>
            <w:r w:rsidRPr="002C1E2B">
              <w:t xml:space="preserve">act when the resident’s unit has been resold and the </w:t>
            </w:r>
            <w:r w:rsidR="00262169" w:rsidRPr="002C1E2B">
              <w:t>in-going</w:t>
            </w:r>
            <w:r w:rsidRPr="002C1E2B">
              <w:t xml:space="preserve"> contribution received from the next incoming resident, but subject to the ‘six month rule’ and the ‘aged care rule’. </w:t>
            </w:r>
          </w:p>
        </w:tc>
      </w:tr>
      <w:tr w:rsidR="001E6D6D" w:rsidRPr="002C1E2B" w14:paraId="485C2BBB" w14:textId="77777777" w:rsidTr="00320EDE">
        <w:tc>
          <w:tcPr>
            <w:cnfStyle w:val="001000000000" w:firstRow="0" w:lastRow="0" w:firstColumn="1" w:lastColumn="0" w:oddVBand="0" w:evenVBand="0" w:oddHBand="0" w:evenHBand="0" w:firstRowFirstColumn="0" w:firstRowLastColumn="0" w:lastRowFirstColumn="0" w:lastRowLastColumn="0"/>
            <w:tcW w:w="2235" w:type="dxa"/>
            <w:tcBorders>
              <w:left w:val="none" w:sz="0" w:space="0" w:color="auto"/>
              <w:right w:val="none" w:sz="0" w:space="0" w:color="auto"/>
              <w:tl2br w:val="none" w:sz="0" w:space="0" w:color="auto"/>
              <w:tr2bl w:val="none" w:sz="0" w:space="0" w:color="auto"/>
            </w:tcBorders>
          </w:tcPr>
          <w:p w14:paraId="2082BC60" w14:textId="77777777" w:rsidR="001E6D6D" w:rsidRPr="002C1E2B" w:rsidRDefault="001E6D6D" w:rsidP="00320EDE">
            <w:pPr>
              <w:spacing w:after="120"/>
            </w:pPr>
            <w:r w:rsidRPr="002C1E2B">
              <w:t>High-level aged care</w:t>
            </w:r>
          </w:p>
        </w:tc>
        <w:tc>
          <w:tcPr>
            <w:tcW w:w="7008" w:type="dxa"/>
            <w:tcBorders>
              <w:bottom w:val="nil"/>
            </w:tcBorders>
          </w:tcPr>
          <w:p w14:paraId="52816067" w14:textId="77777777" w:rsidR="001E6D6D" w:rsidRPr="002C1E2B" w:rsidRDefault="005F76B0" w:rsidP="00320EDE">
            <w:pPr>
              <w:spacing w:after="120"/>
              <w:cnfStyle w:val="000000000000" w:firstRow="0" w:lastRow="0" w:firstColumn="0" w:lastColumn="0" w:oddVBand="0" w:evenVBand="0" w:oddHBand="0" w:evenHBand="0" w:firstRowFirstColumn="0" w:firstRowLastColumn="0" w:lastRowFirstColumn="0" w:lastRowLastColumn="0"/>
            </w:pPr>
            <w:r w:rsidRPr="002C1E2B">
              <w:t>A</w:t>
            </w:r>
            <w:r w:rsidR="001E6D6D" w:rsidRPr="002C1E2B">
              <w:t xml:space="preserve">ged care services provided to residents who require full assistance with medication administration, clinical nursing (24 hours), </w:t>
            </w:r>
            <w:proofErr w:type="gramStart"/>
            <w:r w:rsidR="001E6D6D" w:rsidRPr="002C1E2B">
              <w:t>assistance</w:t>
            </w:r>
            <w:proofErr w:type="gramEnd"/>
            <w:r w:rsidR="001E6D6D" w:rsidRPr="002C1E2B">
              <w:t xml:space="preserve"> with feeding, toileting</w:t>
            </w:r>
            <w:r w:rsidR="00FF3950" w:rsidRPr="002C1E2B">
              <w:t>,</w:t>
            </w:r>
            <w:r w:rsidR="001E6D6D" w:rsidRPr="002C1E2B">
              <w:t xml:space="preserve"> and continence management. This definition was removed following changes to the </w:t>
            </w:r>
            <w:r w:rsidR="001E6D6D" w:rsidRPr="002C1E2B">
              <w:rPr>
                <w:i/>
              </w:rPr>
              <w:t xml:space="preserve">Aged Care Act </w:t>
            </w:r>
            <w:r w:rsidR="001E6D6D" w:rsidRPr="002C1E2B">
              <w:rPr>
                <w:i/>
              </w:rPr>
              <w:lastRenderedPageBreak/>
              <w:t>1997</w:t>
            </w:r>
            <w:r w:rsidR="00FF3950" w:rsidRPr="002C1E2B">
              <w:t xml:space="preserve"> in 2014</w:t>
            </w:r>
            <w:r w:rsidR="001E6D6D" w:rsidRPr="002C1E2B">
              <w:t xml:space="preserve">, </w:t>
            </w:r>
            <w:r w:rsidR="00FF3950" w:rsidRPr="002C1E2B">
              <w:t xml:space="preserve">under </w:t>
            </w:r>
            <w:r w:rsidR="001E6D6D" w:rsidRPr="002C1E2B">
              <w:t xml:space="preserve">which all levels of aged care </w:t>
            </w:r>
            <w:r w:rsidRPr="002C1E2B">
              <w:t>are</w:t>
            </w:r>
            <w:r w:rsidR="001E6D6D" w:rsidRPr="002C1E2B">
              <w:t xml:space="preserve"> defined as ‘residential aged care’.</w:t>
            </w:r>
          </w:p>
        </w:tc>
      </w:tr>
      <w:tr w:rsidR="00B77834" w:rsidRPr="002C1E2B" w14:paraId="4671F095" w14:textId="77777777" w:rsidTr="00320EDE">
        <w:tc>
          <w:tcPr>
            <w:cnfStyle w:val="001000000000" w:firstRow="0" w:lastRow="0" w:firstColumn="1" w:lastColumn="0" w:oddVBand="0" w:evenVBand="0" w:oddHBand="0" w:evenHBand="0" w:firstRowFirstColumn="0" w:firstRowLastColumn="0" w:lastRowFirstColumn="0" w:lastRowLastColumn="0"/>
            <w:tcW w:w="2235" w:type="dxa"/>
          </w:tcPr>
          <w:p w14:paraId="13067662" w14:textId="77777777" w:rsidR="00B77834" w:rsidRPr="002C1E2B" w:rsidRDefault="00B77834" w:rsidP="00320EDE">
            <w:pPr>
              <w:spacing w:after="120"/>
            </w:pPr>
            <w:r w:rsidRPr="002C1E2B">
              <w:lastRenderedPageBreak/>
              <w:t>In-going contribution</w:t>
            </w:r>
          </w:p>
        </w:tc>
        <w:tc>
          <w:tcPr>
            <w:tcW w:w="7008" w:type="dxa"/>
            <w:tcBorders>
              <w:top w:val="nil"/>
              <w:bottom w:val="nil"/>
            </w:tcBorders>
          </w:tcPr>
          <w:p w14:paraId="79F85215" w14:textId="77777777" w:rsidR="00B77834" w:rsidRPr="002C1E2B" w:rsidRDefault="00941E87" w:rsidP="00941E87">
            <w:pPr>
              <w:spacing w:after="120"/>
              <w:cnfStyle w:val="000000000000" w:firstRow="0" w:lastRow="0" w:firstColumn="0" w:lastColumn="0" w:oddVBand="0" w:evenVBand="0" w:oddHBand="0" w:evenHBand="0" w:firstRowFirstColumn="0" w:firstRowLastColumn="0" w:lastRowFirstColumn="0" w:lastRowLastColumn="0"/>
            </w:pPr>
            <w:r w:rsidRPr="002C1E2B">
              <w:t>A payment</w:t>
            </w:r>
            <w:r w:rsidR="00B77834" w:rsidRPr="002C1E2B">
              <w:t xml:space="preserve">, or no-interest loans, made by residents of retirement village units for their retirement village accommodation, separate from their recurrent service charges, </w:t>
            </w:r>
            <w:r w:rsidRPr="002C1E2B">
              <w:t xml:space="preserve">where a lump sum of money is paid upon entry to the retirement villager operator (usually based on the market value of the unit) and part, all, or none of which is refunded upon exit from the retirement village. Most in-going contributions are refundable; after the deduction of contractual fees and charges and inclusion of any capital gain entitlement, the balance is the resident’s exit entitlement. </w:t>
            </w:r>
            <w:r w:rsidR="00B77834" w:rsidRPr="002C1E2B">
              <w:t xml:space="preserve"> </w:t>
            </w:r>
          </w:p>
        </w:tc>
      </w:tr>
      <w:tr w:rsidR="00FF3950" w:rsidRPr="002C1E2B" w14:paraId="7195DEAD" w14:textId="77777777" w:rsidTr="00320EDE">
        <w:tc>
          <w:tcPr>
            <w:cnfStyle w:val="001000000000" w:firstRow="0" w:lastRow="0" w:firstColumn="1" w:lastColumn="0" w:oddVBand="0" w:evenVBand="0" w:oddHBand="0" w:evenHBand="0" w:firstRowFirstColumn="0" w:firstRowLastColumn="0" w:lastRowFirstColumn="0" w:lastRowLastColumn="0"/>
            <w:tcW w:w="2235" w:type="dxa"/>
          </w:tcPr>
          <w:p w14:paraId="1C274ED6" w14:textId="77777777" w:rsidR="00FF3950" w:rsidRPr="002C1E2B" w:rsidRDefault="00FF3950" w:rsidP="00320EDE">
            <w:pPr>
              <w:spacing w:after="120"/>
            </w:pPr>
            <w:r w:rsidRPr="002C1E2B">
              <w:t>Low-level aged care</w:t>
            </w:r>
          </w:p>
        </w:tc>
        <w:tc>
          <w:tcPr>
            <w:tcW w:w="7008" w:type="dxa"/>
            <w:tcBorders>
              <w:top w:val="nil"/>
              <w:bottom w:val="nil"/>
            </w:tcBorders>
          </w:tcPr>
          <w:p w14:paraId="2B081EE4" w14:textId="77777777" w:rsidR="00FF3950" w:rsidRPr="002C1E2B" w:rsidRDefault="00FF3950" w:rsidP="00320EDE">
            <w:pPr>
              <w:spacing w:after="120"/>
              <w:cnfStyle w:val="000000000000" w:firstRow="0" w:lastRow="0" w:firstColumn="0" w:lastColumn="0" w:oddVBand="0" w:evenVBand="0" w:oddHBand="0" w:evenHBand="0" w:firstRowFirstColumn="0" w:firstRowLastColumn="0" w:lastRowFirstColumn="0" w:lastRowLastColumn="0"/>
            </w:pPr>
            <w:r w:rsidRPr="002C1E2B">
              <w:t xml:space="preserve">Aged care services provided to residents who are generally independent, but require little or minimal assistance with daily activities such as showering, dressing, provision of meals and medication management. This definition was removed following changes to the </w:t>
            </w:r>
            <w:r w:rsidRPr="002C1E2B">
              <w:rPr>
                <w:i/>
              </w:rPr>
              <w:t xml:space="preserve">Aged Care Act 1997 </w:t>
            </w:r>
            <w:r w:rsidRPr="002C1E2B">
              <w:t xml:space="preserve">in 2014, under which all levels of aged care are defined as ‘residential aged care’. </w:t>
            </w:r>
          </w:p>
        </w:tc>
      </w:tr>
      <w:tr w:rsidR="00FF3950" w:rsidRPr="002C1E2B" w14:paraId="0CAF4880" w14:textId="77777777" w:rsidTr="00320EDE">
        <w:tc>
          <w:tcPr>
            <w:cnfStyle w:val="001000000000" w:firstRow="0" w:lastRow="0" w:firstColumn="1" w:lastColumn="0" w:oddVBand="0" w:evenVBand="0" w:oddHBand="0" w:evenHBand="0" w:firstRowFirstColumn="0" w:firstRowLastColumn="0" w:lastRowFirstColumn="0" w:lastRowLastColumn="0"/>
            <w:tcW w:w="2235" w:type="dxa"/>
            <w:tcBorders>
              <w:left w:val="none" w:sz="0" w:space="0" w:color="auto"/>
              <w:right w:val="none" w:sz="0" w:space="0" w:color="auto"/>
              <w:tl2br w:val="none" w:sz="0" w:space="0" w:color="auto"/>
              <w:tr2bl w:val="none" w:sz="0" w:space="0" w:color="auto"/>
            </w:tcBorders>
          </w:tcPr>
          <w:p w14:paraId="1D8C887D" w14:textId="77777777" w:rsidR="00FF3950" w:rsidRPr="002C1E2B" w:rsidRDefault="00FF3950" w:rsidP="00320EDE">
            <w:pPr>
              <w:spacing w:after="120"/>
            </w:pPr>
            <w:r w:rsidRPr="002C1E2B">
              <w:t>Non-owner resident</w:t>
            </w:r>
          </w:p>
        </w:tc>
        <w:tc>
          <w:tcPr>
            <w:tcW w:w="7008" w:type="dxa"/>
            <w:tcBorders>
              <w:top w:val="nil"/>
              <w:bottom w:val="nil"/>
            </w:tcBorders>
          </w:tcPr>
          <w:p w14:paraId="335CDDA1" w14:textId="77777777" w:rsidR="00FF3950" w:rsidRPr="002C1E2B" w:rsidRDefault="00FF3950" w:rsidP="00320EDE">
            <w:pPr>
              <w:spacing w:after="120"/>
              <w:cnfStyle w:val="000000000000" w:firstRow="0" w:lastRow="0" w:firstColumn="0" w:lastColumn="0" w:oddVBand="0" w:evenVBand="0" w:oddHBand="0" w:evenHBand="0" w:firstRowFirstColumn="0" w:firstRowLastColumn="0" w:lastRowFirstColumn="0" w:lastRowLastColumn="0"/>
            </w:pPr>
            <w:r w:rsidRPr="002C1E2B">
              <w:t xml:space="preserve">A person who is a resident of a retirement village, who does not own the land that </w:t>
            </w:r>
            <w:r w:rsidR="0024159E" w:rsidRPr="002C1E2B">
              <w:t>they occupy</w:t>
            </w:r>
            <w:r w:rsidRPr="002C1E2B">
              <w:t xml:space="preserve"> as a private residence in the village</w:t>
            </w:r>
            <w:r w:rsidR="0024159E" w:rsidRPr="002C1E2B">
              <w:t xml:space="preserve"> (i.e</w:t>
            </w:r>
            <w:r w:rsidRPr="002C1E2B">
              <w:t>.</w:t>
            </w:r>
            <w:r w:rsidR="0024159E" w:rsidRPr="002C1E2B">
              <w:t xml:space="preserve"> a leasehold arrangement</w:t>
            </w:r>
            <w:r w:rsidRPr="002C1E2B">
              <w:t>).</w:t>
            </w:r>
          </w:p>
        </w:tc>
      </w:tr>
      <w:tr w:rsidR="00FF3950" w:rsidRPr="002C1E2B" w14:paraId="5400CA3B" w14:textId="77777777" w:rsidTr="00320EDE">
        <w:tc>
          <w:tcPr>
            <w:cnfStyle w:val="001000000000" w:firstRow="0" w:lastRow="0" w:firstColumn="1" w:lastColumn="0" w:oddVBand="0" w:evenVBand="0" w:oddHBand="0" w:evenHBand="0" w:firstRowFirstColumn="0" w:firstRowLastColumn="0" w:lastRowFirstColumn="0" w:lastRowLastColumn="0"/>
            <w:tcW w:w="2235" w:type="dxa"/>
            <w:tcBorders>
              <w:left w:val="none" w:sz="0" w:space="0" w:color="auto"/>
              <w:right w:val="none" w:sz="0" w:space="0" w:color="auto"/>
              <w:tl2br w:val="none" w:sz="0" w:space="0" w:color="auto"/>
              <w:tr2bl w:val="none" w:sz="0" w:space="0" w:color="auto"/>
            </w:tcBorders>
          </w:tcPr>
          <w:p w14:paraId="3B7D1644" w14:textId="77777777" w:rsidR="00FF3950" w:rsidRPr="002C1E2B" w:rsidRDefault="00FF3950" w:rsidP="00320EDE">
            <w:pPr>
              <w:spacing w:after="120"/>
            </w:pPr>
            <w:r w:rsidRPr="002C1E2B">
              <w:t>Owner resident</w:t>
            </w:r>
          </w:p>
        </w:tc>
        <w:tc>
          <w:tcPr>
            <w:tcW w:w="7008" w:type="dxa"/>
            <w:tcBorders>
              <w:top w:val="nil"/>
              <w:bottom w:val="nil"/>
            </w:tcBorders>
          </w:tcPr>
          <w:p w14:paraId="48CBF848" w14:textId="77777777" w:rsidR="00FF3950" w:rsidRPr="002C1E2B" w:rsidRDefault="00FF3950" w:rsidP="00320EDE">
            <w:pPr>
              <w:spacing w:after="120"/>
              <w:cnfStyle w:val="000000000000" w:firstRow="0" w:lastRow="0" w:firstColumn="0" w:lastColumn="0" w:oddVBand="0" w:evenVBand="0" w:oddHBand="0" w:evenHBand="0" w:firstRowFirstColumn="0" w:firstRowLastColumn="0" w:lastRowFirstColumn="0" w:lastRowLastColumn="0"/>
            </w:pPr>
            <w:r w:rsidRPr="002C1E2B">
              <w:t xml:space="preserve">A person who is a resident of a retirement village, who owns the land (i.e. with title) they occupy as a private residence in the village. </w:t>
            </w:r>
          </w:p>
        </w:tc>
      </w:tr>
      <w:tr w:rsidR="00FF3950" w:rsidRPr="002C1E2B" w14:paraId="66E0A61B" w14:textId="77777777" w:rsidTr="00320EDE">
        <w:tc>
          <w:tcPr>
            <w:cnfStyle w:val="001000000000" w:firstRow="0" w:lastRow="0" w:firstColumn="1" w:lastColumn="0" w:oddVBand="0" w:evenVBand="0" w:oddHBand="0" w:evenHBand="0" w:firstRowFirstColumn="0" w:firstRowLastColumn="0" w:lastRowFirstColumn="0" w:lastRowLastColumn="0"/>
            <w:tcW w:w="2235" w:type="dxa"/>
            <w:tcBorders>
              <w:left w:val="none" w:sz="0" w:space="0" w:color="auto"/>
              <w:right w:val="none" w:sz="0" w:space="0" w:color="auto"/>
              <w:tl2br w:val="none" w:sz="0" w:space="0" w:color="auto"/>
              <w:tr2bl w:val="none" w:sz="0" w:space="0" w:color="auto"/>
            </w:tcBorders>
          </w:tcPr>
          <w:p w14:paraId="3D5B1EBD" w14:textId="77777777" w:rsidR="00FF3950" w:rsidRPr="002C1E2B" w:rsidRDefault="00FF3950" w:rsidP="00320EDE">
            <w:pPr>
              <w:spacing w:after="120"/>
            </w:pPr>
            <w:r w:rsidRPr="002C1E2B">
              <w:t xml:space="preserve">Refundable Accommodation Deposit </w:t>
            </w:r>
          </w:p>
        </w:tc>
        <w:tc>
          <w:tcPr>
            <w:tcW w:w="7008" w:type="dxa"/>
            <w:tcBorders>
              <w:top w:val="nil"/>
              <w:bottom w:val="nil"/>
            </w:tcBorders>
          </w:tcPr>
          <w:p w14:paraId="6BB70250" w14:textId="77777777" w:rsidR="00FF3950" w:rsidRPr="002C1E2B" w:rsidRDefault="00FF3950" w:rsidP="00320EDE">
            <w:pPr>
              <w:spacing w:after="120"/>
              <w:cnfStyle w:val="000000000000" w:firstRow="0" w:lastRow="0" w:firstColumn="0" w:lastColumn="0" w:oddVBand="0" w:evenVBand="0" w:oddHBand="0" w:evenHBand="0" w:firstRowFirstColumn="0" w:firstRowLastColumn="0" w:lastRowFirstColumn="0" w:lastRowLastColumn="0"/>
            </w:pPr>
            <w:r w:rsidRPr="002C1E2B">
              <w:t xml:space="preserve">A lump sum that a resident pays </w:t>
            </w:r>
            <w:r w:rsidR="0024159E" w:rsidRPr="002C1E2B">
              <w:t>for</w:t>
            </w:r>
            <w:r w:rsidR="00EB1DAB" w:rsidRPr="002C1E2B">
              <w:t xml:space="preserve"> accommodation costs in a</w:t>
            </w:r>
            <w:r w:rsidRPr="002C1E2B">
              <w:t xml:space="preserve"> </w:t>
            </w:r>
            <w:r w:rsidR="00AC3672" w:rsidRPr="002C1E2B">
              <w:t>Commonwealth</w:t>
            </w:r>
            <w:r w:rsidRPr="002C1E2B">
              <w:t xml:space="preserve"> Government-subsidised residential aged care facility, </w:t>
            </w:r>
            <w:r w:rsidR="00880CAA" w:rsidRPr="002C1E2B">
              <w:t>six</w:t>
            </w:r>
            <w:r w:rsidRPr="002C1E2B">
              <w:t xml:space="preserve"> months after entering the aged care facility, as set out in the </w:t>
            </w:r>
            <w:r w:rsidRPr="002C1E2B">
              <w:rPr>
                <w:i/>
              </w:rPr>
              <w:t>Aged Care Act 1997</w:t>
            </w:r>
            <w:r w:rsidRPr="002C1E2B">
              <w:t xml:space="preserve">. This payment is refundable after the resident </w:t>
            </w:r>
            <w:r w:rsidR="0024159E" w:rsidRPr="002C1E2B">
              <w:t>exits</w:t>
            </w:r>
            <w:r w:rsidRPr="002C1E2B">
              <w:t xml:space="preserve"> the residential aged care facility. </w:t>
            </w:r>
          </w:p>
        </w:tc>
      </w:tr>
      <w:tr w:rsidR="00FF3950" w:rsidRPr="002C1E2B" w14:paraId="3186317F" w14:textId="77777777" w:rsidTr="00320EDE">
        <w:tc>
          <w:tcPr>
            <w:cnfStyle w:val="001000000000" w:firstRow="0" w:lastRow="0" w:firstColumn="1" w:lastColumn="0" w:oddVBand="0" w:evenVBand="0" w:oddHBand="0" w:evenHBand="0" w:firstRowFirstColumn="0" w:firstRowLastColumn="0" w:lastRowFirstColumn="0" w:lastRowLastColumn="0"/>
            <w:tcW w:w="2235" w:type="dxa"/>
            <w:tcBorders>
              <w:left w:val="none" w:sz="0" w:space="0" w:color="auto"/>
              <w:right w:val="none" w:sz="0" w:space="0" w:color="auto"/>
              <w:tl2br w:val="none" w:sz="0" w:space="0" w:color="auto"/>
              <w:tr2bl w:val="none" w:sz="0" w:space="0" w:color="auto"/>
            </w:tcBorders>
          </w:tcPr>
          <w:p w14:paraId="53513AFD" w14:textId="77777777" w:rsidR="00FF3950" w:rsidRPr="002C1E2B" w:rsidRDefault="00FF3950" w:rsidP="00320EDE">
            <w:pPr>
              <w:spacing w:after="120"/>
            </w:pPr>
            <w:r w:rsidRPr="002C1E2B">
              <w:t>Residential aged care</w:t>
            </w:r>
          </w:p>
        </w:tc>
        <w:tc>
          <w:tcPr>
            <w:tcW w:w="7008" w:type="dxa"/>
            <w:tcBorders>
              <w:top w:val="nil"/>
              <w:bottom w:val="nil"/>
            </w:tcBorders>
          </w:tcPr>
          <w:p w14:paraId="6E50EC4D" w14:textId="77777777" w:rsidR="00FF3950" w:rsidRPr="002C1E2B" w:rsidRDefault="00FF3950" w:rsidP="00320EDE">
            <w:pPr>
              <w:spacing w:after="120"/>
              <w:cnfStyle w:val="000000000000" w:firstRow="0" w:lastRow="0" w:firstColumn="0" w:lastColumn="0" w:oddVBand="0" w:evenVBand="0" w:oddHBand="0" w:evenHBand="0" w:firstRowFirstColumn="0" w:firstRowLastColumn="0" w:lastRowFirstColumn="0" w:lastRowLastColumn="0"/>
            </w:pPr>
            <w:r w:rsidRPr="002C1E2B">
              <w:t xml:space="preserve">Personal care or nursing care (or both) that is provided to a person in a residential facility in which the person is also provided with accommodation </w:t>
            </w:r>
            <w:r w:rsidR="002A57D3" w:rsidRPr="002C1E2B">
              <w:t xml:space="preserve">(as defined by the </w:t>
            </w:r>
            <w:r w:rsidR="002A57D3" w:rsidRPr="002C1E2B">
              <w:rPr>
                <w:i/>
              </w:rPr>
              <w:t>Aged Care Act 1997</w:t>
            </w:r>
            <w:r w:rsidR="002A57D3" w:rsidRPr="002C1E2B">
              <w:t>)</w:t>
            </w:r>
            <w:r w:rsidRPr="002C1E2B">
              <w:t>.</w:t>
            </w:r>
          </w:p>
        </w:tc>
      </w:tr>
      <w:tr w:rsidR="00FF3950" w:rsidRPr="002C1E2B" w14:paraId="07B6B469" w14:textId="77777777" w:rsidTr="00320EDE">
        <w:tc>
          <w:tcPr>
            <w:cnfStyle w:val="001000000000" w:firstRow="0" w:lastRow="0" w:firstColumn="1" w:lastColumn="0" w:oddVBand="0" w:evenVBand="0" w:oddHBand="0" w:evenHBand="0" w:firstRowFirstColumn="0" w:firstRowLastColumn="0" w:lastRowFirstColumn="0" w:lastRowLastColumn="0"/>
            <w:tcW w:w="2235" w:type="dxa"/>
            <w:tcBorders>
              <w:left w:val="none" w:sz="0" w:space="0" w:color="auto"/>
              <w:right w:val="none" w:sz="0" w:space="0" w:color="auto"/>
              <w:tl2br w:val="none" w:sz="0" w:space="0" w:color="auto"/>
              <w:tr2bl w:val="none" w:sz="0" w:space="0" w:color="auto"/>
            </w:tcBorders>
          </w:tcPr>
          <w:p w14:paraId="0425A1CB" w14:textId="77777777" w:rsidR="00FF3950" w:rsidRPr="002C1E2B" w:rsidRDefault="00FF3950" w:rsidP="00320EDE">
            <w:pPr>
              <w:spacing w:after="120"/>
            </w:pPr>
            <w:r w:rsidRPr="002C1E2B">
              <w:t>Retirement village</w:t>
            </w:r>
          </w:p>
        </w:tc>
        <w:tc>
          <w:tcPr>
            <w:tcW w:w="7008" w:type="dxa"/>
            <w:tcBorders>
              <w:top w:val="nil"/>
              <w:bottom w:val="nil"/>
            </w:tcBorders>
          </w:tcPr>
          <w:p w14:paraId="32BC9541" w14:textId="77777777" w:rsidR="00FF3950" w:rsidRPr="002C1E2B" w:rsidRDefault="00FF3950" w:rsidP="00320EDE">
            <w:pPr>
              <w:spacing w:after="120"/>
              <w:cnfStyle w:val="000000000000" w:firstRow="0" w:lastRow="0" w:firstColumn="0" w:lastColumn="0" w:oddVBand="0" w:evenVBand="0" w:oddHBand="0" w:evenHBand="0" w:firstRowFirstColumn="0" w:firstRowLastColumn="0" w:lastRowFirstColumn="0" w:lastRowLastColumn="0"/>
            </w:pPr>
            <w:r w:rsidRPr="002C1E2B">
              <w:t xml:space="preserve">A community </w:t>
            </w:r>
            <w:r w:rsidR="0024159E" w:rsidRPr="002C1E2B">
              <w:t>where</w:t>
            </w:r>
            <w:r w:rsidRPr="002C1E2B">
              <w:t xml:space="preserve"> the majority </w:t>
            </w:r>
            <w:r w:rsidR="0024159E" w:rsidRPr="002C1E2B">
              <w:t>of residents are</w:t>
            </w:r>
            <w:r w:rsidRPr="002C1E2B">
              <w:t xml:space="preserve"> retired persons who are provided with accommodation and services other than services provided in a residential care facility, and where an in-going contribution is required to be paid before becoming a member of the community.</w:t>
            </w:r>
          </w:p>
        </w:tc>
      </w:tr>
      <w:tr w:rsidR="00FF3950" w:rsidRPr="002C1E2B" w14:paraId="025C8AEC" w14:textId="77777777" w:rsidTr="00320EDE">
        <w:tc>
          <w:tcPr>
            <w:cnfStyle w:val="001000000000" w:firstRow="0" w:lastRow="0" w:firstColumn="1" w:lastColumn="0" w:oddVBand="0" w:evenVBand="0" w:oddHBand="0" w:evenHBand="0" w:firstRowFirstColumn="0" w:firstRowLastColumn="0" w:lastRowFirstColumn="0" w:lastRowLastColumn="0"/>
            <w:tcW w:w="2235" w:type="dxa"/>
            <w:tcBorders>
              <w:left w:val="none" w:sz="0" w:space="0" w:color="auto"/>
              <w:bottom w:val="single" w:sz="4" w:space="0" w:color="auto"/>
              <w:right w:val="none" w:sz="0" w:space="0" w:color="auto"/>
              <w:tl2br w:val="none" w:sz="0" w:space="0" w:color="auto"/>
              <w:tr2bl w:val="none" w:sz="0" w:space="0" w:color="auto"/>
            </w:tcBorders>
          </w:tcPr>
          <w:p w14:paraId="0733D2CD" w14:textId="77777777" w:rsidR="00FF3950" w:rsidRPr="002C1E2B" w:rsidRDefault="002B47A2" w:rsidP="00320EDE">
            <w:pPr>
              <w:spacing w:after="120"/>
            </w:pPr>
            <w:r w:rsidRPr="002C1E2B">
              <w:t xml:space="preserve">Six </w:t>
            </w:r>
            <w:r w:rsidR="00AC3672" w:rsidRPr="002C1E2B">
              <w:t>month rule</w:t>
            </w:r>
          </w:p>
        </w:tc>
        <w:tc>
          <w:tcPr>
            <w:tcW w:w="7008" w:type="dxa"/>
            <w:tcBorders>
              <w:top w:val="nil"/>
              <w:bottom w:val="single" w:sz="4" w:space="0" w:color="auto"/>
            </w:tcBorders>
          </w:tcPr>
          <w:p w14:paraId="6A2AADDB" w14:textId="77777777" w:rsidR="00FF3950" w:rsidRPr="002C1E2B" w:rsidRDefault="00FF3950" w:rsidP="00941E87">
            <w:pPr>
              <w:spacing w:after="120"/>
              <w:cnfStyle w:val="000000000000" w:firstRow="0" w:lastRow="0" w:firstColumn="0" w:lastColumn="0" w:oddVBand="0" w:evenVBand="0" w:oddHBand="0" w:evenHBand="0" w:firstRowFirstColumn="0" w:firstRowLastColumn="0" w:lastRowFirstColumn="0" w:lastRowLastColumn="0"/>
            </w:pPr>
            <w:r w:rsidRPr="002C1E2B">
              <w:t xml:space="preserve">Specified under s.26(2)(b) of the </w:t>
            </w:r>
            <w:r w:rsidRPr="002C1E2B">
              <w:rPr>
                <w:i/>
              </w:rPr>
              <w:t>Retirement Villages Act 1986</w:t>
            </w:r>
            <w:r w:rsidRPr="002C1E2B">
              <w:t xml:space="preserve"> (Vic), retirement village operators can be required to pay non-owner residents their </w:t>
            </w:r>
            <w:r w:rsidR="00876788" w:rsidRPr="002C1E2B">
              <w:t xml:space="preserve">estimated </w:t>
            </w:r>
            <w:r w:rsidRPr="002C1E2B">
              <w:t>exit entitlements six month</w:t>
            </w:r>
            <w:r w:rsidR="00B24DA3" w:rsidRPr="002C1E2B">
              <w:t>s</w:t>
            </w:r>
            <w:r w:rsidRPr="002C1E2B">
              <w:t xml:space="preserve"> after they leave the retirement village, if their retirement village unit has not been sold. An exemption </w:t>
            </w:r>
            <w:r w:rsidR="00941E87" w:rsidRPr="002C1E2B">
              <w:t xml:space="preserve">from </w:t>
            </w:r>
            <w:r w:rsidRPr="002C1E2B">
              <w:t>this rule is provided under r. 5 of the Retirement Villages (Contractual Arrangements) Regulations 2006, i</w:t>
            </w:r>
            <w:r w:rsidR="002A57D3" w:rsidRPr="002C1E2B">
              <w:t>f the retirement village operator</w:t>
            </w:r>
            <w:r w:rsidRPr="002C1E2B">
              <w:t xml:space="preserve"> includes prescribed </w:t>
            </w:r>
            <w:r w:rsidR="00B24DA3" w:rsidRPr="002C1E2B">
              <w:t>conditions</w:t>
            </w:r>
            <w:r w:rsidRPr="002C1E2B">
              <w:t xml:space="preserve"> in the residence contract that give the non-owner resident control of the sale of the unit. </w:t>
            </w:r>
          </w:p>
        </w:tc>
      </w:tr>
    </w:tbl>
    <w:p w14:paraId="334A237A" w14:textId="77777777" w:rsidR="001E6D6D" w:rsidRPr="002C1E2B" w:rsidRDefault="001E6D6D" w:rsidP="00820335">
      <w:pPr>
        <w:pStyle w:val="BodyText"/>
        <w:sectPr w:rsidR="001E6D6D" w:rsidRPr="002C1E2B" w:rsidSect="00166B4D">
          <w:headerReference w:type="even" r:id="rId15"/>
          <w:headerReference w:type="default" r:id="rId16"/>
          <w:footerReference w:type="even" r:id="rId17"/>
          <w:footerReference w:type="default" r:id="rId18"/>
          <w:headerReference w:type="first" r:id="rId19"/>
          <w:footerReference w:type="first" r:id="rId20"/>
          <w:type w:val="oddPage"/>
          <w:pgSz w:w="11907" w:h="16839" w:code="1"/>
          <w:pgMar w:top="1915" w:right="1440" w:bottom="1440" w:left="1440" w:header="835" w:footer="202" w:gutter="0"/>
          <w:pgNumType w:fmt="lowerRoman" w:start="1"/>
          <w:cols w:space="708"/>
          <w:docGrid w:linePitch="360"/>
        </w:sectPr>
      </w:pPr>
    </w:p>
    <w:p w14:paraId="3E3FCB73" w14:textId="77777777" w:rsidR="00295318" w:rsidRPr="002C1E2B" w:rsidRDefault="00166B4D" w:rsidP="00295318">
      <w:pPr>
        <w:pStyle w:val="HeadingU"/>
      </w:pPr>
      <w:bookmarkStart w:id="16" w:name="_Toc476739253"/>
      <w:bookmarkStart w:id="17" w:name="_Toc476585807"/>
      <w:r w:rsidRPr="002C1E2B">
        <w:lastRenderedPageBreak/>
        <w:t>Executive Summary</w:t>
      </w:r>
      <w:bookmarkEnd w:id="16"/>
      <w:bookmarkEnd w:id="17"/>
    </w:p>
    <w:p w14:paraId="306CDA3D" w14:textId="77777777" w:rsidR="00610577" w:rsidRPr="002C1E2B" w:rsidRDefault="00610577" w:rsidP="00610577">
      <w:pPr>
        <w:pStyle w:val="HeadingU4"/>
      </w:pPr>
      <w:r w:rsidRPr="002C1E2B">
        <w:t>Background</w:t>
      </w:r>
    </w:p>
    <w:p w14:paraId="5AFD195F" w14:textId="77777777" w:rsidR="00610577" w:rsidRPr="002C1E2B" w:rsidRDefault="00610577" w:rsidP="00610577">
      <w:pPr>
        <w:pStyle w:val="BodyText"/>
      </w:pPr>
      <w:r w:rsidRPr="002C1E2B">
        <w:t xml:space="preserve">The retirement village sector in Victoria provides independent accommodation for retirees in a community setting. Retirement villages are generally small to medium sized residential complexes, or ‘villages’, with independent accommodation units and communal amenities. These villages are operated and managed by a mix of commercial and not-for-profit entities that generally provide maintenance and emergency care. </w:t>
      </w:r>
    </w:p>
    <w:p w14:paraId="3AC328BB" w14:textId="77777777" w:rsidR="00610577" w:rsidRPr="002C1E2B" w:rsidRDefault="00610577" w:rsidP="00610577">
      <w:pPr>
        <w:pStyle w:val="BodyText"/>
      </w:pPr>
      <w:r w:rsidRPr="002C1E2B">
        <w:t xml:space="preserve">There are over 43,000 residents living in Victorian retirement villages (65 percent are female). The average age of residents entering retirement villages is 76 years old and the average tenure for residents is 12 years. There are currently around 440 retirement villages in Victoria providing around 33,000 retirement village units (67 per cent are commercial providers and 33 per cent are not-for-profit providers). </w:t>
      </w:r>
    </w:p>
    <w:p w14:paraId="6BFE51E4" w14:textId="77777777" w:rsidR="00610577" w:rsidRPr="002C1E2B" w:rsidRDefault="00610577" w:rsidP="00610577">
      <w:pPr>
        <w:pStyle w:val="BodyText"/>
        <w:rPr>
          <w:rFonts w:eastAsia="PMingLiU"/>
          <w:lang w:eastAsia="zh-MO"/>
        </w:rPr>
      </w:pPr>
      <w:r w:rsidRPr="002C1E2B">
        <w:rPr>
          <w:rFonts w:eastAsia="PMingLiU"/>
          <w:lang w:eastAsia="zh-MO"/>
        </w:rPr>
        <w:t xml:space="preserve">In Victoria, the retirement village sector is regulated by the </w:t>
      </w:r>
      <w:r w:rsidRPr="002C1E2B">
        <w:rPr>
          <w:rFonts w:eastAsia="PMingLiU"/>
          <w:i/>
          <w:lang w:eastAsia="zh-MO"/>
        </w:rPr>
        <w:t xml:space="preserve">Retirement Villages Act 1986 </w:t>
      </w:r>
      <w:r w:rsidRPr="002C1E2B">
        <w:rPr>
          <w:rFonts w:eastAsia="PMingLiU"/>
          <w:lang w:eastAsia="zh-MO"/>
        </w:rPr>
        <w:t xml:space="preserve">(the RV Act), the Retirement Villages (Contractual Arrangements) Regulations 2006 (the Regulations), and the Retirement Villages (Records and Notices) Regulations 2015 (the RN Regulations). </w:t>
      </w:r>
    </w:p>
    <w:p w14:paraId="16988E5E" w14:textId="77777777" w:rsidR="00610577" w:rsidRPr="002C1E2B" w:rsidRDefault="00610577" w:rsidP="00610577">
      <w:pPr>
        <w:pStyle w:val="BodyText"/>
      </w:pPr>
      <w:r w:rsidRPr="002C1E2B">
        <w:rPr>
          <w:lang w:eastAsia="zh-CN"/>
        </w:rPr>
        <w:t>The Regulations are sunsetting on 31</w:t>
      </w:r>
      <w:r w:rsidRPr="002C1E2B">
        <w:t> </w:t>
      </w:r>
      <w:r w:rsidRPr="002C1E2B">
        <w:rPr>
          <w:lang w:eastAsia="zh-CN"/>
        </w:rPr>
        <w:t xml:space="preserve">July 2017 and are the subject of this Regulatory Impact Statement (RIS). The Regulations </w:t>
      </w:r>
      <w:r w:rsidRPr="002C1E2B">
        <w:rPr>
          <w:rFonts w:eastAsia="PMingLiU"/>
          <w:lang w:eastAsia="zh-MO"/>
        </w:rPr>
        <w:t>support the RV Act in defining specific conditions for the timing and value of refunds of in-going contributions, and the structure and content of residence and management contracts.</w:t>
      </w:r>
      <w:r w:rsidRPr="002C1E2B">
        <w:t xml:space="preserve"> The Regulations are primarily focused on contracting arrangements between non-owner residents and retirement village operators, but also include provisions that apply to both owner and non-owner residents. Specifically, the Regulations include:</w:t>
      </w:r>
    </w:p>
    <w:p w14:paraId="759A6D42" w14:textId="77777777" w:rsidR="00610577" w:rsidRPr="002C1E2B" w:rsidRDefault="00610577" w:rsidP="00610577">
      <w:pPr>
        <w:pStyle w:val="ListBullet"/>
      </w:pPr>
      <w:r w:rsidRPr="002C1E2B">
        <w:t>Six month rule exemption (r. 5);</w:t>
      </w:r>
    </w:p>
    <w:p w14:paraId="405E7743" w14:textId="77777777" w:rsidR="00610577" w:rsidRPr="002C1E2B" w:rsidRDefault="00610577" w:rsidP="00610577">
      <w:pPr>
        <w:pStyle w:val="ListBullet"/>
      </w:pPr>
      <w:r w:rsidRPr="002C1E2B">
        <w:t>Aged care rule (r. 6);</w:t>
      </w:r>
    </w:p>
    <w:p w14:paraId="0312099B" w14:textId="77777777" w:rsidR="00610577" w:rsidRPr="002C1E2B" w:rsidRDefault="00610577" w:rsidP="00610577">
      <w:pPr>
        <w:pStyle w:val="ListBullet"/>
      </w:pPr>
      <w:r w:rsidRPr="002C1E2B">
        <w:t>Calculation of in-going contribution refunds (r. 7 and r. 8); and</w:t>
      </w:r>
    </w:p>
    <w:p w14:paraId="66071EA0" w14:textId="77777777" w:rsidR="00610577" w:rsidRPr="002C1E2B" w:rsidRDefault="00610577" w:rsidP="00610577">
      <w:pPr>
        <w:pStyle w:val="ListBullet"/>
        <w:spacing w:after="240"/>
      </w:pPr>
      <w:r w:rsidRPr="002C1E2B">
        <w:t>Contractual requirements (r. 8B-8H).</w:t>
      </w:r>
    </w:p>
    <w:p w14:paraId="3A2EDD7C" w14:textId="77777777" w:rsidR="00610577" w:rsidRPr="002C1E2B" w:rsidRDefault="00610577" w:rsidP="00610577">
      <w:pPr>
        <w:pStyle w:val="BodyText"/>
        <w:spacing w:before="240"/>
        <w:rPr>
          <w:rFonts w:eastAsia="PMingLiU"/>
          <w:lang w:eastAsia="zh-MO"/>
        </w:rPr>
      </w:pPr>
      <w:r w:rsidRPr="002C1E2B">
        <w:rPr>
          <w:rFonts w:eastAsia="PMingLiU"/>
          <w:lang w:eastAsia="zh-MO"/>
        </w:rPr>
        <w:t>The objective of Regulation 6 is to provide for the full or part payment of residents’ refundable in-going contributions to be brought forward to cover certain costs to former residents associated with aged care accommodation. In 2014, the Commonwealth Government made significant changes to the arrangements for aged care payments which have impacted the operation of Regulation 6.</w:t>
      </w:r>
    </w:p>
    <w:p w14:paraId="32F3A41B" w14:textId="77777777" w:rsidR="00610577" w:rsidRPr="002C1E2B" w:rsidRDefault="00610577" w:rsidP="00610577">
      <w:pPr>
        <w:pStyle w:val="HeadingU4"/>
      </w:pPr>
      <w:r w:rsidRPr="002C1E2B">
        <w:t>Problem analysis</w:t>
      </w:r>
    </w:p>
    <w:p w14:paraId="47EB7347" w14:textId="77777777" w:rsidR="00610577" w:rsidRPr="002C1E2B" w:rsidRDefault="00610577" w:rsidP="00610577">
      <w:pPr>
        <w:pStyle w:val="BodyText"/>
      </w:pPr>
      <w:r w:rsidRPr="002C1E2B">
        <w:t xml:space="preserve">Problems can arise between residents of retirement villages and retirement village operators. Often these problems arise due to a lack of understanding of their respective rights and obligations at the time of entering into a contract. Problems can also arise between non-owner residents and </w:t>
      </w:r>
      <w:r w:rsidR="003D490F" w:rsidRPr="002C1E2B">
        <w:t xml:space="preserve">village </w:t>
      </w:r>
      <w:r w:rsidRPr="002C1E2B">
        <w:t xml:space="preserve">operators relating to the timely return of their exit entitlement and, in particular the impact this can have on their entry into aged care. </w:t>
      </w:r>
    </w:p>
    <w:p w14:paraId="2EB251F8" w14:textId="77777777" w:rsidR="00610577" w:rsidRPr="002C1E2B" w:rsidRDefault="00610577" w:rsidP="00040EBC">
      <w:pPr>
        <w:pStyle w:val="ListBullet"/>
      </w:pPr>
      <w:r w:rsidRPr="002C1E2B">
        <w:rPr>
          <w:b/>
          <w:i/>
        </w:rPr>
        <w:lastRenderedPageBreak/>
        <w:t>Problems relating to return of exit entitlements</w:t>
      </w:r>
      <w:r w:rsidRPr="002C1E2B">
        <w:t xml:space="preserve"> – It often takes longer to sell units in retirement villages (on average 10.5 months) than privately owned property (one to two months) and, unlike privately owned property, it is difficult for non-owner residents to borrow against the value of retirement village units. Non-owner residents who have left retirement villages and are waiting for their unit to be sold may not be able to finance their other needs, which can result in significant hardship for them, including sometimes interfering with their entry into aged care.</w:t>
      </w:r>
      <w:r w:rsidR="00040EBC">
        <w:t xml:space="preserve"> </w:t>
      </w:r>
      <w:r w:rsidR="00040EBC" w:rsidRPr="002C1E2B">
        <w:t>The RV Act’s six month rule partly addresses this issue for non-owner residents by requiring retirement village operators to pay their exit entitlement within six months</w:t>
      </w:r>
      <w:r w:rsidR="00040EBC">
        <w:t xml:space="preserve">. However, without the exemptions from the six month rule established in the Regulations, the application of the six month rule is </w:t>
      </w:r>
      <w:r w:rsidR="00040EBC" w:rsidRPr="00040EBC">
        <w:t>onerous for retirement village operators. They may incur higher interest costs while they wait to receive the funds from the sale of the unit, or may be forced to delay other investments until the funds are available</w:t>
      </w:r>
      <w:r w:rsidR="00040EBC">
        <w:t xml:space="preserve"> </w:t>
      </w:r>
    </w:p>
    <w:p w14:paraId="09FF7582" w14:textId="77777777" w:rsidR="00610577" w:rsidRPr="002C1E2B" w:rsidRDefault="00610577" w:rsidP="00610577">
      <w:pPr>
        <w:pStyle w:val="ListBullet"/>
        <w:spacing w:after="240"/>
      </w:pPr>
      <w:r w:rsidRPr="002C1E2B">
        <w:rPr>
          <w:b/>
          <w:i/>
        </w:rPr>
        <w:t>Problems relating to contracts</w:t>
      </w:r>
      <w:r w:rsidRPr="002C1E2B">
        <w:t xml:space="preserve"> – Buying a unit in a retirement village is a major expense for most people. The average unit costs nearly $400,000 and residents will typically live in the unit for between eight and 15 years. It is important then that residents of retirement villages </w:t>
      </w:r>
      <w:r w:rsidRPr="002C1E2B">
        <w:rPr>
          <w:rFonts w:ascii="Times New Roman" w:eastAsia="MS PMincho" w:hAnsi="Times New Roman"/>
        </w:rPr>
        <w:t xml:space="preserve">(both owner and non-owner residents) </w:t>
      </w:r>
      <w:r w:rsidRPr="002C1E2B">
        <w:t>understand the terms and conditions of the contract they enter into with the retirement village operator. However, there are a number of factors that can contribute to a lack of understanding of retirement village contracts that are inherent to the sector, including: the complexity of the service offering; the fact it is a one-off purchase with long term consequences; the lack of experience in dealing with such specific contractual arrangements (both the prospective residents and the legal/accounting advisors); and reliance on information from the operator.</w:t>
      </w:r>
    </w:p>
    <w:p w14:paraId="284BAA9C" w14:textId="77777777" w:rsidR="00610577" w:rsidRPr="002C1E2B" w:rsidRDefault="00610577" w:rsidP="00610577">
      <w:pPr>
        <w:pStyle w:val="HeadingU4"/>
      </w:pPr>
      <w:r w:rsidRPr="002C1E2B">
        <w:t>Objective of the reform proposal</w:t>
      </w:r>
    </w:p>
    <w:p w14:paraId="79DCE6DA" w14:textId="77777777" w:rsidR="00610577" w:rsidRPr="002C1E2B" w:rsidRDefault="00610577" w:rsidP="00610577">
      <w:pPr>
        <w:pStyle w:val="BodyText"/>
      </w:pPr>
      <w:r w:rsidRPr="002C1E2B">
        <w:t xml:space="preserve">The proposed Regulations are primarily concerned with three issues (1) remaking the exemption from the six month rule, applying in cases where non-owner residents have control over the sale of their unit and certain other prescribed conditions are met; (2) remaking a form of the aged care rule that takes into account changes to the </w:t>
      </w:r>
      <w:r w:rsidRPr="002C1E2B">
        <w:rPr>
          <w:i/>
        </w:rPr>
        <w:t>Aged Care Act 1997</w:t>
      </w:r>
      <w:r w:rsidRPr="002C1E2B">
        <w:t xml:space="preserve"> (Aged Care Act); and (3) remaking aspects of the Regulations that were introduced in 2014 relating to retirement village contracts, including matters that must/must-not be included in contracts and the layout of contracts.  </w:t>
      </w:r>
    </w:p>
    <w:p w14:paraId="2A9144A3" w14:textId="77777777" w:rsidR="00610577" w:rsidRPr="002C1E2B" w:rsidRDefault="00610577" w:rsidP="00610577">
      <w:pPr>
        <w:pStyle w:val="BodyText"/>
      </w:pPr>
      <w:r w:rsidRPr="002C1E2B">
        <w:t>The objectives of remaking the Regulations are to:</w:t>
      </w:r>
    </w:p>
    <w:p w14:paraId="2202FC68" w14:textId="77777777" w:rsidR="00775A8B" w:rsidRPr="002C1E2B" w:rsidRDefault="00775A8B" w:rsidP="00775A8B">
      <w:pPr>
        <w:pStyle w:val="ListBullet"/>
      </w:pPr>
      <w:r w:rsidRPr="002C1E2B">
        <w:t xml:space="preserve">Ensure the return of non-owner residents’ exit entitlements does not interfere with their entry into aged care; </w:t>
      </w:r>
    </w:p>
    <w:p w14:paraId="6799D76E" w14:textId="77777777" w:rsidR="00610577" w:rsidRPr="002C1E2B" w:rsidRDefault="00610577" w:rsidP="00610577">
      <w:pPr>
        <w:pStyle w:val="ListBullet"/>
      </w:pPr>
      <w:r w:rsidRPr="002C1E2B">
        <w:t>Address problems relating to the clarity and complexity of contracts, which can result in detriment to r</w:t>
      </w:r>
      <w:r w:rsidR="00775A8B">
        <w:t>etirement village residents;</w:t>
      </w:r>
    </w:p>
    <w:p w14:paraId="13EA72E7" w14:textId="77777777" w:rsidR="00610577" w:rsidRDefault="00610577" w:rsidP="00B073EF">
      <w:pPr>
        <w:pStyle w:val="ListBullet"/>
        <w:ind w:left="357" w:hanging="357"/>
      </w:pPr>
      <w:r w:rsidRPr="002C1E2B">
        <w:t>Minimise unnecessary compliance burdens on the retirement vill</w:t>
      </w:r>
      <w:r w:rsidR="00775A8B">
        <w:t>age sector;</w:t>
      </w:r>
    </w:p>
    <w:p w14:paraId="2446B686" w14:textId="77777777" w:rsidR="00775A8B" w:rsidRPr="002C1E2B" w:rsidRDefault="00775A8B" w:rsidP="00775A8B">
      <w:pPr>
        <w:pStyle w:val="ListBullet"/>
      </w:pPr>
      <w:r w:rsidRPr="002C1E2B">
        <w:t xml:space="preserve">Minimise retrospective changes to non-owner residents’ contractual arrangements; </w:t>
      </w:r>
    </w:p>
    <w:p w14:paraId="47D50BC5" w14:textId="77777777" w:rsidR="00775A8B" w:rsidRPr="002C1E2B" w:rsidRDefault="00775A8B" w:rsidP="00775A8B">
      <w:pPr>
        <w:pStyle w:val="ListBullet"/>
      </w:pPr>
      <w:r>
        <w:t>Provide</w:t>
      </w:r>
      <w:r w:rsidRPr="002C1E2B">
        <w:t xml:space="preserve"> non-owner residents with the appropriate level of choice of aged care payment when entering into aged care; </w:t>
      </w:r>
      <w:r>
        <w:t>and</w:t>
      </w:r>
    </w:p>
    <w:p w14:paraId="53315D48" w14:textId="77777777" w:rsidR="00775A8B" w:rsidRDefault="00775A8B" w:rsidP="00775A8B">
      <w:pPr>
        <w:pStyle w:val="ListBullet"/>
        <w:spacing w:after="240"/>
      </w:pPr>
      <w:r w:rsidRPr="002C1E2B">
        <w:t xml:space="preserve">Ensure the ongoing </w:t>
      </w:r>
      <w:r>
        <w:t>viability of the sector.</w:t>
      </w:r>
    </w:p>
    <w:p w14:paraId="27D46F65" w14:textId="77777777" w:rsidR="00775A8B" w:rsidRPr="002C1E2B" w:rsidRDefault="00775A8B" w:rsidP="00775A8B">
      <w:pPr>
        <w:pStyle w:val="BodyText"/>
      </w:pPr>
      <w:r>
        <w:lastRenderedPageBreak/>
        <w:t xml:space="preserve">The first three objectives are addressed by remaking the Regulations. The final three objectives form the basis of the options analysis on the aged care rule. </w:t>
      </w:r>
    </w:p>
    <w:p w14:paraId="1BC2402C" w14:textId="77777777" w:rsidR="00610577" w:rsidRPr="002C1E2B" w:rsidRDefault="00610577" w:rsidP="00610577">
      <w:pPr>
        <w:pStyle w:val="HeadingU4"/>
      </w:pPr>
      <w:r w:rsidRPr="002C1E2B">
        <w:t>Options to address the problem</w:t>
      </w:r>
    </w:p>
    <w:p w14:paraId="0624A098" w14:textId="77777777" w:rsidR="00610577" w:rsidRPr="002C1E2B" w:rsidRDefault="00610577" w:rsidP="00610577">
      <w:pPr>
        <w:pStyle w:val="BodyText"/>
        <w:rPr>
          <w:lang w:eastAsia="zh-MO"/>
        </w:rPr>
      </w:pPr>
      <w:r w:rsidRPr="002C1E2B">
        <w:rPr>
          <w:rFonts w:eastAsia="PMingLiU"/>
          <w:lang w:eastAsia="zh-MO"/>
        </w:rPr>
        <w:t xml:space="preserve">The </w:t>
      </w:r>
      <w:r w:rsidRPr="002C1E2B">
        <w:rPr>
          <w:rFonts w:eastAsia="PMingLiU"/>
          <w:i/>
          <w:lang w:eastAsia="zh-MO"/>
        </w:rPr>
        <w:t>Subordinate Legislation Act 1994</w:t>
      </w:r>
      <w:r w:rsidRPr="002C1E2B">
        <w:rPr>
          <w:rFonts w:eastAsia="PMingLiU"/>
          <w:lang w:eastAsia="zh-MO"/>
        </w:rPr>
        <w:t xml:space="preserve"> requires a RIS to consider a number of options to achieve the Government’s objectives, including both regulatory and non-regulatory options. In this case, the current </w:t>
      </w:r>
      <w:r w:rsidRPr="002C1E2B">
        <w:rPr>
          <w:lang w:eastAsia="zh-MO"/>
        </w:rPr>
        <w:t>regulations are sunsetting and it is a requirement that the proposed options are compared to a ‘base case’ where the regulations are not remade – i.e. one where there are no regulations.</w:t>
      </w:r>
    </w:p>
    <w:p w14:paraId="46319B12" w14:textId="10595CA7" w:rsidR="00610577" w:rsidRPr="002C1E2B" w:rsidRDefault="00610577" w:rsidP="00610577">
      <w:pPr>
        <w:pStyle w:val="BodyText"/>
        <w:rPr>
          <w:lang w:eastAsia="zh-MO"/>
        </w:rPr>
      </w:pPr>
      <w:r w:rsidRPr="002C1E2B">
        <w:rPr>
          <w:rFonts w:eastAsia="PMingLiU"/>
          <w:lang w:eastAsia="zh-MO"/>
        </w:rPr>
        <w:t>Three options have been developed in consultation with stakeholders. All of these options involve keeping the three main aspects of the current regulations (1) the exemption from the six month rule; (2) a form of the aged care rule; and (3) the provisions relating to contract requirement and l</w:t>
      </w:r>
      <w:r w:rsidR="003C6334">
        <w:rPr>
          <w:rFonts w:eastAsia="PMingLiU"/>
          <w:lang w:eastAsia="zh-MO"/>
        </w:rPr>
        <w:t>ayout. All three options would retain</w:t>
      </w:r>
      <w:r w:rsidRPr="002C1E2B">
        <w:rPr>
          <w:rFonts w:eastAsia="PMingLiU"/>
          <w:lang w:eastAsia="zh-MO"/>
        </w:rPr>
        <w:t xml:space="preserve"> the six month rule exemption and the contractual pro</w:t>
      </w:r>
      <w:r w:rsidR="003C6334">
        <w:rPr>
          <w:rFonts w:eastAsia="PMingLiU"/>
          <w:lang w:eastAsia="zh-MO"/>
        </w:rPr>
        <w:t xml:space="preserve">visions in their current form. </w:t>
      </w:r>
      <w:r w:rsidRPr="002C1E2B">
        <w:rPr>
          <w:rFonts w:eastAsia="PMingLiU"/>
          <w:lang w:eastAsia="zh-MO"/>
        </w:rPr>
        <w:t>Three alternative approaches have been considered for renewing the aged care rule. These are:</w:t>
      </w:r>
    </w:p>
    <w:p w14:paraId="7816CFB0" w14:textId="77777777" w:rsidR="00610577" w:rsidRPr="002C1E2B" w:rsidRDefault="00610577" w:rsidP="00610577">
      <w:pPr>
        <w:pStyle w:val="ListBullet"/>
        <w:rPr>
          <w:lang w:eastAsia="zh-MO"/>
        </w:rPr>
      </w:pPr>
      <w:r w:rsidRPr="002C1E2B">
        <w:rPr>
          <w:rFonts w:eastAsia="PMingLiU"/>
          <w:b/>
          <w:lang w:eastAsia="zh-MO"/>
        </w:rPr>
        <w:t>Option 1</w:t>
      </w:r>
      <w:r w:rsidRPr="002C1E2B">
        <w:rPr>
          <w:rFonts w:eastAsia="PMingLiU"/>
          <w:lang w:eastAsia="zh-MO"/>
        </w:rPr>
        <w:t xml:space="preserve"> – DAP or RAD rule;</w:t>
      </w:r>
    </w:p>
    <w:p w14:paraId="1E2A7E16" w14:textId="77777777" w:rsidR="00610577" w:rsidRPr="002C1E2B" w:rsidRDefault="00610577" w:rsidP="00610577">
      <w:pPr>
        <w:pStyle w:val="ListBullet"/>
        <w:rPr>
          <w:lang w:eastAsia="zh-MO"/>
        </w:rPr>
      </w:pPr>
      <w:r w:rsidRPr="002C1E2B">
        <w:rPr>
          <w:rFonts w:eastAsia="PMingLiU"/>
          <w:b/>
          <w:lang w:eastAsia="zh-MO"/>
        </w:rPr>
        <w:t>Option 2</w:t>
      </w:r>
      <w:r w:rsidRPr="002C1E2B">
        <w:rPr>
          <w:rFonts w:eastAsia="PMingLiU"/>
          <w:lang w:eastAsia="zh-MO"/>
        </w:rPr>
        <w:t xml:space="preserve"> – DAP or RAD rule with RAD grandfathering provisions; and</w:t>
      </w:r>
    </w:p>
    <w:p w14:paraId="5F33E217" w14:textId="77777777" w:rsidR="00610577" w:rsidRPr="002C1E2B" w:rsidRDefault="00610577" w:rsidP="00610577">
      <w:pPr>
        <w:pStyle w:val="ListBullet"/>
        <w:spacing w:after="240" w:line="240" w:lineRule="auto"/>
        <w:ind w:left="357" w:hanging="357"/>
        <w:rPr>
          <w:lang w:eastAsia="zh-MO"/>
        </w:rPr>
      </w:pPr>
      <w:r w:rsidRPr="002C1E2B">
        <w:rPr>
          <w:rFonts w:eastAsia="PMingLiU"/>
          <w:b/>
          <w:lang w:eastAsia="zh-MO"/>
        </w:rPr>
        <w:t>Option 3</w:t>
      </w:r>
      <w:r w:rsidRPr="002C1E2B">
        <w:rPr>
          <w:rFonts w:eastAsia="PMingLiU"/>
          <w:lang w:eastAsia="zh-MO"/>
        </w:rPr>
        <w:t xml:space="preserve"> – DAP rule.</w:t>
      </w:r>
    </w:p>
    <w:p w14:paraId="64756CDC" w14:textId="4F442F82" w:rsidR="00610577" w:rsidRPr="002C1E2B" w:rsidRDefault="00610577" w:rsidP="00610577">
      <w:pPr>
        <w:pStyle w:val="BodyText"/>
      </w:pPr>
      <w:r w:rsidRPr="002C1E2B">
        <w:rPr>
          <w:lang w:eastAsia="zh-MO"/>
        </w:rPr>
        <w:t xml:space="preserve">No </w:t>
      </w:r>
      <w:r w:rsidRPr="002C1E2B">
        <w:t xml:space="preserve">feasible non-regulatory options have been identified that would address the problems outlined </w:t>
      </w:r>
      <w:r w:rsidR="003C6334">
        <w:t>above</w:t>
      </w:r>
      <w:r w:rsidRPr="002C1E2B">
        <w:t xml:space="preserve">. In the case of the six month rule exemption, due to the six month rule being contained in legislation, a regulatory exemption is the only </w:t>
      </w:r>
      <w:r w:rsidR="003C6334">
        <w:t xml:space="preserve">feasible </w:t>
      </w:r>
      <w:r w:rsidRPr="002C1E2B">
        <w:t xml:space="preserve">way to amend the application of that rule. The only other option would be not to have any exemption from the rule, which as the analysis later in this chapter shows, would be onerous for the sector. </w:t>
      </w:r>
    </w:p>
    <w:p w14:paraId="07DE3254" w14:textId="69110BAB" w:rsidR="00610577" w:rsidRPr="002C1E2B" w:rsidRDefault="00610577" w:rsidP="00610577">
      <w:pPr>
        <w:pStyle w:val="BodyText"/>
        <w:rPr>
          <w:lang w:eastAsia="zh-MO"/>
        </w:rPr>
      </w:pPr>
      <w:r w:rsidRPr="002C1E2B">
        <w:t>In the case of both the aged care rule and the provisions in the Regulations relating to contracts, a non-regulatory approach (e.g. self-regulation or guidance materials) would be technically possible. However, as outlined in Chapter 2, there are a number of inherent factors, which limit resident’s capacity to evaluate retirement village contracts and consider their long</w:t>
      </w:r>
      <w:r w:rsidRPr="002C1E2B">
        <w:rPr>
          <w:lang w:eastAsia="zh-MO"/>
        </w:rPr>
        <w:t xml:space="preserve">-term implications. </w:t>
      </w:r>
      <w:r w:rsidR="00C8277F">
        <w:rPr>
          <w:lang w:eastAsia="zh-MO"/>
        </w:rPr>
        <w:t>CAV considers that a</w:t>
      </w:r>
      <w:r w:rsidR="00C8277F" w:rsidRPr="002C1E2B">
        <w:rPr>
          <w:lang w:eastAsia="zh-MO"/>
        </w:rPr>
        <w:t xml:space="preserve"> </w:t>
      </w:r>
      <w:r w:rsidRPr="002C1E2B">
        <w:rPr>
          <w:lang w:eastAsia="zh-MO"/>
        </w:rPr>
        <w:t xml:space="preserve">regulatory approach </w:t>
      </w:r>
      <w:r w:rsidR="00C8277F">
        <w:rPr>
          <w:lang w:eastAsia="zh-MO"/>
        </w:rPr>
        <w:t xml:space="preserve">is the </w:t>
      </w:r>
      <w:r w:rsidRPr="002C1E2B">
        <w:rPr>
          <w:lang w:eastAsia="zh-MO"/>
        </w:rPr>
        <w:t xml:space="preserve">only feasible way of addressing these issues. In the case of the contractual provisions, the ongoing costs of these are low (around </w:t>
      </w:r>
      <w:r w:rsidR="0005714A" w:rsidRPr="002C1E2B">
        <w:t>$337 per village per year or approximately $135,000 per annum</w:t>
      </w:r>
      <w:r w:rsidRPr="002C1E2B">
        <w:rPr>
          <w:lang w:eastAsia="zh-MO"/>
        </w:rPr>
        <w:t>) and have only recently been implemented.</w:t>
      </w:r>
    </w:p>
    <w:p w14:paraId="723D8466" w14:textId="77777777" w:rsidR="00610577" w:rsidRPr="002C1E2B" w:rsidRDefault="00610577" w:rsidP="00610577">
      <w:pPr>
        <w:pStyle w:val="BodyText"/>
        <w:rPr>
          <w:lang w:eastAsia="zh-MO"/>
        </w:rPr>
      </w:pPr>
      <w:r w:rsidRPr="002C1E2B">
        <w:rPr>
          <w:lang w:eastAsia="zh-MO"/>
        </w:rPr>
        <w:t xml:space="preserve">No feasible alternative options have been identified by stakeholders during the consultation conducted to date for the calculation of estimated exit entitlements (r.7-8), the exemption to the six month rule (r.5), and requirements around contract layout and content (r.8B-8H). </w:t>
      </w:r>
      <w:r w:rsidR="00F053CE">
        <w:rPr>
          <w:lang w:eastAsia="zh-MO"/>
        </w:rPr>
        <w:t xml:space="preserve">CAV also considers that there are no feasible alternatives to these options. </w:t>
      </w:r>
      <w:r w:rsidRPr="002C1E2B">
        <w:rPr>
          <w:lang w:eastAsia="zh-MO"/>
        </w:rPr>
        <w:t>As such, the analysis in this RIS focuses on options to address the problems relating to financial barriers to non-owner retirement village residents entering aged care that are currently addressed by the aged care rule (r.6).</w:t>
      </w:r>
    </w:p>
    <w:p w14:paraId="3D0D2CA0" w14:textId="536F2542" w:rsidR="00610577" w:rsidRPr="002C1E2B" w:rsidRDefault="000F44C5" w:rsidP="00610577">
      <w:pPr>
        <w:pStyle w:val="BodyText"/>
        <w:rPr>
          <w:lang w:eastAsia="zh-MO"/>
        </w:rPr>
      </w:pPr>
      <w:r>
        <w:rPr>
          <w:lang w:eastAsia="zh-MO"/>
        </w:rPr>
        <w:t>No feasible</w:t>
      </w:r>
      <w:r w:rsidR="00610577" w:rsidRPr="002C1E2B">
        <w:rPr>
          <w:lang w:eastAsia="zh-MO"/>
        </w:rPr>
        <w:t xml:space="preserve"> alternative options were </w:t>
      </w:r>
      <w:r>
        <w:rPr>
          <w:lang w:eastAsia="zh-MO"/>
        </w:rPr>
        <w:t>identified by CAV</w:t>
      </w:r>
      <w:r w:rsidR="00610577" w:rsidRPr="002C1E2B">
        <w:rPr>
          <w:lang w:eastAsia="zh-MO"/>
        </w:rPr>
        <w:t xml:space="preserve"> for addressing financial barriers to non-owner retirement village residents entering aged care. </w:t>
      </w:r>
      <w:r>
        <w:rPr>
          <w:lang w:eastAsia="zh-MO"/>
        </w:rPr>
        <w:t>A</w:t>
      </w:r>
      <w:r w:rsidR="00610577" w:rsidRPr="002C1E2B">
        <w:rPr>
          <w:lang w:eastAsia="zh-MO"/>
        </w:rPr>
        <w:t xml:space="preserve">s aged care is a Commonwealth responsibility, the options available to the Victorian Government are limited. Other </w:t>
      </w:r>
      <w:r>
        <w:rPr>
          <w:lang w:eastAsia="zh-MO"/>
        </w:rPr>
        <w:t>approaches</w:t>
      </w:r>
      <w:r w:rsidRPr="002C1E2B">
        <w:rPr>
          <w:lang w:eastAsia="zh-MO"/>
        </w:rPr>
        <w:t xml:space="preserve"> </w:t>
      </w:r>
      <w:r w:rsidR="00610577" w:rsidRPr="002C1E2B">
        <w:rPr>
          <w:lang w:eastAsia="zh-MO"/>
        </w:rPr>
        <w:t xml:space="preserve">would involve accessing the funds needed to pay for aged care from a source </w:t>
      </w:r>
      <w:r w:rsidR="00610577" w:rsidRPr="002C1E2B">
        <w:rPr>
          <w:lang w:eastAsia="zh-MO"/>
        </w:rPr>
        <w:lastRenderedPageBreak/>
        <w:t xml:space="preserve">other than the retirement village resident or operator (e.g. government), which is not considered appropriate or proportional to the problem that the regulations </w:t>
      </w:r>
      <w:r w:rsidR="00352A2F">
        <w:rPr>
          <w:lang w:eastAsia="zh-MO"/>
        </w:rPr>
        <w:t>address</w:t>
      </w:r>
      <w:r>
        <w:rPr>
          <w:lang w:eastAsia="zh-MO"/>
        </w:rPr>
        <w:t>.</w:t>
      </w:r>
    </w:p>
    <w:p w14:paraId="3D75BB6F" w14:textId="77777777" w:rsidR="00610577" w:rsidRDefault="00610577" w:rsidP="00B073EF">
      <w:pPr>
        <w:pStyle w:val="BodyText"/>
        <w:spacing w:after="120"/>
        <w:rPr>
          <w:lang w:eastAsia="zh-MO"/>
        </w:rPr>
      </w:pPr>
      <w:r w:rsidRPr="002C1E2B">
        <w:rPr>
          <w:lang w:eastAsia="zh-MO"/>
        </w:rPr>
        <w:t xml:space="preserve">The key features of the base case and each option are </w:t>
      </w:r>
      <w:r w:rsidRPr="00B073EF">
        <w:rPr>
          <w:lang w:eastAsia="zh-MO"/>
        </w:rPr>
        <w:t xml:space="preserve">summarised in </w:t>
      </w:r>
      <w:r w:rsidRPr="00B073EF">
        <w:rPr>
          <w:lang w:eastAsia="zh-MO"/>
        </w:rPr>
        <w:fldChar w:fldCharType="begin"/>
      </w:r>
      <w:r w:rsidRPr="00B073EF">
        <w:rPr>
          <w:lang w:eastAsia="zh-MO"/>
        </w:rPr>
        <w:instrText xml:space="preserve"> REF _Ref476133205 \h </w:instrText>
      </w:r>
      <w:r w:rsidR="00B073EF" w:rsidRPr="00B073EF">
        <w:rPr>
          <w:lang w:eastAsia="zh-MO"/>
        </w:rPr>
        <w:instrText xml:space="preserve"> \* MERGEFORMAT </w:instrText>
      </w:r>
      <w:r w:rsidRPr="00B073EF">
        <w:rPr>
          <w:lang w:eastAsia="zh-MO"/>
        </w:rPr>
      </w:r>
      <w:r w:rsidRPr="00B073EF">
        <w:rPr>
          <w:lang w:eastAsia="zh-MO"/>
        </w:rPr>
        <w:fldChar w:fldCharType="separate"/>
      </w:r>
      <w:r w:rsidR="00BE6CE4" w:rsidRPr="00BE6CE4">
        <w:rPr>
          <w:lang w:eastAsia="zh-MO"/>
        </w:rPr>
        <w:t>Table E.</w:t>
      </w:r>
      <w:r w:rsidR="00BE6CE4" w:rsidRPr="00BE6CE4">
        <w:rPr>
          <w:noProof/>
          <w:lang w:eastAsia="zh-MO"/>
        </w:rPr>
        <w:t>1</w:t>
      </w:r>
      <w:r w:rsidRPr="00B073EF">
        <w:rPr>
          <w:lang w:eastAsia="zh-MO"/>
        </w:rPr>
        <w:fldChar w:fldCharType="end"/>
      </w:r>
      <w:r w:rsidRPr="00B073EF">
        <w:rPr>
          <w:lang w:eastAsia="zh-MO"/>
        </w:rPr>
        <w:t xml:space="preserve"> below</w:t>
      </w:r>
      <w:r w:rsidRPr="002C1E2B">
        <w:rPr>
          <w:lang w:eastAsia="zh-MO"/>
        </w:rPr>
        <w:t>.</w:t>
      </w:r>
    </w:p>
    <w:p w14:paraId="68A46BD6" w14:textId="77777777" w:rsidR="00EF6C0A" w:rsidRPr="002C1E2B" w:rsidRDefault="00EF6C0A" w:rsidP="00EF6C0A">
      <w:pPr>
        <w:pStyle w:val="BodyText"/>
        <w:rPr>
          <w:lang w:eastAsia="zh-MO"/>
        </w:rPr>
        <w:sectPr w:rsidR="00EF6C0A" w:rsidRPr="002C1E2B" w:rsidSect="00780AD9">
          <w:pgSz w:w="11907" w:h="16839" w:code="1"/>
          <w:pgMar w:top="1915" w:right="1440" w:bottom="1440" w:left="1440" w:header="835" w:footer="202" w:gutter="0"/>
          <w:pgNumType w:fmt="lowerRoman"/>
          <w:cols w:space="708"/>
          <w:docGrid w:linePitch="360"/>
        </w:sectPr>
      </w:pPr>
    </w:p>
    <w:p w14:paraId="06C9DAC5" w14:textId="77777777" w:rsidR="00EF6C0A" w:rsidRPr="002C1E2B" w:rsidRDefault="00EF6C0A" w:rsidP="00EF6C0A">
      <w:pPr>
        <w:pStyle w:val="BodyText"/>
        <w:jc w:val="center"/>
        <w:rPr>
          <w:b/>
          <w:lang w:eastAsia="zh-MO"/>
        </w:rPr>
      </w:pPr>
      <w:bookmarkStart w:id="18" w:name="_Ref476133205"/>
      <w:r w:rsidRPr="002C1E2B">
        <w:rPr>
          <w:b/>
          <w:lang w:eastAsia="zh-MO"/>
        </w:rPr>
        <w:lastRenderedPageBreak/>
        <w:t>Table E.</w:t>
      </w:r>
      <w:r w:rsidRPr="002C1E2B">
        <w:rPr>
          <w:b/>
          <w:lang w:eastAsia="zh-MO"/>
        </w:rPr>
        <w:fldChar w:fldCharType="begin"/>
      </w:r>
      <w:r w:rsidRPr="002C1E2B">
        <w:rPr>
          <w:b/>
          <w:lang w:eastAsia="zh-MO"/>
        </w:rPr>
        <w:instrText xml:space="preserve"> SEQ Table \* ARABIC \s 1 </w:instrText>
      </w:r>
      <w:r w:rsidRPr="002C1E2B">
        <w:rPr>
          <w:b/>
          <w:lang w:eastAsia="zh-MO"/>
        </w:rPr>
        <w:fldChar w:fldCharType="separate"/>
      </w:r>
      <w:r w:rsidR="00BE6CE4">
        <w:rPr>
          <w:b/>
          <w:noProof/>
          <w:lang w:eastAsia="zh-MO"/>
        </w:rPr>
        <w:t>1</w:t>
      </w:r>
      <w:r w:rsidRPr="002C1E2B">
        <w:rPr>
          <w:b/>
          <w:lang w:eastAsia="zh-MO"/>
        </w:rPr>
        <w:fldChar w:fldCharType="end"/>
      </w:r>
      <w:bookmarkEnd w:id="18"/>
      <w:r w:rsidRPr="002C1E2B" w:rsidDel="00820335">
        <w:rPr>
          <w:b/>
          <w:lang w:eastAsia="zh-MO"/>
        </w:rPr>
        <w:t xml:space="preserve"> </w:t>
      </w:r>
      <w:r w:rsidRPr="002C1E2B">
        <w:rPr>
          <w:b/>
          <w:lang w:eastAsia="zh-MO"/>
        </w:rPr>
        <w:t>– Summary of options</w:t>
      </w:r>
    </w:p>
    <w:tbl>
      <w:tblPr>
        <w:tblStyle w:val="NERATable"/>
        <w:tblW w:w="14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9"/>
        <w:gridCol w:w="3964"/>
        <w:gridCol w:w="4968"/>
        <w:gridCol w:w="2126"/>
        <w:gridCol w:w="2266"/>
      </w:tblGrid>
      <w:tr w:rsidR="008C7486" w:rsidRPr="002C1E2B" w14:paraId="1F0C0229" w14:textId="77777777" w:rsidTr="008C74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F497D" w:themeFill="text2"/>
          </w:tcPr>
          <w:p w14:paraId="08DA6BDF" w14:textId="77777777" w:rsidR="008C7486" w:rsidRPr="002C1E2B" w:rsidRDefault="008C7486" w:rsidP="00610577">
            <w:pPr>
              <w:pStyle w:val="TableHeader-White"/>
              <w:keepNext/>
              <w:keepLines/>
              <w:rPr>
                <w:sz w:val="20"/>
                <w:lang w:eastAsia="en-US"/>
              </w:rPr>
            </w:pPr>
          </w:p>
        </w:tc>
        <w:tc>
          <w:tcPr>
            <w:tcW w:w="3964" w:type="dxa"/>
            <w:tcBorders>
              <w:bottom w:val="none" w:sz="0" w:space="0" w:color="auto"/>
            </w:tcBorders>
            <w:shd w:val="clear" w:color="auto" w:fill="1F497D" w:themeFill="text2"/>
          </w:tcPr>
          <w:p w14:paraId="3E68F53F" w14:textId="77777777" w:rsidR="008C7486" w:rsidRPr="002C1E2B" w:rsidRDefault="008C7486" w:rsidP="00610577">
            <w:pPr>
              <w:pStyle w:val="TableHeader-White"/>
              <w:keepNext/>
              <w:keepLines/>
              <w:cnfStyle w:val="100000000000" w:firstRow="1" w:lastRow="0" w:firstColumn="0" w:lastColumn="0" w:oddVBand="0" w:evenVBand="0" w:oddHBand="0" w:evenHBand="0" w:firstRowFirstColumn="0" w:firstRowLastColumn="0" w:lastRowFirstColumn="0" w:lastRowLastColumn="0"/>
              <w:rPr>
                <w:b w:val="0"/>
                <w:sz w:val="20"/>
                <w:lang w:eastAsia="en-US"/>
              </w:rPr>
            </w:pPr>
            <w:r w:rsidRPr="002C1E2B">
              <w:rPr>
                <w:sz w:val="20"/>
              </w:rPr>
              <w:t xml:space="preserve">Six month rule exemption </w:t>
            </w:r>
            <w:r w:rsidRPr="002C1E2B">
              <w:rPr>
                <w:sz w:val="20"/>
              </w:rPr>
              <w:br/>
              <w:t>(Regulation 5)</w:t>
            </w:r>
          </w:p>
        </w:tc>
        <w:tc>
          <w:tcPr>
            <w:tcW w:w="4968" w:type="dxa"/>
            <w:tcBorders>
              <w:bottom w:val="none" w:sz="0" w:space="0" w:color="auto"/>
            </w:tcBorders>
            <w:shd w:val="clear" w:color="auto" w:fill="1F497D" w:themeFill="text2"/>
          </w:tcPr>
          <w:p w14:paraId="5B95444E" w14:textId="77777777" w:rsidR="008C7486" w:rsidRPr="002C1E2B" w:rsidRDefault="008C7486" w:rsidP="00610577">
            <w:pPr>
              <w:pStyle w:val="TableHeader-White"/>
              <w:keepNext/>
              <w:keepLines/>
              <w:cnfStyle w:val="100000000000" w:firstRow="1" w:lastRow="0" w:firstColumn="0" w:lastColumn="0" w:oddVBand="0" w:evenVBand="0" w:oddHBand="0" w:evenHBand="0" w:firstRowFirstColumn="0" w:firstRowLastColumn="0" w:lastRowFirstColumn="0" w:lastRowLastColumn="0"/>
              <w:rPr>
                <w:b w:val="0"/>
                <w:sz w:val="20"/>
              </w:rPr>
            </w:pPr>
            <w:r w:rsidRPr="002C1E2B">
              <w:rPr>
                <w:sz w:val="20"/>
              </w:rPr>
              <w:t xml:space="preserve">Aged care rule </w:t>
            </w:r>
            <w:r w:rsidRPr="002C1E2B">
              <w:rPr>
                <w:sz w:val="20"/>
              </w:rPr>
              <w:br/>
              <w:t>(Regulation 6)</w:t>
            </w:r>
          </w:p>
        </w:tc>
        <w:tc>
          <w:tcPr>
            <w:tcW w:w="2126" w:type="dxa"/>
            <w:tcBorders>
              <w:bottom w:val="none" w:sz="0" w:space="0" w:color="auto"/>
            </w:tcBorders>
            <w:shd w:val="clear" w:color="auto" w:fill="1F497D" w:themeFill="text2"/>
          </w:tcPr>
          <w:p w14:paraId="086A5D0D" w14:textId="77777777" w:rsidR="008C7486" w:rsidRPr="002C1E2B" w:rsidRDefault="008C7486" w:rsidP="00610577">
            <w:pPr>
              <w:spacing w:before="60" w:after="60"/>
              <w:cnfStyle w:val="100000000000" w:firstRow="1" w:lastRow="0" w:firstColumn="0" w:lastColumn="0" w:oddVBand="0" w:evenVBand="0" w:oddHBand="0" w:evenHBand="0" w:firstRowFirstColumn="0" w:firstRowLastColumn="0" w:lastRowFirstColumn="0" w:lastRowLastColumn="0"/>
              <w:rPr>
                <w:b w:val="0"/>
                <w:sz w:val="20"/>
              </w:rPr>
            </w:pPr>
            <w:r w:rsidRPr="002C1E2B">
              <w:rPr>
                <w:rFonts w:ascii="Calibri" w:hAnsi="Calibri"/>
                <w:color w:val="FFFFFF"/>
                <w:sz w:val="20"/>
                <w:szCs w:val="20"/>
              </w:rPr>
              <w:t xml:space="preserve">Calculation of in-going contribution refunds </w:t>
            </w:r>
            <w:r w:rsidRPr="002C1E2B">
              <w:rPr>
                <w:rFonts w:ascii="Calibri" w:hAnsi="Calibri"/>
                <w:color w:val="FFFFFF"/>
                <w:sz w:val="20"/>
                <w:szCs w:val="20"/>
              </w:rPr>
              <w:br/>
              <w:t>(Regulation 7 &amp; 8)</w:t>
            </w:r>
          </w:p>
        </w:tc>
        <w:tc>
          <w:tcPr>
            <w:tcW w:w="2266" w:type="dxa"/>
            <w:tcBorders>
              <w:bottom w:val="none" w:sz="0" w:space="0" w:color="auto"/>
            </w:tcBorders>
            <w:shd w:val="clear" w:color="auto" w:fill="1F497D" w:themeFill="text2"/>
          </w:tcPr>
          <w:p w14:paraId="738060BC" w14:textId="77777777" w:rsidR="008C7486" w:rsidRPr="002C1E2B" w:rsidRDefault="008C7486" w:rsidP="00610577">
            <w:pPr>
              <w:pStyle w:val="TableHeader-White"/>
              <w:keepNext/>
              <w:keepLines/>
              <w:cnfStyle w:val="100000000000" w:firstRow="1" w:lastRow="0" w:firstColumn="0" w:lastColumn="0" w:oddVBand="0" w:evenVBand="0" w:oddHBand="0" w:evenHBand="0" w:firstRowFirstColumn="0" w:firstRowLastColumn="0" w:lastRowFirstColumn="0" w:lastRowLastColumn="0"/>
              <w:rPr>
                <w:b w:val="0"/>
                <w:sz w:val="20"/>
                <w:lang w:eastAsia="en-US"/>
              </w:rPr>
            </w:pPr>
            <w:r w:rsidRPr="002C1E2B">
              <w:rPr>
                <w:sz w:val="20"/>
                <w:lang w:eastAsia="en-US"/>
              </w:rPr>
              <w:t>Contractual requirements (Regulations 8B-8H)</w:t>
            </w:r>
          </w:p>
        </w:tc>
      </w:tr>
      <w:tr w:rsidR="008C7486" w:rsidRPr="002C1E2B" w14:paraId="3AD1A95E" w14:textId="77777777" w:rsidTr="008C7486">
        <w:tc>
          <w:tcPr>
            <w:cnfStyle w:val="001000000000" w:firstRow="0" w:lastRow="0" w:firstColumn="1" w:lastColumn="0" w:oddVBand="0" w:evenVBand="0" w:oddHBand="0" w:evenHBand="0" w:firstRowFirstColumn="0" w:firstRowLastColumn="0" w:lastRowFirstColumn="0" w:lastRowLastColumn="0"/>
            <w:tcW w:w="1539" w:type="dxa"/>
            <w:tcBorders>
              <w:left w:val="none" w:sz="0" w:space="0" w:color="auto"/>
              <w:bottom w:val="none" w:sz="0" w:space="0" w:color="auto"/>
              <w:right w:val="none" w:sz="0" w:space="0" w:color="auto"/>
              <w:tl2br w:val="none" w:sz="0" w:space="0" w:color="auto"/>
              <w:tr2bl w:val="none" w:sz="0" w:space="0" w:color="auto"/>
            </w:tcBorders>
          </w:tcPr>
          <w:p w14:paraId="2ABBAE18" w14:textId="77777777" w:rsidR="008C7486" w:rsidRPr="002C1E2B" w:rsidRDefault="008C7486" w:rsidP="00610577">
            <w:pPr>
              <w:pStyle w:val="TableText"/>
              <w:rPr>
                <w:rFonts w:ascii="Calibri" w:hAnsi="Calibri"/>
                <w:b/>
              </w:rPr>
            </w:pPr>
            <w:r w:rsidRPr="002C1E2B">
              <w:rPr>
                <w:rFonts w:ascii="Calibri" w:hAnsi="Calibri"/>
                <w:b/>
                <w:lang w:eastAsia="en-US"/>
              </w:rPr>
              <w:t>Base case – No contractual arrangements regulations</w:t>
            </w:r>
          </w:p>
        </w:tc>
        <w:tc>
          <w:tcPr>
            <w:tcW w:w="3964" w:type="dxa"/>
          </w:tcPr>
          <w:p w14:paraId="7D12A854" w14:textId="77777777" w:rsidR="008C7486" w:rsidRPr="002C1E2B" w:rsidRDefault="008C7486" w:rsidP="00610577">
            <w:pPr>
              <w:pStyle w:val="TableTex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2C1E2B">
              <w:rPr>
                <w:rFonts w:ascii="Calibri" w:hAnsi="Calibri"/>
                <w:color w:val="000000"/>
              </w:rPr>
              <w:t>No exemption from the six month rule under the Act for contracts made after 1 August 2017 — for these contracts the six month rule would still apply under the Act. As exemptions are already in most existing non-owner residents’ contracts, the six month rule exemption would apply to them but not for new non-owner residents.</w:t>
            </w:r>
          </w:p>
          <w:p w14:paraId="4FD0A802" w14:textId="77777777" w:rsidR="008C7486" w:rsidRPr="002C1E2B" w:rsidRDefault="008C7486" w:rsidP="00610577">
            <w:pPr>
              <w:pStyle w:val="TableText"/>
              <w:cnfStyle w:val="000000000000" w:firstRow="0" w:lastRow="0" w:firstColumn="0" w:lastColumn="0" w:oddVBand="0" w:evenVBand="0" w:oddHBand="0" w:evenHBand="0" w:firstRowFirstColumn="0" w:firstRowLastColumn="0" w:lastRowFirstColumn="0" w:lastRowLastColumn="0"/>
              <w:rPr>
                <w:rFonts w:ascii="Calibri" w:hAnsi="Calibri"/>
              </w:rPr>
            </w:pPr>
            <w:r w:rsidRPr="002C1E2B">
              <w:rPr>
                <w:rFonts w:ascii="Calibri" w:hAnsi="Calibri"/>
                <w:color w:val="000000"/>
              </w:rPr>
              <w:t xml:space="preserve">Operators would be required to pay new non-owner residents’ estimated exit entitlements six months after exiting if their unit is unsold. </w:t>
            </w:r>
          </w:p>
        </w:tc>
        <w:tc>
          <w:tcPr>
            <w:tcW w:w="4968" w:type="dxa"/>
          </w:tcPr>
          <w:p w14:paraId="12CA3A8F" w14:textId="77777777" w:rsidR="008C7486" w:rsidRPr="002C1E2B" w:rsidRDefault="008C7486" w:rsidP="00610577">
            <w:pPr>
              <w:pStyle w:val="TableTex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2C1E2B">
              <w:rPr>
                <w:rFonts w:ascii="Calibri" w:hAnsi="Calibri"/>
                <w:color w:val="000000"/>
              </w:rPr>
              <w:t xml:space="preserve">There would be no aged care rule. </w:t>
            </w:r>
          </w:p>
          <w:p w14:paraId="73352DA7" w14:textId="77777777" w:rsidR="008C7486" w:rsidRPr="002C1E2B" w:rsidRDefault="008C7486" w:rsidP="00610577">
            <w:pPr>
              <w:pStyle w:val="TableTex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2C1E2B">
              <w:rPr>
                <w:rFonts w:ascii="Calibri" w:hAnsi="Calibri"/>
                <w:color w:val="000000"/>
              </w:rPr>
              <w:t>RV Operators would not be required to fund non-owner residents’ aged care payments.</w:t>
            </w:r>
            <w:r w:rsidRPr="002C1E2B">
              <w:t xml:space="preserve"> </w:t>
            </w:r>
            <w:r w:rsidRPr="002C1E2B">
              <w:rPr>
                <w:rFonts w:ascii="Calibri" w:hAnsi="Calibri"/>
                <w:color w:val="000000"/>
              </w:rPr>
              <w:t xml:space="preserve">Existing non-owner residents without the benefit of the six month rule would have to find the funds for their entry into aged care if their unit is unsold after six months. New non-owner residents would fund their entry into aged care under the six month rule if their unit is unsold after six months.  </w:t>
            </w:r>
          </w:p>
          <w:p w14:paraId="5A25583A" w14:textId="77777777" w:rsidR="008C7486" w:rsidRPr="002C1E2B" w:rsidRDefault="008C7486" w:rsidP="00610577">
            <w:pPr>
              <w:pStyle w:val="TableText"/>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c>
          <w:tcPr>
            <w:tcW w:w="2126" w:type="dxa"/>
          </w:tcPr>
          <w:p w14:paraId="65B68CF3" w14:textId="77777777" w:rsidR="008C7486" w:rsidRPr="002C1E2B" w:rsidRDefault="008C7486" w:rsidP="00610577">
            <w:pPr>
              <w:pStyle w:val="TableTex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2C1E2B">
              <w:rPr>
                <w:rFonts w:ascii="Calibri" w:hAnsi="Calibri"/>
                <w:color w:val="000000"/>
              </w:rPr>
              <w:t>No regulatory requirements regarding how to calculate estimated exit entitlements.</w:t>
            </w:r>
          </w:p>
          <w:p w14:paraId="274A24FD" w14:textId="77777777" w:rsidR="008C7486" w:rsidRPr="002C1E2B" w:rsidRDefault="008C7486" w:rsidP="00610577">
            <w:pPr>
              <w:pStyle w:val="TableText"/>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266" w:type="dxa"/>
          </w:tcPr>
          <w:p w14:paraId="6279C82A" w14:textId="77777777" w:rsidR="008C7486" w:rsidRPr="002C1E2B" w:rsidRDefault="008C7486" w:rsidP="00610577">
            <w:pPr>
              <w:pStyle w:val="TableTex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2C1E2B">
              <w:rPr>
                <w:rFonts w:ascii="Calibri" w:hAnsi="Calibri"/>
                <w:color w:val="000000"/>
              </w:rPr>
              <w:t>No requirements regarding the structure and content of contracts other than as specified in the RV Act and the RN Regulations.</w:t>
            </w:r>
          </w:p>
          <w:p w14:paraId="7500CD52" w14:textId="77777777" w:rsidR="008C7486" w:rsidRPr="002C1E2B" w:rsidRDefault="008C7486" w:rsidP="00610577">
            <w:pPr>
              <w:pStyle w:val="TableText"/>
              <w:cnfStyle w:val="000000000000" w:firstRow="0" w:lastRow="0" w:firstColumn="0" w:lastColumn="0" w:oddVBand="0" w:evenVBand="0" w:oddHBand="0" w:evenHBand="0" w:firstRowFirstColumn="0" w:firstRowLastColumn="0" w:lastRowFirstColumn="0" w:lastRowLastColumn="0"/>
              <w:rPr>
                <w:rFonts w:ascii="Calibri" w:hAnsi="Calibri"/>
              </w:rPr>
            </w:pPr>
            <w:r w:rsidRPr="002C1E2B">
              <w:rPr>
                <w:rFonts w:ascii="Calibri" w:hAnsi="Calibri"/>
              </w:rPr>
              <w:t xml:space="preserve"> </w:t>
            </w:r>
          </w:p>
        </w:tc>
      </w:tr>
      <w:tr w:rsidR="008C7486" w:rsidRPr="002C1E2B" w14:paraId="66B3B3DE" w14:textId="77777777" w:rsidTr="008C7486">
        <w:tc>
          <w:tcPr>
            <w:cnfStyle w:val="001000000000" w:firstRow="0" w:lastRow="0" w:firstColumn="1" w:lastColumn="0" w:oddVBand="0" w:evenVBand="0" w:oddHBand="0" w:evenHBand="0" w:firstRowFirstColumn="0" w:firstRowLastColumn="0" w:lastRowFirstColumn="0" w:lastRowLastColumn="0"/>
            <w:tcW w:w="1539" w:type="dxa"/>
            <w:tcBorders>
              <w:left w:val="none" w:sz="0" w:space="0" w:color="auto"/>
              <w:bottom w:val="none" w:sz="0" w:space="0" w:color="auto"/>
              <w:right w:val="none" w:sz="0" w:space="0" w:color="auto"/>
              <w:tl2br w:val="none" w:sz="0" w:space="0" w:color="auto"/>
              <w:tr2bl w:val="none" w:sz="0" w:space="0" w:color="auto"/>
            </w:tcBorders>
          </w:tcPr>
          <w:p w14:paraId="185B4841" w14:textId="77777777" w:rsidR="008C7486" w:rsidRPr="002C1E2B" w:rsidRDefault="008C7486" w:rsidP="00610577">
            <w:pPr>
              <w:pStyle w:val="TableText"/>
              <w:rPr>
                <w:rFonts w:ascii="Calibri" w:hAnsi="Calibri"/>
                <w:b/>
              </w:rPr>
            </w:pPr>
            <w:r w:rsidRPr="002C1E2B">
              <w:rPr>
                <w:rFonts w:ascii="Calibri" w:hAnsi="Calibri"/>
                <w:b/>
                <w:lang w:eastAsia="en-US"/>
              </w:rPr>
              <w:t xml:space="preserve">Option 1 – DAP or RAD </w:t>
            </w:r>
          </w:p>
        </w:tc>
        <w:tc>
          <w:tcPr>
            <w:tcW w:w="3964" w:type="dxa"/>
          </w:tcPr>
          <w:p w14:paraId="00EF9592" w14:textId="77777777" w:rsidR="008C7486" w:rsidRPr="002C1E2B" w:rsidRDefault="008C7486" w:rsidP="00610577">
            <w:pPr>
              <w:pStyle w:val="TableTex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2C1E2B">
              <w:rPr>
                <w:rFonts w:ascii="Calibri" w:hAnsi="Calibri"/>
                <w:color w:val="000000"/>
              </w:rPr>
              <w:t>Six month rule exemption applies if non-owner resident has control of sale (i.e. remake the existing regulations).</w:t>
            </w:r>
          </w:p>
          <w:p w14:paraId="0249BF1C" w14:textId="77777777" w:rsidR="008C7486" w:rsidRPr="002C1E2B" w:rsidRDefault="008C7486" w:rsidP="00610577">
            <w:pPr>
              <w:pStyle w:val="TableText"/>
              <w:cnfStyle w:val="000000000000" w:firstRow="0" w:lastRow="0" w:firstColumn="0" w:lastColumn="0" w:oddVBand="0" w:evenVBand="0" w:oddHBand="0" w:evenHBand="0" w:firstRowFirstColumn="0" w:firstRowLastColumn="0" w:lastRowFirstColumn="0" w:lastRowLastColumn="0"/>
              <w:rPr>
                <w:rFonts w:ascii="Calibri" w:hAnsi="Calibri"/>
              </w:rPr>
            </w:pPr>
            <w:r w:rsidRPr="002C1E2B">
              <w:rPr>
                <w:rFonts w:ascii="Calibri" w:hAnsi="Calibri"/>
                <w:color w:val="000000"/>
              </w:rPr>
              <w:t>Operators would be required to pay non-owner residents’ estimated exit entitlement only upon sale of the unit (subject to the application of the aged care rule).</w:t>
            </w:r>
          </w:p>
        </w:tc>
        <w:tc>
          <w:tcPr>
            <w:tcW w:w="4968" w:type="dxa"/>
          </w:tcPr>
          <w:p w14:paraId="62354A12" w14:textId="77777777" w:rsidR="008C7486" w:rsidRPr="002C1E2B" w:rsidRDefault="008C7486" w:rsidP="00610577">
            <w:pPr>
              <w:pStyle w:val="TableTex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2C1E2B">
              <w:rPr>
                <w:rFonts w:ascii="Calibri" w:hAnsi="Calibri"/>
                <w:color w:val="000000"/>
              </w:rPr>
              <w:t>Non-owner residents who entered RV after 31/07/06 would have a choice between requiring the</w:t>
            </w:r>
            <w:r w:rsidR="003C6334">
              <w:rPr>
                <w:rFonts w:ascii="Calibri" w:hAnsi="Calibri"/>
                <w:color w:val="000000"/>
              </w:rPr>
              <w:t xml:space="preserve">ir </w:t>
            </w:r>
            <w:r w:rsidRPr="002C1E2B">
              <w:rPr>
                <w:rFonts w:ascii="Calibri" w:hAnsi="Calibri"/>
                <w:color w:val="000000"/>
              </w:rPr>
              <w:t xml:space="preserve">operator to pay their aged care DAP or RAD prior to the sale of their unit.  </w:t>
            </w:r>
          </w:p>
          <w:p w14:paraId="31678305" w14:textId="77777777" w:rsidR="008C7486" w:rsidRPr="002C1E2B" w:rsidRDefault="008C7486" w:rsidP="00610577">
            <w:pPr>
              <w:pStyle w:val="TableTex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2C1E2B">
              <w:rPr>
                <w:rFonts w:ascii="Calibri" w:hAnsi="Calibri"/>
                <w:color w:val="000000"/>
              </w:rPr>
              <w:t>Non-owner residents would receive the balance of their estimated exit entitlement upon sale of the unit (less the accumulation of RAD/DAPs payments).</w:t>
            </w:r>
          </w:p>
        </w:tc>
        <w:tc>
          <w:tcPr>
            <w:tcW w:w="2126" w:type="dxa"/>
          </w:tcPr>
          <w:p w14:paraId="6B1A2650" w14:textId="77777777" w:rsidR="008C7486" w:rsidRPr="002C1E2B" w:rsidRDefault="008C7486" w:rsidP="00610577">
            <w:pPr>
              <w:pStyle w:val="TableText"/>
              <w:cnfStyle w:val="000000000000" w:firstRow="0" w:lastRow="0" w:firstColumn="0" w:lastColumn="0" w:oddVBand="0" w:evenVBand="0" w:oddHBand="0" w:evenHBand="0" w:firstRowFirstColumn="0" w:firstRowLastColumn="0" w:lastRowFirstColumn="0" w:lastRowLastColumn="0"/>
              <w:rPr>
                <w:rFonts w:ascii="Calibri" w:hAnsi="Calibri"/>
              </w:rPr>
            </w:pPr>
            <w:r w:rsidRPr="002C1E2B">
              <w:rPr>
                <w:rFonts w:ascii="Calibri" w:hAnsi="Calibri"/>
                <w:color w:val="000000"/>
              </w:rPr>
              <w:t>The calculations for estimated exit entitlements are prescribed (i.e. remake the existing regulations).</w:t>
            </w:r>
          </w:p>
        </w:tc>
        <w:tc>
          <w:tcPr>
            <w:tcW w:w="2266" w:type="dxa"/>
          </w:tcPr>
          <w:p w14:paraId="653CC08C" w14:textId="77777777" w:rsidR="008C7486" w:rsidRPr="002C1E2B" w:rsidRDefault="008C7486" w:rsidP="00610577">
            <w:pPr>
              <w:pStyle w:val="TableText"/>
              <w:cnfStyle w:val="000000000000" w:firstRow="0" w:lastRow="0" w:firstColumn="0" w:lastColumn="0" w:oddVBand="0" w:evenVBand="0" w:oddHBand="0" w:evenHBand="0" w:firstRowFirstColumn="0" w:firstRowLastColumn="0" w:lastRowFirstColumn="0" w:lastRowLastColumn="0"/>
              <w:rPr>
                <w:rFonts w:ascii="Calibri" w:hAnsi="Calibri"/>
              </w:rPr>
            </w:pPr>
            <w:r w:rsidRPr="002C1E2B">
              <w:rPr>
                <w:rFonts w:ascii="Calibri" w:hAnsi="Calibri"/>
                <w:color w:val="000000"/>
              </w:rPr>
              <w:t>Matters that should and should not be included in contracts (including certain terms and layout) are prescribed (i.e. remake the existing regulations).</w:t>
            </w:r>
          </w:p>
        </w:tc>
      </w:tr>
      <w:tr w:rsidR="008C7486" w:rsidRPr="002C1E2B" w14:paraId="02E81DDB" w14:textId="77777777" w:rsidTr="008C7486">
        <w:tc>
          <w:tcPr>
            <w:cnfStyle w:val="001000000000" w:firstRow="0" w:lastRow="0" w:firstColumn="1" w:lastColumn="0" w:oddVBand="0" w:evenVBand="0" w:oddHBand="0" w:evenHBand="0" w:firstRowFirstColumn="0" w:firstRowLastColumn="0" w:lastRowFirstColumn="0" w:lastRowLastColumn="0"/>
            <w:tcW w:w="1539" w:type="dxa"/>
            <w:tcBorders>
              <w:left w:val="none" w:sz="0" w:space="0" w:color="auto"/>
              <w:bottom w:val="none" w:sz="0" w:space="0" w:color="auto"/>
              <w:right w:val="none" w:sz="0" w:space="0" w:color="auto"/>
              <w:tl2br w:val="none" w:sz="0" w:space="0" w:color="auto"/>
              <w:tr2bl w:val="none" w:sz="0" w:space="0" w:color="auto"/>
            </w:tcBorders>
          </w:tcPr>
          <w:p w14:paraId="170832E7" w14:textId="77777777" w:rsidR="008C7486" w:rsidRPr="002C1E2B" w:rsidRDefault="008C7486" w:rsidP="00610577">
            <w:pPr>
              <w:rPr>
                <w:rFonts w:ascii="Calibri" w:hAnsi="Calibri"/>
                <w:b/>
                <w:sz w:val="20"/>
              </w:rPr>
            </w:pPr>
            <w:r w:rsidRPr="002C1E2B">
              <w:rPr>
                <w:rFonts w:ascii="Calibri" w:hAnsi="Calibri"/>
                <w:b/>
                <w:sz w:val="20"/>
              </w:rPr>
              <w:t>Option 2 – DAP or RAD rule with RAD grandfathering provisions</w:t>
            </w:r>
          </w:p>
        </w:tc>
        <w:tc>
          <w:tcPr>
            <w:tcW w:w="3964" w:type="dxa"/>
          </w:tcPr>
          <w:p w14:paraId="309586EF" w14:textId="77777777" w:rsidR="008C7486" w:rsidRPr="002C1E2B" w:rsidRDefault="008C7486" w:rsidP="00610577">
            <w:pPr>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2C1E2B">
              <w:rPr>
                <w:rFonts w:ascii="Calibri" w:hAnsi="Calibri"/>
                <w:sz w:val="20"/>
              </w:rPr>
              <w:t>Same as Option 1</w:t>
            </w:r>
          </w:p>
        </w:tc>
        <w:tc>
          <w:tcPr>
            <w:tcW w:w="4968" w:type="dxa"/>
          </w:tcPr>
          <w:p w14:paraId="73664F72" w14:textId="77777777" w:rsidR="008C7486" w:rsidRPr="002C1E2B" w:rsidRDefault="008C7486" w:rsidP="00610577">
            <w:pPr>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2C1E2B">
              <w:rPr>
                <w:rFonts w:ascii="Calibri" w:hAnsi="Calibri"/>
                <w:sz w:val="20"/>
              </w:rPr>
              <w:t>Non-owner residents who enter RV between 31/07/06 and 1/08/17 would have a choice of requiring the operator to pay their aged care DAP or RAD prior to the sale of their unit. Non-owner residents who enter RV after 1/08/17 would be able to require the operator to pay their aged care DAPs prior to the sale of their unit.</w:t>
            </w:r>
          </w:p>
        </w:tc>
        <w:tc>
          <w:tcPr>
            <w:tcW w:w="2126" w:type="dxa"/>
          </w:tcPr>
          <w:p w14:paraId="3702B356" w14:textId="77777777" w:rsidR="008C7486" w:rsidRPr="002C1E2B" w:rsidRDefault="008C7486" w:rsidP="00610577">
            <w:pPr>
              <w:cnfStyle w:val="000000000000" w:firstRow="0" w:lastRow="0" w:firstColumn="0" w:lastColumn="0" w:oddVBand="0" w:evenVBand="0" w:oddHBand="0" w:evenHBand="0" w:firstRowFirstColumn="0" w:firstRowLastColumn="0" w:lastRowFirstColumn="0" w:lastRowLastColumn="0"/>
            </w:pPr>
            <w:r w:rsidRPr="002C1E2B">
              <w:rPr>
                <w:rFonts w:ascii="Calibri" w:hAnsi="Calibri"/>
                <w:sz w:val="20"/>
              </w:rPr>
              <w:t>Same as Option 1</w:t>
            </w:r>
          </w:p>
        </w:tc>
        <w:tc>
          <w:tcPr>
            <w:tcW w:w="2266" w:type="dxa"/>
          </w:tcPr>
          <w:p w14:paraId="7DA6CBDF" w14:textId="77777777" w:rsidR="008C7486" w:rsidRPr="002C1E2B" w:rsidRDefault="008C7486" w:rsidP="00610577">
            <w:pPr>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2C1E2B">
              <w:rPr>
                <w:rFonts w:ascii="Calibri" w:hAnsi="Calibri"/>
                <w:sz w:val="20"/>
              </w:rPr>
              <w:t>Same as Option 1</w:t>
            </w:r>
          </w:p>
        </w:tc>
      </w:tr>
      <w:tr w:rsidR="008C7486" w:rsidRPr="002C1E2B" w14:paraId="79832C61" w14:textId="77777777" w:rsidTr="008C7486">
        <w:tc>
          <w:tcPr>
            <w:cnfStyle w:val="001000000000" w:firstRow="0" w:lastRow="0" w:firstColumn="1" w:lastColumn="0" w:oddVBand="0" w:evenVBand="0" w:oddHBand="0" w:evenHBand="0" w:firstRowFirstColumn="0" w:firstRowLastColumn="0" w:lastRowFirstColumn="0" w:lastRowLastColumn="0"/>
            <w:tcW w:w="1539" w:type="dxa"/>
            <w:tcBorders>
              <w:left w:val="none" w:sz="0" w:space="0" w:color="auto"/>
              <w:bottom w:val="none" w:sz="0" w:space="0" w:color="auto"/>
              <w:right w:val="none" w:sz="0" w:space="0" w:color="auto"/>
              <w:tl2br w:val="none" w:sz="0" w:space="0" w:color="auto"/>
              <w:tr2bl w:val="none" w:sz="0" w:space="0" w:color="auto"/>
            </w:tcBorders>
          </w:tcPr>
          <w:p w14:paraId="1DCE06FE" w14:textId="77777777" w:rsidR="008C7486" w:rsidRPr="002C1E2B" w:rsidRDefault="008C7486" w:rsidP="00610577">
            <w:pPr>
              <w:rPr>
                <w:rFonts w:ascii="Calibri" w:hAnsi="Calibri"/>
                <w:b/>
                <w:sz w:val="20"/>
              </w:rPr>
            </w:pPr>
            <w:r w:rsidRPr="002C1E2B">
              <w:rPr>
                <w:rFonts w:ascii="Calibri" w:hAnsi="Calibri"/>
                <w:b/>
                <w:sz w:val="20"/>
              </w:rPr>
              <w:t xml:space="preserve">Option 3 – DAP rule </w:t>
            </w:r>
          </w:p>
        </w:tc>
        <w:tc>
          <w:tcPr>
            <w:tcW w:w="3964" w:type="dxa"/>
          </w:tcPr>
          <w:p w14:paraId="03EF0D1B" w14:textId="77777777" w:rsidR="008C7486" w:rsidRPr="002C1E2B" w:rsidRDefault="008C7486" w:rsidP="00610577">
            <w:pPr>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2C1E2B">
              <w:rPr>
                <w:rFonts w:ascii="Calibri" w:hAnsi="Calibri"/>
                <w:sz w:val="20"/>
              </w:rPr>
              <w:t>Same as Option 1</w:t>
            </w:r>
          </w:p>
        </w:tc>
        <w:tc>
          <w:tcPr>
            <w:tcW w:w="4968" w:type="dxa"/>
          </w:tcPr>
          <w:p w14:paraId="04D66C3A" w14:textId="77777777" w:rsidR="008C7486" w:rsidRPr="002C1E2B" w:rsidRDefault="008C7486" w:rsidP="00610577">
            <w:pPr>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2C1E2B">
              <w:rPr>
                <w:rFonts w:ascii="Calibri" w:hAnsi="Calibri"/>
                <w:sz w:val="20"/>
              </w:rPr>
              <w:t xml:space="preserve">Non-owner residents who enter RV after 31/07/06 can require the operator to pay their aged care DAPs prior to the sale of their unit. </w:t>
            </w:r>
          </w:p>
        </w:tc>
        <w:tc>
          <w:tcPr>
            <w:tcW w:w="2126" w:type="dxa"/>
          </w:tcPr>
          <w:p w14:paraId="31028F04" w14:textId="77777777" w:rsidR="008C7486" w:rsidRPr="002C1E2B" w:rsidRDefault="008C7486" w:rsidP="00610577">
            <w:pPr>
              <w:cnfStyle w:val="000000000000" w:firstRow="0" w:lastRow="0" w:firstColumn="0" w:lastColumn="0" w:oddVBand="0" w:evenVBand="0" w:oddHBand="0" w:evenHBand="0" w:firstRowFirstColumn="0" w:firstRowLastColumn="0" w:lastRowFirstColumn="0" w:lastRowLastColumn="0"/>
            </w:pPr>
            <w:r w:rsidRPr="002C1E2B">
              <w:rPr>
                <w:rFonts w:ascii="Calibri" w:hAnsi="Calibri"/>
                <w:sz w:val="20"/>
              </w:rPr>
              <w:t>Same as Option 1</w:t>
            </w:r>
          </w:p>
        </w:tc>
        <w:tc>
          <w:tcPr>
            <w:tcW w:w="2266" w:type="dxa"/>
          </w:tcPr>
          <w:p w14:paraId="4A354ACB" w14:textId="77777777" w:rsidR="008C7486" w:rsidRPr="002C1E2B" w:rsidRDefault="008C7486" w:rsidP="00610577">
            <w:pPr>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2C1E2B">
              <w:rPr>
                <w:rFonts w:ascii="Calibri" w:hAnsi="Calibri"/>
                <w:sz w:val="20"/>
              </w:rPr>
              <w:t>Same as Option 1</w:t>
            </w:r>
          </w:p>
        </w:tc>
      </w:tr>
    </w:tbl>
    <w:p w14:paraId="384A6EE3" w14:textId="77777777" w:rsidR="00EF6C0A" w:rsidRPr="002C1E2B" w:rsidRDefault="00EF6C0A" w:rsidP="00EF6C0A">
      <w:pPr>
        <w:pStyle w:val="BodyText"/>
        <w:rPr>
          <w:lang w:eastAsia="zh-MO"/>
        </w:rPr>
        <w:sectPr w:rsidR="00EF6C0A" w:rsidRPr="002C1E2B" w:rsidSect="00EF6C0A">
          <w:pgSz w:w="16839" w:h="11907" w:orient="landscape" w:code="1"/>
          <w:pgMar w:top="1440" w:right="1915" w:bottom="1440" w:left="1440" w:header="835" w:footer="202" w:gutter="0"/>
          <w:pgNumType w:fmt="lowerRoman"/>
          <w:cols w:space="708"/>
          <w:docGrid w:linePitch="360"/>
        </w:sectPr>
      </w:pPr>
    </w:p>
    <w:p w14:paraId="1A8CD8A7" w14:textId="77777777" w:rsidR="003C6334" w:rsidRPr="002C1E2B" w:rsidRDefault="003C6334" w:rsidP="003C6334">
      <w:pPr>
        <w:pStyle w:val="HeadingU4"/>
      </w:pPr>
      <w:r w:rsidRPr="002C1E2B">
        <w:lastRenderedPageBreak/>
        <w:t>Assessment framework</w:t>
      </w:r>
    </w:p>
    <w:p w14:paraId="28603E82" w14:textId="77777777" w:rsidR="003C6334" w:rsidRPr="002C1E2B" w:rsidRDefault="003C6334" w:rsidP="003C6334">
      <w:pPr>
        <w:pStyle w:val="BodyText"/>
      </w:pPr>
      <w:r w:rsidRPr="002C1E2B">
        <w:t xml:space="preserve">The options analysis is conducted in two components. </w:t>
      </w:r>
    </w:p>
    <w:p w14:paraId="0F4AD1C7" w14:textId="77777777" w:rsidR="003C6334" w:rsidRPr="002C1E2B" w:rsidRDefault="003C6334" w:rsidP="003C6334">
      <w:pPr>
        <w:pStyle w:val="ListBullet"/>
      </w:pPr>
      <w:r w:rsidRPr="002C1E2B">
        <w:t xml:space="preserve">The first component assesses the impacts of Regulations 5, 7 and 8 compared to the base case. As discussed in Chapter 4, no feasible alternative to the status quo has been identified to address the issues around the calculation of estimated exit entitlements, the six month rule exemption and contractual requirements. A qualitative assessment of the impacts and an estimate of the compliance costs of these Regulations are provided. </w:t>
      </w:r>
    </w:p>
    <w:p w14:paraId="445E7CE2" w14:textId="77777777" w:rsidR="003C6334" w:rsidRPr="002C1E2B" w:rsidRDefault="003C6334" w:rsidP="003C6334">
      <w:pPr>
        <w:pStyle w:val="ListBullet"/>
        <w:spacing w:after="240"/>
        <w:ind w:left="357" w:hanging="357"/>
      </w:pPr>
      <w:r w:rsidRPr="002C1E2B">
        <w:t xml:space="preserve">The second component involves an assessment of the alternate options for the aged care rule (r.6). The analysis includes an assessment of the financial impacts to retirement village residents and operators and a qualitative analysis using a Multi-Criteria Analysis (MCA) of the non-financial impacts of these options. The following criteria have been developed to assess the aged care options: </w:t>
      </w:r>
    </w:p>
    <w:p w14:paraId="77E9CFC7" w14:textId="77777777" w:rsidR="003C6334" w:rsidRPr="002C1E2B" w:rsidRDefault="003C6334" w:rsidP="003C6334">
      <w:pPr>
        <w:pStyle w:val="ListBullet2"/>
      </w:pPr>
      <w:r w:rsidRPr="002C1E2B">
        <w:t>Does not retrospectively change residents entitlements;</w:t>
      </w:r>
    </w:p>
    <w:p w14:paraId="5FD4F1CA" w14:textId="77777777" w:rsidR="003C6334" w:rsidRPr="002C1E2B" w:rsidRDefault="003C6334" w:rsidP="003C6334">
      <w:pPr>
        <w:pStyle w:val="ListBullet2"/>
      </w:pPr>
      <w:r w:rsidRPr="002C1E2B">
        <w:t>Provides non-owner residents with choices of how to pay for their aged care; and</w:t>
      </w:r>
    </w:p>
    <w:p w14:paraId="074CACD3" w14:textId="77777777" w:rsidR="003C6334" w:rsidRPr="002C1E2B" w:rsidRDefault="003C6334" w:rsidP="003C6334">
      <w:pPr>
        <w:pStyle w:val="ListBullet2"/>
        <w:spacing w:after="240"/>
        <w:rPr>
          <w:lang w:eastAsia="zh-MO"/>
        </w:rPr>
      </w:pPr>
      <w:r w:rsidRPr="002C1E2B">
        <w:t xml:space="preserve">Ensures ongoing viability of the sector – does not risk the financial viability of the sector, including smaller retirement village operators, or retirement village operators with higher than expected numbers of residents exiting in one year. </w:t>
      </w:r>
    </w:p>
    <w:p w14:paraId="238ED759" w14:textId="77777777" w:rsidR="00610577" w:rsidRPr="002C1E2B" w:rsidRDefault="00610577" w:rsidP="00610577">
      <w:pPr>
        <w:pStyle w:val="HeadingU4"/>
      </w:pPr>
      <w:r w:rsidRPr="002C1E2B">
        <w:t>Options analysis</w:t>
      </w:r>
    </w:p>
    <w:p w14:paraId="39E829C1" w14:textId="77777777" w:rsidR="009E7605" w:rsidRPr="002C1E2B" w:rsidRDefault="00610577" w:rsidP="00610577">
      <w:pPr>
        <w:pStyle w:val="BodyText"/>
      </w:pPr>
      <w:r w:rsidRPr="002C1E2B">
        <w:t>The table below provides a summary of the options analysis based on the criteria outlined above and the financial impacts of each option. The financial impacts reflect the accommodation costs to non-owner residents of entering aged care using the aged care rule and the costs to retirement village operators of financing residents’ aged care rule payments under each option relative to the base case. The differences in financial impacts under each option reflect the availability of aged care rule payment options to residents with Option 1 providing the greatest level of choice (and hence the least costly) and Option 3 providing the most limited choice (and hence, the most costly). As the financial impacts relate mainly to transfers between village operators and non-owner residents, the costs to retirement village operators are higher when the costs to residents are lower (Option 1), and lower when the costs to residents are higher (Option 3).</w:t>
      </w:r>
    </w:p>
    <w:p w14:paraId="1A96A257" w14:textId="77777777" w:rsidR="00610577" w:rsidRPr="002C1E2B" w:rsidRDefault="00610577" w:rsidP="00610577">
      <w:pPr>
        <w:pStyle w:val="Caption"/>
        <w:spacing w:after="120"/>
      </w:pPr>
      <w:r w:rsidRPr="002C1E2B">
        <w:t>Table E.</w:t>
      </w:r>
      <w:r w:rsidR="002C1E2B" w:rsidRPr="002C1E2B">
        <w:t>2</w:t>
      </w:r>
      <w:r w:rsidRPr="002C1E2B">
        <w:t xml:space="preserve"> – Options comparison of multi-criteria analysis and financial impacts</w:t>
      </w:r>
    </w:p>
    <w:tbl>
      <w:tblPr>
        <w:tblStyle w:val="OWTable"/>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3"/>
        <w:gridCol w:w="1070"/>
        <w:gridCol w:w="1206"/>
        <w:gridCol w:w="1204"/>
        <w:gridCol w:w="1204"/>
      </w:tblGrid>
      <w:tr w:rsidR="004E6459" w:rsidRPr="002C1E2B" w14:paraId="25E1A850" w14:textId="77777777" w:rsidTr="00352A2F">
        <w:trPr>
          <w:cnfStyle w:val="100000000000" w:firstRow="1" w:lastRow="0" w:firstColumn="0" w:lastColumn="0" w:oddVBand="0" w:evenVBand="0" w:oddHBand="0" w:evenHBand="0" w:firstRowFirstColumn="0" w:firstRowLastColumn="0" w:lastRowFirstColumn="0" w:lastRowLastColumn="0"/>
          <w:tblHeader/>
          <w:jc w:val="center"/>
        </w:trPr>
        <w:tc>
          <w:tcPr>
            <w:tcW w:w="0" w:type="auto"/>
            <w:shd w:val="clear" w:color="auto" w:fill="1F497D" w:themeFill="text2"/>
          </w:tcPr>
          <w:p w14:paraId="1FDE9330" w14:textId="77777777" w:rsidR="00610577" w:rsidRPr="002C1E2B" w:rsidRDefault="00610577">
            <w:pPr>
              <w:pStyle w:val="BodyText"/>
              <w:spacing w:before="60" w:after="60"/>
              <w:rPr>
                <w:rFonts w:ascii="Calibri" w:hAnsi="Calibri"/>
                <w:b/>
                <w:color w:val="FFFFFF" w:themeColor="background1"/>
                <w:sz w:val="20"/>
                <w:szCs w:val="20"/>
              </w:rPr>
            </w:pPr>
            <w:r w:rsidRPr="002C1E2B">
              <w:rPr>
                <w:rFonts w:ascii="Calibri" w:hAnsi="Calibri"/>
                <w:b/>
                <w:color w:val="FFFFFF" w:themeColor="background1"/>
                <w:sz w:val="20"/>
                <w:szCs w:val="20"/>
              </w:rPr>
              <w:t>Overall impact summary</w:t>
            </w:r>
          </w:p>
        </w:tc>
        <w:tc>
          <w:tcPr>
            <w:tcW w:w="0" w:type="auto"/>
            <w:shd w:val="clear" w:color="auto" w:fill="1F497D" w:themeFill="text2"/>
          </w:tcPr>
          <w:p w14:paraId="38C15907" w14:textId="77777777" w:rsidR="00610577" w:rsidRPr="002C1E2B" w:rsidRDefault="00610577" w:rsidP="00A169E6">
            <w:pPr>
              <w:pStyle w:val="BodyText"/>
              <w:spacing w:before="60" w:after="60"/>
              <w:rPr>
                <w:rFonts w:ascii="Calibri" w:hAnsi="Calibri"/>
                <w:b/>
                <w:color w:val="FFFFFF" w:themeColor="background1"/>
                <w:sz w:val="20"/>
                <w:szCs w:val="20"/>
              </w:rPr>
            </w:pPr>
          </w:p>
        </w:tc>
        <w:tc>
          <w:tcPr>
            <w:tcW w:w="0" w:type="auto"/>
            <w:shd w:val="clear" w:color="auto" w:fill="1F497D" w:themeFill="text2"/>
          </w:tcPr>
          <w:p w14:paraId="6C812B0C" w14:textId="77777777" w:rsidR="00610577" w:rsidRPr="002C1E2B" w:rsidRDefault="00610577">
            <w:pPr>
              <w:pStyle w:val="BodyText"/>
              <w:spacing w:before="60" w:after="60"/>
              <w:jc w:val="center"/>
              <w:rPr>
                <w:rFonts w:ascii="Calibri" w:hAnsi="Calibri"/>
                <w:b/>
                <w:color w:val="FFFFFF" w:themeColor="background1"/>
                <w:sz w:val="20"/>
                <w:szCs w:val="20"/>
              </w:rPr>
            </w:pPr>
            <w:r w:rsidRPr="002C1E2B">
              <w:rPr>
                <w:rFonts w:ascii="Calibri" w:hAnsi="Calibri"/>
                <w:b/>
                <w:color w:val="FFFFFF" w:themeColor="background1"/>
                <w:sz w:val="20"/>
                <w:szCs w:val="20"/>
              </w:rPr>
              <w:t>Option 1</w:t>
            </w:r>
          </w:p>
        </w:tc>
        <w:tc>
          <w:tcPr>
            <w:tcW w:w="0" w:type="auto"/>
            <w:shd w:val="clear" w:color="auto" w:fill="1F497D" w:themeFill="text2"/>
          </w:tcPr>
          <w:p w14:paraId="325D4C78" w14:textId="77777777" w:rsidR="00610577" w:rsidRPr="002C1E2B" w:rsidRDefault="00610577">
            <w:pPr>
              <w:pStyle w:val="BodyText"/>
              <w:spacing w:before="60" w:after="60"/>
              <w:jc w:val="center"/>
              <w:rPr>
                <w:rFonts w:ascii="Calibri" w:hAnsi="Calibri"/>
                <w:b/>
                <w:color w:val="FFFFFF" w:themeColor="background1"/>
                <w:sz w:val="20"/>
                <w:szCs w:val="20"/>
              </w:rPr>
            </w:pPr>
            <w:r w:rsidRPr="002C1E2B">
              <w:rPr>
                <w:rFonts w:ascii="Calibri" w:hAnsi="Calibri"/>
                <w:b/>
                <w:color w:val="FFFFFF" w:themeColor="background1"/>
                <w:sz w:val="20"/>
                <w:szCs w:val="20"/>
              </w:rPr>
              <w:t>Option 2</w:t>
            </w:r>
          </w:p>
        </w:tc>
        <w:tc>
          <w:tcPr>
            <w:tcW w:w="0" w:type="auto"/>
            <w:shd w:val="clear" w:color="auto" w:fill="1F497D" w:themeFill="text2"/>
          </w:tcPr>
          <w:p w14:paraId="404B5AA8" w14:textId="77777777" w:rsidR="00610577" w:rsidRPr="002C1E2B" w:rsidRDefault="00610577">
            <w:pPr>
              <w:pStyle w:val="BodyText"/>
              <w:spacing w:before="60" w:after="60"/>
              <w:jc w:val="center"/>
              <w:rPr>
                <w:rFonts w:ascii="Calibri" w:hAnsi="Calibri"/>
                <w:b/>
                <w:color w:val="FFFFFF" w:themeColor="background1"/>
                <w:sz w:val="20"/>
                <w:szCs w:val="20"/>
              </w:rPr>
            </w:pPr>
            <w:r w:rsidRPr="002C1E2B">
              <w:rPr>
                <w:rFonts w:ascii="Calibri" w:hAnsi="Calibri"/>
                <w:b/>
                <w:color w:val="FFFFFF" w:themeColor="background1"/>
                <w:sz w:val="20"/>
                <w:szCs w:val="20"/>
              </w:rPr>
              <w:t>Option 3</w:t>
            </w:r>
          </w:p>
        </w:tc>
      </w:tr>
      <w:tr w:rsidR="004E6459" w:rsidRPr="002C1E2B" w14:paraId="440463E3" w14:textId="77777777" w:rsidTr="00610577">
        <w:trPr>
          <w:cnfStyle w:val="000000100000" w:firstRow="0" w:lastRow="0" w:firstColumn="0" w:lastColumn="0" w:oddVBand="0" w:evenVBand="0" w:oddHBand="1" w:evenHBand="0" w:firstRowFirstColumn="0" w:firstRowLastColumn="0" w:lastRowFirstColumn="0" w:lastRowLastColumn="0"/>
          <w:jc w:val="center"/>
        </w:trPr>
        <w:tc>
          <w:tcPr>
            <w:tcW w:w="0" w:type="auto"/>
            <w:shd w:val="clear" w:color="auto" w:fill="DBE5F1" w:themeFill="accent1" w:themeFillTint="33"/>
          </w:tcPr>
          <w:p w14:paraId="5D02D143" w14:textId="77777777" w:rsidR="00610577" w:rsidRPr="002C1E2B" w:rsidRDefault="00610577">
            <w:pPr>
              <w:pStyle w:val="BodyText"/>
              <w:spacing w:before="60" w:after="60"/>
              <w:rPr>
                <w:rFonts w:ascii="Calibri" w:hAnsi="Calibri"/>
                <w:b/>
                <w:sz w:val="20"/>
                <w:szCs w:val="20"/>
              </w:rPr>
            </w:pPr>
            <w:r w:rsidRPr="002C1E2B">
              <w:rPr>
                <w:rFonts w:ascii="Calibri" w:hAnsi="Calibri"/>
                <w:b/>
                <w:sz w:val="20"/>
                <w:szCs w:val="20"/>
              </w:rPr>
              <w:t>Non-financial impacts</w:t>
            </w:r>
          </w:p>
        </w:tc>
        <w:tc>
          <w:tcPr>
            <w:tcW w:w="0" w:type="auto"/>
            <w:shd w:val="clear" w:color="auto" w:fill="DBE5F1" w:themeFill="accent1" w:themeFillTint="33"/>
          </w:tcPr>
          <w:p w14:paraId="5022ED20" w14:textId="77777777" w:rsidR="00610577" w:rsidRPr="002C1E2B" w:rsidRDefault="00610577">
            <w:pPr>
              <w:pStyle w:val="BodyText"/>
              <w:spacing w:before="60" w:after="60"/>
              <w:jc w:val="center"/>
              <w:rPr>
                <w:rFonts w:ascii="Calibri" w:hAnsi="Calibri"/>
                <w:b/>
                <w:sz w:val="20"/>
                <w:szCs w:val="20"/>
              </w:rPr>
            </w:pPr>
            <w:r w:rsidRPr="002C1E2B">
              <w:rPr>
                <w:rFonts w:ascii="Calibri" w:hAnsi="Calibri"/>
                <w:b/>
                <w:sz w:val="20"/>
                <w:szCs w:val="20"/>
              </w:rPr>
              <w:t>Weighting</w:t>
            </w:r>
          </w:p>
        </w:tc>
        <w:tc>
          <w:tcPr>
            <w:tcW w:w="0" w:type="auto"/>
            <w:shd w:val="clear" w:color="auto" w:fill="DBE5F1" w:themeFill="accent1" w:themeFillTint="33"/>
          </w:tcPr>
          <w:p w14:paraId="66EFD324" w14:textId="77777777" w:rsidR="00610577" w:rsidRPr="002C1E2B" w:rsidRDefault="00610577">
            <w:pPr>
              <w:pStyle w:val="BodyText"/>
              <w:spacing w:before="60" w:after="60"/>
              <w:jc w:val="center"/>
              <w:rPr>
                <w:rFonts w:ascii="Calibri" w:hAnsi="Calibri"/>
                <w:b/>
                <w:sz w:val="20"/>
                <w:szCs w:val="20"/>
              </w:rPr>
            </w:pPr>
            <w:r w:rsidRPr="002C1E2B">
              <w:rPr>
                <w:rFonts w:ascii="Calibri" w:hAnsi="Calibri"/>
                <w:b/>
                <w:sz w:val="20"/>
                <w:szCs w:val="20"/>
              </w:rPr>
              <w:t>Score</w:t>
            </w:r>
          </w:p>
        </w:tc>
        <w:tc>
          <w:tcPr>
            <w:tcW w:w="0" w:type="auto"/>
            <w:shd w:val="clear" w:color="auto" w:fill="DBE5F1" w:themeFill="accent1" w:themeFillTint="33"/>
          </w:tcPr>
          <w:p w14:paraId="19840936" w14:textId="77777777" w:rsidR="00610577" w:rsidRPr="002C1E2B" w:rsidRDefault="00610577">
            <w:pPr>
              <w:pStyle w:val="BodyText"/>
              <w:spacing w:before="60" w:after="60"/>
              <w:jc w:val="center"/>
              <w:rPr>
                <w:rFonts w:ascii="Calibri" w:hAnsi="Calibri"/>
                <w:b/>
                <w:sz w:val="20"/>
                <w:szCs w:val="20"/>
              </w:rPr>
            </w:pPr>
            <w:r w:rsidRPr="002C1E2B">
              <w:rPr>
                <w:rFonts w:ascii="Calibri" w:hAnsi="Calibri"/>
                <w:b/>
                <w:sz w:val="20"/>
                <w:szCs w:val="20"/>
              </w:rPr>
              <w:t>Score</w:t>
            </w:r>
          </w:p>
        </w:tc>
        <w:tc>
          <w:tcPr>
            <w:tcW w:w="0" w:type="auto"/>
            <w:shd w:val="clear" w:color="auto" w:fill="DBE5F1" w:themeFill="accent1" w:themeFillTint="33"/>
          </w:tcPr>
          <w:p w14:paraId="79621D21" w14:textId="77777777" w:rsidR="00610577" w:rsidRPr="002C1E2B" w:rsidRDefault="00610577">
            <w:pPr>
              <w:pStyle w:val="BodyText"/>
              <w:spacing w:before="60" w:after="60"/>
              <w:jc w:val="center"/>
              <w:rPr>
                <w:rFonts w:ascii="Calibri" w:hAnsi="Calibri"/>
                <w:b/>
                <w:sz w:val="20"/>
                <w:szCs w:val="20"/>
              </w:rPr>
            </w:pPr>
            <w:r w:rsidRPr="002C1E2B">
              <w:rPr>
                <w:rFonts w:ascii="Calibri" w:hAnsi="Calibri"/>
                <w:b/>
                <w:sz w:val="20"/>
                <w:szCs w:val="20"/>
              </w:rPr>
              <w:t>Score</w:t>
            </w:r>
          </w:p>
        </w:tc>
      </w:tr>
      <w:tr w:rsidR="004E6459" w:rsidRPr="002C1E2B" w14:paraId="68E3B9D4" w14:textId="77777777" w:rsidTr="00610577">
        <w:trPr>
          <w:cnfStyle w:val="000000010000" w:firstRow="0" w:lastRow="0" w:firstColumn="0" w:lastColumn="0" w:oddVBand="0" w:evenVBand="0" w:oddHBand="0" w:evenHBand="1" w:firstRowFirstColumn="0" w:firstRowLastColumn="0" w:lastRowFirstColumn="0" w:lastRowLastColumn="0"/>
          <w:jc w:val="center"/>
        </w:trPr>
        <w:tc>
          <w:tcPr>
            <w:tcW w:w="0" w:type="auto"/>
            <w:shd w:val="clear" w:color="auto" w:fill="FFFFFF" w:themeFill="background1"/>
          </w:tcPr>
          <w:p w14:paraId="7778E0B1" w14:textId="77777777" w:rsidR="00610577" w:rsidRPr="002C1E2B" w:rsidRDefault="00610577">
            <w:pPr>
              <w:pStyle w:val="BodyText"/>
              <w:spacing w:before="60" w:after="60"/>
              <w:rPr>
                <w:rFonts w:ascii="Calibri" w:hAnsi="Calibri"/>
                <w:sz w:val="20"/>
                <w:szCs w:val="20"/>
              </w:rPr>
            </w:pPr>
            <w:r w:rsidRPr="002C1E2B">
              <w:rPr>
                <w:rFonts w:ascii="Calibri" w:hAnsi="Calibri"/>
                <w:sz w:val="20"/>
                <w:szCs w:val="20"/>
              </w:rPr>
              <w:t>Minimises retrospective changes</w:t>
            </w:r>
          </w:p>
        </w:tc>
        <w:tc>
          <w:tcPr>
            <w:tcW w:w="0" w:type="auto"/>
            <w:shd w:val="clear" w:color="auto" w:fill="FFFFFF" w:themeFill="background1"/>
            <w:vAlign w:val="center"/>
          </w:tcPr>
          <w:p w14:paraId="7350CF59" w14:textId="77777777" w:rsidR="00610577" w:rsidRPr="002C1E2B" w:rsidRDefault="00610577">
            <w:pPr>
              <w:spacing w:before="60" w:after="60"/>
              <w:jc w:val="right"/>
              <w:rPr>
                <w:rFonts w:ascii="Calibri" w:hAnsi="Calibri"/>
                <w:sz w:val="20"/>
                <w:szCs w:val="20"/>
              </w:rPr>
            </w:pPr>
            <w:r w:rsidRPr="002C1E2B">
              <w:rPr>
                <w:rFonts w:ascii="Calibri" w:hAnsi="Calibri"/>
                <w:sz w:val="20"/>
                <w:szCs w:val="20"/>
              </w:rPr>
              <w:t>25%</w:t>
            </w:r>
          </w:p>
        </w:tc>
        <w:tc>
          <w:tcPr>
            <w:tcW w:w="0" w:type="auto"/>
            <w:shd w:val="clear" w:color="auto" w:fill="FFFFFF" w:themeFill="background1"/>
            <w:vAlign w:val="center"/>
          </w:tcPr>
          <w:p w14:paraId="7E2F7C7E" w14:textId="77777777" w:rsidR="00610577" w:rsidRPr="002C1E2B" w:rsidRDefault="00610577">
            <w:pPr>
              <w:spacing w:before="60" w:after="60"/>
              <w:jc w:val="right"/>
              <w:rPr>
                <w:rFonts w:ascii="Calibri" w:hAnsi="Calibri"/>
                <w:sz w:val="20"/>
                <w:szCs w:val="20"/>
              </w:rPr>
            </w:pPr>
            <w:r w:rsidRPr="002C1E2B">
              <w:rPr>
                <w:rFonts w:ascii="Calibri" w:hAnsi="Calibri"/>
                <w:sz w:val="20"/>
                <w:szCs w:val="20"/>
              </w:rPr>
              <w:t>+10</w:t>
            </w:r>
          </w:p>
        </w:tc>
        <w:tc>
          <w:tcPr>
            <w:tcW w:w="0" w:type="auto"/>
            <w:shd w:val="clear" w:color="auto" w:fill="FFFFFF" w:themeFill="background1"/>
            <w:vAlign w:val="center"/>
          </w:tcPr>
          <w:p w14:paraId="7EC7F504" w14:textId="77777777" w:rsidR="00610577" w:rsidRPr="002C1E2B" w:rsidRDefault="00610577">
            <w:pPr>
              <w:spacing w:before="60" w:after="60"/>
              <w:jc w:val="right"/>
              <w:rPr>
                <w:rFonts w:ascii="Calibri" w:hAnsi="Calibri"/>
                <w:sz w:val="20"/>
                <w:szCs w:val="20"/>
              </w:rPr>
            </w:pPr>
            <w:r w:rsidRPr="002C1E2B">
              <w:rPr>
                <w:rFonts w:ascii="Calibri" w:hAnsi="Calibri"/>
                <w:sz w:val="20"/>
                <w:szCs w:val="20"/>
              </w:rPr>
              <w:t>+10</w:t>
            </w:r>
          </w:p>
        </w:tc>
        <w:tc>
          <w:tcPr>
            <w:tcW w:w="0" w:type="auto"/>
            <w:shd w:val="clear" w:color="auto" w:fill="FFFFFF" w:themeFill="background1"/>
            <w:vAlign w:val="center"/>
          </w:tcPr>
          <w:p w14:paraId="580F9569" w14:textId="77777777" w:rsidR="00610577" w:rsidRPr="002C1E2B" w:rsidRDefault="00610577">
            <w:pPr>
              <w:spacing w:before="60" w:after="60"/>
              <w:jc w:val="right"/>
              <w:rPr>
                <w:rFonts w:ascii="Calibri" w:hAnsi="Calibri"/>
                <w:sz w:val="20"/>
                <w:szCs w:val="20"/>
              </w:rPr>
            </w:pPr>
            <w:r w:rsidRPr="002C1E2B">
              <w:rPr>
                <w:rFonts w:ascii="Calibri" w:hAnsi="Calibri"/>
                <w:sz w:val="20"/>
                <w:szCs w:val="20"/>
              </w:rPr>
              <w:t>+5</w:t>
            </w:r>
          </w:p>
        </w:tc>
      </w:tr>
      <w:tr w:rsidR="004E6459" w:rsidRPr="002C1E2B" w14:paraId="14BD2CBA" w14:textId="77777777" w:rsidTr="00610577">
        <w:trPr>
          <w:cnfStyle w:val="000000100000" w:firstRow="0" w:lastRow="0" w:firstColumn="0" w:lastColumn="0" w:oddVBand="0" w:evenVBand="0" w:oddHBand="1" w:evenHBand="0" w:firstRowFirstColumn="0" w:firstRowLastColumn="0" w:lastRowFirstColumn="0" w:lastRowLastColumn="0"/>
          <w:jc w:val="center"/>
        </w:trPr>
        <w:tc>
          <w:tcPr>
            <w:tcW w:w="0" w:type="auto"/>
            <w:shd w:val="clear" w:color="auto" w:fill="FFFFFF" w:themeFill="background1"/>
          </w:tcPr>
          <w:p w14:paraId="035CEE4F" w14:textId="77777777" w:rsidR="00610577" w:rsidRPr="002C1E2B" w:rsidRDefault="00610577">
            <w:pPr>
              <w:pStyle w:val="BodyText"/>
              <w:spacing w:before="60" w:after="60"/>
              <w:rPr>
                <w:rFonts w:ascii="Calibri" w:hAnsi="Calibri"/>
                <w:sz w:val="20"/>
                <w:szCs w:val="20"/>
              </w:rPr>
            </w:pPr>
            <w:r w:rsidRPr="002C1E2B">
              <w:rPr>
                <w:rFonts w:ascii="Calibri" w:hAnsi="Calibri"/>
                <w:sz w:val="20"/>
                <w:szCs w:val="20"/>
              </w:rPr>
              <w:t>Choice of payments for consumers</w:t>
            </w:r>
          </w:p>
        </w:tc>
        <w:tc>
          <w:tcPr>
            <w:tcW w:w="0" w:type="auto"/>
            <w:shd w:val="clear" w:color="auto" w:fill="FFFFFF" w:themeFill="background1"/>
            <w:vAlign w:val="center"/>
          </w:tcPr>
          <w:p w14:paraId="1F2EFC95" w14:textId="77777777" w:rsidR="00610577" w:rsidRPr="002C1E2B" w:rsidRDefault="00610577">
            <w:pPr>
              <w:spacing w:before="60" w:after="60"/>
              <w:jc w:val="right"/>
              <w:rPr>
                <w:rFonts w:ascii="Calibri" w:hAnsi="Calibri"/>
                <w:sz w:val="20"/>
                <w:szCs w:val="20"/>
              </w:rPr>
            </w:pPr>
            <w:r w:rsidRPr="002C1E2B">
              <w:rPr>
                <w:rFonts w:ascii="Calibri" w:hAnsi="Calibri"/>
                <w:sz w:val="20"/>
                <w:szCs w:val="20"/>
              </w:rPr>
              <w:t>25%</w:t>
            </w:r>
          </w:p>
        </w:tc>
        <w:tc>
          <w:tcPr>
            <w:tcW w:w="0" w:type="auto"/>
            <w:shd w:val="clear" w:color="auto" w:fill="FFFFFF" w:themeFill="background1"/>
            <w:vAlign w:val="center"/>
          </w:tcPr>
          <w:p w14:paraId="689C963A" w14:textId="77777777" w:rsidR="00610577" w:rsidRPr="002C1E2B" w:rsidRDefault="00610577">
            <w:pPr>
              <w:spacing w:before="60" w:after="60"/>
              <w:jc w:val="right"/>
              <w:rPr>
                <w:rFonts w:ascii="Calibri" w:hAnsi="Calibri"/>
                <w:sz w:val="20"/>
                <w:szCs w:val="20"/>
              </w:rPr>
            </w:pPr>
            <w:r w:rsidRPr="002C1E2B">
              <w:rPr>
                <w:rFonts w:ascii="Calibri" w:hAnsi="Calibri"/>
                <w:sz w:val="20"/>
                <w:szCs w:val="20"/>
              </w:rPr>
              <w:t>+10</w:t>
            </w:r>
          </w:p>
        </w:tc>
        <w:tc>
          <w:tcPr>
            <w:tcW w:w="0" w:type="auto"/>
            <w:shd w:val="clear" w:color="auto" w:fill="FFFFFF" w:themeFill="background1"/>
            <w:vAlign w:val="center"/>
          </w:tcPr>
          <w:p w14:paraId="5A3C0E74" w14:textId="77777777" w:rsidR="00610577" w:rsidRPr="002C1E2B" w:rsidRDefault="00610577">
            <w:pPr>
              <w:spacing w:before="60" w:after="60"/>
              <w:jc w:val="right"/>
              <w:rPr>
                <w:rFonts w:ascii="Calibri" w:hAnsi="Calibri"/>
                <w:sz w:val="20"/>
                <w:szCs w:val="20"/>
              </w:rPr>
            </w:pPr>
            <w:r w:rsidRPr="002C1E2B">
              <w:rPr>
                <w:rFonts w:ascii="Calibri" w:hAnsi="Calibri"/>
                <w:sz w:val="20"/>
                <w:szCs w:val="20"/>
              </w:rPr>
              <w:t>+7.5</w:t>
            </w:r>
          </w:p>
        </w:tc>
        <w:tc>
          <w:tcPr>
            <w:tcW w:w="0" w:type="auto"/>
            <w:shd w:val="clear" w:color="auto" w:fill="FFFFFF" w:themeFill="background1"/>
            <w:vAlign w:val="center"/>
          </w:tcPr>
          <w:p w14:paraId="4D035ABF" w14:textId="77777777" w:rsidR="00610577" w:rsidRPr="002C1E2B" w:rsidRDefault="00610577">
            <w:pPr>
              <w:spacing w:before="60" w:after="60"/>
              <w:jc w:val="right"/>
              <w:rPr>
                <w:rFonts w:ascii="Calibri" w:hAnsi="Calibri"/>
                <w:sz w:val="20"/>
                <w:szCs w:val="20"/>
              </w:rPr>
            </w:pPr>
            <w:r w:rsidRPr="002C1E2B">
              <w:rPr>
                <w:rFonts w:ascii="Calibri" w:hAnsi="Calibri"/>
                <w:sz w:val="20"/>
                <w:szCs w:val="20"/>
              </w:rPr>
              <w:t>+5</w:t>
            </w:r>
          </w:p>
        </w:tc>
      </w:tr>
      <w:tr w:rsidR="004E6459" w:rsidRPr="002C1E2B" w14:paraId="302C6400" w14:textId="77777777" w:rsidTr="00610577">
        <w:trPr>
          <w:cnfStyle w:val="000000010000" w:firstRow="0" w:lastRow="0" w:firstColumn="0" w:lastColumn="0" w:oddVBand="0" w:evenVBand="0" w:oddHBand="0" w:evenHBand="1" w:firstRowFirstColumn="0" w:firstRowLastColumn="0" w:lastRowFirstColumn="0" w:lastRowLastColumn="0"/>
          <w:jc w:val="center"/>
        </w:trPr>
        <w:tc>
          <w:tcPr>
            <w:tcW w:w="0" w:type="auto"/>
            <w:shd w:val="clear" w:color="auto" w:fill="FFFFFF" w:themeFill="background1"/>
          </w:tcPr>
          <w:p w14:paraId="38699F28" w14:textId="77777777" w:rsidR="00610577" w:rsidRPr="002C1E2B" w:rsidRDefault="00610577">
            <w:pPr>
              <w:pStyle w:val="BodyText"/>
              <w:spacing w:before="60" w:after="60"/>
              <w:rPr>
                <w:rFonts w:ascii="Calibri" w:hAnsi="Calibri"/>
                <w:sz w:val="20"/>
                <w:szCs w:val="20"/>
              </w:rPr>
            </w:pPr>
            <w:r w:rsidRPr="002C1E2B">
              <w:rPr>
                <w:rFonts w:ascii="Calibri" w:hAnsi="Calibri"/>
                <w:sz w:val="20"/>
                <w:szCs w:val="20"/>
              </w:rPr>
              <w:t>Viability of the sector</w:t>
            </w:r>
          </w:p>
        </w:tc>
        <w:tc>
          <w:tcPr>
            <w:tcW w:w="0" w:type="auto"/>
            <w:shd w:val="clear" w:color="auto" w:fill="FFFFFF" w:themeFill="background1"/>
            <w:vAlign w:val="center"/>
          </w:tcPr>
          <w:p w14:paraId="470B953A" w14:textId="77777777" w:rsidR="00610577" w:rsidRPr="002C1E2B" w:rsidRDefault="00610577">
            <w:pPr>
              <w:spacing w:before="60" w:after="60"/>
              <w:jc w:val="right"/>
              <w:rPr>
                <w:rFonts w:ascii="Calibri" w:hAnsi="Calibri"/>
                <w:sz w:val="20"/>
                <w:szCs w:val="20"/>
              </w:rPr>
            </w:pPr>
            <w:r w:rsidRPr="002C1E2B">
              <w:rPr>
                <w:rFonts w:ascii="Calibri" w:hAnsi="Calibri"/>
                <w:sz w:val="20"/>
                <w:szCs w:val="20"/>
              </w:rPr>
              <w:t>50%</w:t>
            </w:r>
          </w:p>
        </w:tc>
        <w:tc>
          <w:tcPr>
            <w:tcW w:w="0" w:type="auto"/>
            <w:shd w:val="clear" w:color="auto" w:fill="FFFFFF" w:themeFill="background1"/>
            <w:vAlign w:val="center"/>
          </w:tcPr>
          <w:p w14:paraId="2268A7CA" w14:textId="77777777" w:rsidR="00610577" w:rsidRPr="002C1E2B" w:rsidRDefault="00610577">
            <w:pPr>
              <w:spacing w:before="60" w:after="60"/>
              <w:jc w:val="right"/>
              <w:rPr>
                <w:rFonts w:ascii="Calibri" w:hAnsi="Calibri"/>
                <w:sz w:val="20"/>
                <w:szCs w:val="20"/>
              </w:rPr>
            </w:pPr>
            <w:r w:rsidRPr="002C1E2B">
              <w:rPr>
                <w:rFonts w:ascii="Calibri" w:hAnsi="Calibri"/>
                <w:sz w:val="20"/>
                <w:szCs w:val="20"/>
              </w:rPr>
              <w:t>-2.5</w:t>
            </w:r>
          </w:p>
        </w:tc>
        <w:tc>
          <w:tcPr>
            <w:tcW w:w="0" w:type="auto"/>
            <w:shd w:val="clear" w:color="auto" w:fill="FFFFFF" w:themeFill="background1"/>
            <w:vAlign w:val="center"/>
          </w:tcPr>
          <w:p w14:paraId="23F9C26E" w14:textId="77777777" w:rsidR="00610577" w:rsidRPr="002C1E2B" w:rsidRDefault="00610577">
            <w:pPr>
              <w:spacing w:before="60" w:after="60"/>
              <w:jc w:val="right"/>
              <w:rPr>
                <w:rFonts w:ascii="Calibri" w:hAnsi="Calibri"/>
                <w:sz w:val="20"/>
                <w:szCs w:val="20"/>
              </w:rPr>
            </w:pPr>
            <w:r w:rsidRPr="002C1E2B">
              <w:rPr>
                <w:rFonts w:ascii="Calibri" w:hAnsi="Calibri"/>
                <w:sz w:val="20"/>
                <w:szCs w:val="20"/>
              </w:rPr>
              <w:t>+7.5</w:t>
            </w:r>
          </w:p>
        </w:tc>
        <w:tc>
          <w:tcPr>
            <w:tcW w:w="0" w:type="auto"/>
            <w:shd w:val="clear" w:color="auto" w:fill="FFFFFF" w:themeFill="background1"/>
            <w:vAlign w:val="center"/>
          </w:tcPr>
          <w:p w14:paraId="3FA4CBD4" w14:textId="77777777" w:rsidR="00610577" w:rsidRPr="002C1E2B" w:rsidRDefault="00610577">
            <w:pPr>
              <w:spacing w:before="60" w:after="60"/>
              <w:jc w:val="right"/>
              <w:rPr>
                <w:rFonts w:ascii="Calibri" w:hAnsi="Calibri"/>
                <w:sz w:val="20"/>
                <w:szCs w:val="20"/>
              </w:rPr>
            </w:pPr>
            <w:r w:rsidRPr="002C1E2B">
              <w:rPr>
                <w:rFonts w:ascii="Calibri" w:hAnsi="Calibri"/>
                <w:sz w:val="20"/>
                <w:szCs w:val="20"/>
              </w:rPr>
              <w:t>+10</w:t>
            </w:r>
          </w:p>
        </w:tc>
      </w:tr>
      <w:tr w:rsidR="004E6459" w:rsidRPr="002C1E2B" w14:paraId="1FD6AF4D" w14:textId="77777777" w:rsidTr="00183366">
        <w:trPr>
          <w:cnfStyle w:val="000000100000" w:firstRow="0" w:lastRow="0" w:firstColumn="0" w:lastColumn="0" w:oddVBand="0" w:evenVBand="0" w:oddHBand="1" w:evenHBand="0" w:firstRowFirstColumn="0" w:firstRowLastColumn="0" w:lastRowFirstColumn="0" w:lastRowLastColumn="0"/>
          <w:jc w:val="center"/>
        </w:trPr>
        <w:tc>
          <w:tcPr>
            <w:tcW w:w="0" w:type="auto"/>
            <w:shd w:val="clear" w:color="auto" w:fill="FFFFFF" w:themeFill="background1"/>
          </w:tcPr>
          <w:p w14:paraId="320521A0" w14:textId="77777777" w:rsidR="00610577" w:rsidRPr="002C1E2B" w:rsidRDefault="00610577">
            <w:pPr>
              <w:pStyle w:val="BodyText"/>
              <w:spacing w:before="60" w:after="60"/>
              <w:jc w:val="right"/>
              <w:rPr>
                <w:rFonts w:ascii="Calibri" w:hAnsi="Calibri"/>
                <w:b/>
                <w:sz w:val="20"/>
                <w:szCs w:val="20"/>
              </w:rPr>
            </w:pPr>
            <w:r w:rsidRPr="002C1E2B">
              <w:rPr>
                <w:rFonts w:ascii="Calibri" w:hAnsi="Calibri"/>
                <w:b/>
                <w:sz w:val="20"/>
                <w:szCs w:val="20"/>
              </w:rPr>
              <w:t>Weighted average score</w:t>
            </w:r>
          </w:p>
        </w:tc>
        <w:tc>
          <w:tcPr>
            <w:tcW w:w="0" w:type="auto"/>
            <w:shd w:val="clear" w:color="auto" w:fill="FFFFFF" w:themeFill="background1"/>
          </w:tcPr>
          <w:p w14:paraId="09E7D7DC" w14:textId="77777777" w:rsidR="00610577" w:rsidRPr="002C1E2B" w:rsidRDefault="00610577">
            <w:pPr>
              <w:spacing w:before="60" w:after="60"/>
              <w:jc w:val="right"/>
              <w:rPr>
                <w:rFonts w:ascii="Calibri" w:hAnsi="Calibri"/>
                <w:b/>
                <w:sz w:val="20"/>
                <w:szCs w:val="20"/>
              </w:rPr>
            </w:pPr>
          </w:p>
        </w:tc>
        <w:tc>
          <w:tcPr>
            <w:tcW w:w="0" w:type="auto"/>
            <w:shd w:val="clear" w:color="auto" w:fill="FFFFFF" w:themeFill="background1"/>
            <w:vAlign w:val="center"/>
          </w:tcPr>
          <w:p w14:paraId="1E50D982" w14:textId="77777777" w:rsidR="00610577" w:rsidRPr="002C1E2B" w:rsidRDefault="00610577">
            <w:pPr>
              <w:spacing w:before="60" w:after="60"/>
              <w:jc w:val="right"/>
              <w:rPr>
                <w:rFonts w:ascii="Calibri" w:hAnsi="Calibri"/>
                <w:b/>
                <w:sz w:val="20"/>
                <w:szCs w:val="20"/>
              </w:rPr>
            </w:pPr>
            <w:r w:rsidRPr="002C1E2B">
              <w:rPr>
                <w:rFonts w:ascii="Calibri" w:hAnsi="Calibri"/>
                <w:b/>
                <w:sz w:val="20"/>
                <w:szCs w:val="20"/>
              </w:rPr>
              <w:t>+3.75</w:t>
            </w:r>
          </w:p>
        </w:tc>
        <w:tc>
          <w:tcPr>
            <w:tcW w:w="0" w:type="auto"/>
            <w:shd w:val="clear" w:color="auto" w:fill="FFFFFF" w:themeFill="background1"/>
            <w:vAlign w:val="center"/>
          </w:tcPr>
          <w:p w14:paraId="1EB507C0" w14:textId="77777777" w:rsidR="00610577" w:rsidRPr="002C1E2B" w:rsidRDefault="00610577">
            <w:pPr>
              <w:spacing w:before="60" w:after="60"/>
              <w:jc w:val="right"/>
              <w:rPr>
                <w:rFonts w:ascii="Calibri" w:hAnsi="Calibri"/>
                <w:b/>
                <w:sz w:val="20"/>
                <w:szCs w:val="20"/>
              </w:rPr>
            </w:pPr>
            <w:r w:rsidRPr="002C1E2B">
              <w:rPr>
                <w:rFonts w:ascii="Calibri" w:hAnsi="Calibri"/>
                <w:b/>
                <w:sz w:val="20"/>
                <w:szCs w:val="20"/>
              </w:rPr>
              <w:t>+8.13</w:t>
            </w:r>
          </w:p>
        </w:tc>
        <w:tc>
          <w:tcPr>
            <w:tcW w:w="0" w:type="auto"/>
            <w:shd w:val="clear" w:color="auto" w:fill="FFFFFF" w:themeFill="background1"/>
            <w:vAlign w:val="center"/>
          </w:tcPr>
          <w:p w14:paraId="21F71B15" w14:textId="77777777" w:rsidR="00610577" w:rsidRPr="002C1E2B" w:rsidRDefault="00610577">
            <w:pPr>
              <w:spacing w:before="60" w:after="60"/>
              <w:jc w:val="right"/>
              <w:rPr>
                <w:rFonts w:ascii="Calibri" w:hAnsi="Calibri"/>
                <w:b/>
                <w:sz w:val="20"/>
                <w:szCs w:val="20"/>
              </w:rPr>
            </w:pPr>
            <w:r w:rsidRPr="002C1E2B">
              <w:rPr>
                <w:rFonts w:ascii="Calibri" w:hAnsi="Calibri"/>
                <w:b/>
                <w:sz w:val="20"/>
                <w:szCs w:val="20"/>
              </w:rPr>
              <w:t>+7.5</w:t>
            </w:r>
          </w:p>
        </w:tc>
      </w:tr>
      <w:tr w:rsidR="00183366" w:rsidRPr="002C1E2B" w14:paraId="322E71B6" w14:textId="77777777" w:rsidTr="00263234">
        <w:trPr>
          <w:cnfStyle w:val="000000010000" w:firstRow="0" w:lastRow="0" w:firstColumn="0" w:lastColumn="0" w:oddVBand="0" w:evenVBand="0" w:oddHBand="0" w:evenHBand="1" w:firstRowFirstColumn="0" w:firstRowLastColumn="0" w:lastRowFirstColumn="0" w:lastRowLastColumn="0"/>
          <w:trHeight w:val="734"/>
          <w:jc w:val="center"/>
        </w:trPr>
        <w:tc>
          <w:tcPr>
            <w:tcW w:w="0" w:type="auto"/>
            <w:tcBorders>
              <w:bottom w:val="nil"/>
            </w:tcBorders>
            <w:shd w:val="clear" w:color="auto" w:fill="FFFFFF" w:themeFill="background1"/>
          </w:tcPr>
          <w:p w14:paraId="0A0FD912" w14:textId="77777777" w:rsidR="00183366" w:rsidRPr="002C1E2B" w:rsidRDefault="00183366" w:rsidP="00352A2F">
            <w:pPr>
              <w:pStyle w:val="BodyText"/>
              <w:spacing w:before="60" w:after="60"/>
              <w:jc w:val="right"/>
              <w:rPr>
                <w:rFonts w:ascii="Calibri" w:hAnsi="Calibri"/>
                <w:b/>
                <w:sz w:val="20"/>
                <w:szCs w:val="20"/>
              </w:rPr>
            </w:pPr>
          </w:p>
        </w:tc>
        <w:tc>
          <w:tcPr>
            <w:tcW w:w="0" w:type="auto"/>
            <w:tcBorders>
              <w:bottom w:val="nil"/>
            </w:tcBorders>
            <w:shd w:val="clear" w:color="auto" w:fill="FFFFFF" w:themeFill="background1"/>
          </w:tcPr>
          <w:p w14:paraId="1D072E94" w14:textId="77777777" w:rsidR="00183366" w:rsidRPr="002C1E2B" w:rsidRDefault="00183366" w:rsidP="00352A2F">
            <w:pPr>
              <w:spacing w:before="60" w:after="60"/>
              <w:jc w:val="right"/>
              <w:rPr>
                <w:rFonts w:ascii="Calibri" w:hAnsi="Calibri"/>
                <w:b/>
                <w:sz w:val="20"/>
                <w:szCs w:val="20"/>
              </w:rPr>
            </w:pPr>
          </w:p>
        </w:tc>
        <w:tc>
          <w:tcPr>
            <w:tcW w:w="0" w:type="auto"/>
            <w:tcBorders>
              <w:bottom w:val="nil"/>
            </w:tcBorders>
            <w:shd w:val="clear" w:color="auto" w:fill="FFFFFF" w:themeFill="background1"/>
            <w:vAlign w:val="center"/>
          </w:tcPr>
          <w:p w14:paraId="3792AF98" w14:textId="77777777" w:rsidR="00183366" w:rsidRPr="002C1E2B" w:rsidRDefault="00183366" w:rsidP="00352A2F">
            <w:pPr>
              <w:spacing w:before="60" w:after="60"/>
              <w:jc w:val="right"/>
              <w:rPr>
                <w:rFonts w:ascii="Calibri" w:hAnsi="Calibri"/>
                <w:b/>
                <w:sz w:val="20"/>
                <w:szCs w:val="20"/>
              </w:rPr>
            </w:pPr>
          </w:p>
        </w:tc>
        <w:tc>
          <w:tcPr>
            <w:tcW w:w="0" w:type="auto"/>
            <w:tcBorders>
              <w:bottom w:val="nil"/>
            </w:tcBorders>
            <w:shd w:val="clear" w:color="auto" w:fill="FFFFFF" w:themeFill="background1"/>
            <w:vAlign w:val="center"/>
          </w:tcPr>
          <w:p w14:paraId="11672D2B" w14:textId="77777777" w:rsidR="00183366" w:rsidRPr="002C1E2B" w:rsidRDefault="00183366" w:rsidP="00352A2F">
            <w:pPr>
              <w:spacing w:before="60" w:after="60"/>
              <w:jc w:val="right"/>
              <w:rPr>
                <w:rFonts w:ascii="Calibri" w:hAnsi="Calibri"/>
                <w:b/>
                <w:sz w:val="20"/>
                <w:szCs w:val="20"/>
              </w:rPr>
            </w:pPr>
          </w:p>
        </w:tc>
        <w:tc>
          <w:tcPr>
            <w:tcW w:w="0" w:type="auto"/>
            <w:tcBorders>
              <w:bottom w:val="nil"/>
            </w:tcBorders>
            <w:shd w:val="clear" w:color="auto" w:fill="FFFFFF" w:themeFill="background1"/>
            <w:vAlign w:val="center"/>
          </w:tcPr>
          <w:p w14:paraId="3E3C8105" w14:textId="77777777" w:rsidR="00183366" w:rsidRPr="002C1E2B" w:rsidRDefault="00183366" w:rsidP="00352A2F">
            <w:pPr>
              <w:spacing w:before="60" w:after="60"/>
              <w:jc w:val="right"/>
              <w:rPr>
                <w:rFonts w:ascii="Calibri" w:hAnsi="Calibri"/>
                <w:b/>
                <w:sz w:val="20"/>
                <w:szCs w:val="20"/>
              </w:rPr>
            </w:pPr>
          </w:p>
        </w:tc>
      </w:tr>
      <w:tr w:rsidR="004E6459" w:rsidRPr="002C1E2B" w14:paraId="1CB67468" w14:textId="77777777" w:rsidTr="00183366">
        <w:trPr>
          <w:cnfStyle w:val="000000100000" w:firstRow="0" w:lastRow="0" w:firstColumn="0" w:lastColumn="0" w:oddVBand="0" w:evenVBand="0" w:oddHBand="1" w:evenHBand="0" w:firstRowFirstColumn="0" w:firstRowLastColumn="0" w:lastRowFirstColumn="0" w:lastRowLastColumn="0"/>
          <w:jc w:val="center"/>
        </w:trPr>
        <w:tc>
          <w:tcPr>
            <w:tcW w:w="0" w:type="auto"/>
            <w:tcBorders>
              <w:top w:val="nil"/>
            </w:tcBorders>
            <w:shd w:val="clear" w:color="auto" w:fill="DBE5F1" w:themeFill="accent1" w:themeFillTint="33"/>
          </w:tcPr>
          <w:p w14:paraId="3ACD253D" w14:textId="77777777" w:rsidR="00610577" w:rsidRPr="002C1E2B" w:rsidRDefault="00610577">
            <w:pPr>
              <w:pStyle w:val="BodyText"/>
              <w:spacing w:before="60" w:after="60"/>
              <w:rPr>
                <w:rFonts w:ascii="Calibri" w:hAnsi="Calibri"/>
                <w:b/>
                <w:sz w:val="20"/>
                <w:szCs w:val="20"/>
              </w:rPr>
            </w:pPr>
            <w:r w:rsidRPr="002C1E2B">
              <w:rPr>
                <w:rFonts w:ascii="Calibri" w:hAnsi="Calibri"/>
                <w:b/>
                <w:sz w:val="20"/>
                <w:szCs w:val="20"/>
              </w:rPr>
              <w:lastRenderedPageBreak/>
              <w:t>Financial impacts (relative to base case)</w:t>
            </w:r>
          </w:p>
        </w:tc>
        <w:tc>
          <w:tcPr>
            <w:tcW w:w="0" w:type="auto"/>
            <w:tcBorders>
              <w:top w:val="nil"/>
            </w:tcBorders>
            <w:shd w:val="clear" w:color="auto" w:fill="DBE5F1" w:themeFill="accent1" w:themeFillTint="33"/>
          </w:tcPr>
          <w:p w14:paraId="6B1A71FE" w14:textId="77777777" w:rsidR="00610577" w:rsidRPr="002C1E2B" w:rsidRDefault="00610577">
            <w:pPr>
              <w:spacing w:before="60" w:after="60"/>
              <w:jc w:val="right"/>
              <w:rPr>
                <w:rFonts w:ascii="Calibri" w:hAnsi="Calibri"/>
                <w:b/>
                <w:sz w:val="20"/>
                <w:szCs w:val="20"/>
              </w:rPr>
            </w:pPr>
          </w:p>
        </w:tc>
        <w:tc>
          <w:tcPr>
            <w:tcW w:w="0" w:type="auto"/>
            <w:tcBorders>
              <w:top w:val="nil"/>
            </w:tcBorders>
            <w:shd w:val="clear" w:color="auto" w:fill="DBE5F1" w:themeFill="accent1" w:themeFillTint="33"/>
          </w:tcPr>
          <w:p w14:paraId="70941F7F" w14:textId="77777777" w:rsidR="00610577" w:rsidRPr="002C1E2B" w:rsidRDefault="00610577">
            <w:pPr>
              <w:spacing w:before="60" w:after="60"/>
              <w:jc w:val="right"/>
              <w:rPr>
                <w:rFonts w:ascii="Calibri" w:hAnsi="Calibri"/>
                <w:b/>
                <w:sz w:val="20"/>
                <w:szCs w:val="20"/>
              </w:rPr>
            </w:pPr>
            <w:r w:rsidRPr="002C1E2B">
              <w:rPr>
                <w:rFonts w:ascii="Calibri" w:hAnsi="Calibri"/>
                <w:b/>
                <w:sz w:val="20"/>
                <w:szCs w:val="20"/>
              </w:rPr>
              <w:t>$ per annum</w:t>
            </w:r>
          </w:p>
        </w:tc>
        <w:tc>
          <w:tcPr>
            <w:tcW w:w="0" w:type="auto"/>
            <w:tcBorders>
              <w:top w:val="nil"/>
            </w:tcBorders>
            <w:shd w:val="clear" w:color="auto" w:fill="DBE5F1" w:themeFill="accent1" w:themeFillTint="33"/>
            <w:vAlign w:val="center"/>
          </w:tcPr>
          <w:p w14:paraId="7D893F7F" w14:textId="77777777" w:rsidR="00610577" w:rsidRPr="002C1E2B" w:rsidRDefault="00610577">
            <w:pPr>
              <w:spacing w:before="60" w:after="60"/>
              <w:jc w:val="right"/>
              <w:rPr>
                <w:rFonts w:ascii="Calibri" w:hAnsi="Calibri"/>
                <w:b/>
                <w:sz w:val="20"/>
                <w:szCs w:val="20"/>
              </w:rPr>
            </w:pPr>
            <w:r w:rsidRPr="002C1E2B">
              <w:rPr>
                <w:rFonts w:ascii="Calibri" w:hAnsi="Calibri"/>
                <w:b/>
                <w:sz w:val="20"/>
                <w:szCs w:val="20"/>
              </w:rPr>
              <w:t>$ per annum</w:t>
            </w:r>
          </w:p>
        </w:tc>
        <w:tc>
          <w:tcPr>
            <w:tcW w:w="0" w:type="auto"/>
            <w:tcBorders>
              <w:top w:val="nil"/>
            </w:tcBorders>
            <w:shd w:val="clear" w:color="auto" w:fill="DBE5F1" w:themeFill="accent1" w:themeFillTint="33"/>
            <w:vAlign w:val="center"/>
          </w:tcPr>
          <w:p w14:paraId="1555EECA" w14:textId="77777777" w:rsidR="00610577" w:rsidRPr="002C1E2B" w:rsidRDefault="00610577">
            <w:pPr>
              <w:spacing w:before="60" w:after="60"/>
              <w:jc w:val="right"/>
              <w:rPr>
                <w:rFonts w:ascii="Calibri" w:hAnsi="Calibri"/>
                <w:b/>
                <w:sz w:val="20"/>
                <w:szCs w:val="20"/>
              </w:rPr>
            </w:pPr>
            <w:r w:rsidRPr="002C1E2B">
              <w:rPr>
                <w:rFonts w:ascii="Calibri" w:hAnsi="Calibri"/>
                <w:b/>
                <w:sz w:val="20"/>
                <w:szCs w:val="20"/>
              </w:rPr>
              <w:t>$ per annum</w:t>
            </w:r>
          </w:p>
        </w:tc>
      </w:tr>
      <w:tr w:rsidR="00A169E6" w:rsidRPr="002C1E2B" w14:paraId="30022729" w14:textId="77777777" w:rsidTr="00610577">
        <w:trPr>
          <w:cnfStyle w:val="000000010000" w:firstRow="0" w:lastRow="0" w:firstColumn="0" w:lastColumn="0" w:oddVBand="0" w:evenVBand="0" w:oddHBand="0" w:evenHBand="1" w:firstRowFirstColumn="0" w:firstRowLastColumn="0" w:lastRowFirstColumn="0" w:lastRowLastColumn="0"/>
          <w:trHeight w:val="469"/>
          <w:jc w:val="center"/>
        </w:trPr>
        <w:tc>
          <w:tcPr>
            <w:tcW w:w="0" w:type="auto"/>
            <w:shd w:val="clear" w:color="auto" w:fill="FFFFFF" w:themeFill="background1"/>
          </w:tcPr>
          <w:p w14:paraId="1E9C7607" w14:textId="69F548F7" w:rsidR="00610577" w:rsidRPr="002C1E2B" w:rsidRDefault="00610577">
            <w:pPr>
              <w:pStyle w:val="BodyText"/>
              <w:spacing w:before="60" w:after="60"/>
              <w:rPr>
                <w:rFonts w:ascii="Calibri" w:hAnsi="Calibri"/>
                <w:sz w:val="20"/>
                <w:szCs w:val="20"/>
              </w:rPr>
            </w:pPr>
            <w:r w:rsidRPr="002C1E2B">
              <w:rPr>
                <w:rFonts w:ascii="Calibri" w:hAnsi="Calibri"/>
                <w:sz w:val="20"/>
                <w:szCs w:val="20"/>
              </w:rPr>
              <w:t>Total impacts for residents moving to aged care (average between 2018 and 2037)</w:t>
            </w:r>
          </w:p>
        </w:tc>
        <w:tc>
          <w:tcPr>
            <w:tcW w:w="0" w:type="auto"/>
            <w:shd w:val="clear" w:color="auto" w:fill="FFFFFF" w:themeFill="background1"/>
          </w:tcPr>
          <w:p w14:paraId="73689F84" w14:textId="77777777" w:rsidR="00610577" w:rsidRPr="002C1E2B" w:rsidRDefault="00610577">
            <w:pPr>
              <w:spacing w:before="60" w:after="60"/>
              <w:jc w:val="right"/>
              <w:rPr>
                <w:rFonts w:ascii="Calibri" w:hAnsi="Calibri"/>
                <w:b/>
                <w:sz w:val="20"/>
                <w:szCs w:val="20"/>
              </w:rPr>
            </w:pPr>
          </w:p>
        </w:tc>
        <w:tc>
          <w:tcPr>
            <w:tcW w:w="0" w:type="auto"/>
            <w:shd w:val="clear" w:color="auto" w:fill="FFFFFF" w:themeFill="background1"/>
            <w:vAlign w:val="center"/>
          </w:tcPr>
          <w:p w14:paraId="0FBC74E8" w14:textId="77777777" w:rsidR="00610577" w:rsidRPr="002C1E2B" w:rsidRDefault="00610577">
            <w:pPr>
              <w:spacing w:before="60" w:after="60"/>
              <w:jc w:val="right"/>
              <w:rPr>
                <w:rFonts w:ascii="Calibri" w:hAnsi="Calibri"/>
                <w:bCs/>
                <w:sz w:val="20"/>
                <w:szCs w:val="20"/>
              </w:rPr>
            </w:pPr>
            <w:r w:rsidRPr="002C1E2B">
              <w:rPr>
                <w:rFonts w:ascii="Calibri" w:hAnsi="Calibri"/>
                <w:bCs/>
                <w:sz w:val="20"/>
                <w:szCs w:val="20"/>
              </w:rPr>
              <w:t>+3,057,236</w:t>
            </w:r>
          </w:p>
        </w:tc>
        <w:tc>
          <w:tcPr>
            <w:tcW w:w="0" w:type="auto"/>
            <w:shd w:val="clear" w:color="auto" w:fill="FFFFFF" w:themeFill="background1"/>
            <w:vAlign w:val="center"/>
          </w:tcPr>
          <w:p w14:paraId="4BDD959D" w14:textId="77777777" w:rsidR="00610577" w:rsidRPr="002C1E2B" w:rsidRDefault="00610577">
            <w:pPr>
              <w:spacing w:before="60" w:after="60"/>
              <w:jc w:val="right"/>
              <w:rPr>
                <w:rFonts w:ascii="Calibri" w:hAnsi="Calibri"/>
                <w:bCs/>
                <w:sz w:val="20"/>
                <w:szCs w:val="20"/>
              </w:rPr>
            </w:pPr>
            <w:r w:rsidRPr="002C1E2B">
              <w:rPr>
                <w:rFonts w:ascii="Calibri" w:hAnsi="Calibri"/>
                <w:bCs/>
                <w:sz w:val="20"/>
                <w:szCs w:val="20"/>
              </w:rPr>
              <w:t>-2,122,771</w:t>
            </w:r>
          </w:p>
        </w:tc>
        <w:tc>
          <w:tcPr>
            <w:tcW w:w="0" w:type="auto"/>
            <w:shd w:val="clear" w:color="auto" w:fill="FFFFFF" w:themeFill="background1"/>
            <w:vAlign w:val="center"/>
          </w:tcPr>
          <w:p w14:paraId="0EC17DC2" w14:textId="77777777" w:rsidR="00610577" w:rsidRPr="002C1E2B" w:rsidRDefault="00610577">
            <w:pPr>
              <w:spacing w:before="60" w:after="60"/>
              <w:jc w:val="right"/>
              <w:rPr>
                <w:rFonts w:ascii="Calibri" w:hAnsi="Calibri"/>
                <w:bCs/>
                <w:sz w:val="20"/>
                <w:szCs w:val="20"/>
              </w:rPr>
            </w:pPr>
            <w:r w:rsidRPr="002C1E2B">
              <w:rPr>
                <w:rFonts w:ascii="Calibri" w:hAnsi="Calibri"/>
                <w:bCs/>
                <w:sz w:val="20"/>
                <w:szCs w:val="20"/>
              </w:rPr>
              <w:t>-5,546,700</w:t>
            </w:r>
          </w:p>
        </w:tc>
      </w:tr>
      <w:tr w:rsidR="004E6459" w:rsidRPr="002C1E2B" w14:paraId="7685CE02" w14:textId="77777777" w:rsidTr="00610577">
        <w:trPr>
          <w:cnfStyle w:val="000000100000" w:firstRow="0" w:lastRow="0" w:firstColumn="0" w:lastColumn="0" w:oddVBand="0" w:evenVBand="0" w:oddHBand="1" w:evenHBand="0" w:firstRowFirstColumn="0" w:firstRowLastColumn="0" w:lastRowFirstColumn="0" w:lastRowLastColumn="0"/>
          <w:jc w:val="center"/>
        </w:trPr>
        <w:tc>
          <w:tcPr>
            <w:tcW w:w="0" w:type="auto"/>
            <w:shd w:val="clear" w:color="auto" w:fill="FFFFFF" w:themeFill="background1"/>
          </w:tcPr>
          <w:p w14:paraId="5DA525C3" w14:textId="77777777" w:rsidR="00610577" w:rsidRPr="002C1E2B" w:rsidRDefault="00610577">
            <w:pPr>
              <w:pStyle w:val="BodyText"/>
              <w:spacing w:before="60" w:after="60"/>
              <w:rPr>
                <w:rFonts w:ascii="Calibri" w:hAnsi="Calibri"/>
                <w:sz w:val="20"/>
                <w:szCs w:val="20"/>
              </w:rPr>
            </w:pPr>
            <w:r w:rsidRPr="002C1E2B">
              <w:rPr>
                <w:rFonts w:ascii="Calibri" w:hAnsi="Calibri"/>
                <w:sz w:val="20"/>
                <w:szCs w:val="20"/>
              </w:rPr>
              <w:t>Total impact for sector (average between 2018 and 2037)</w:t>
            </w:r>
          </w:p>
        </w:tc>
        <w:tc>
          <w:tcPr>
            <w:tcW w:w="0" w:type="auto"/>
            <w:shd w:val="clear" w:color="auto" w:fill="FFFFFF" w:themeFill="background1"/>
          </w:tcPr>
          <w:p w14:paraId="23A689D3" w14:textId="77777777" w:rsidR="00610577" w:rsidRPr="002C1E2B" w:rsidRDefault="00610577">
            <w:pPr>
              <w:spacing w:before="60" w:after="60"/>
              <w:jc w:val="right"/>
              <w:rPr>
                <w:rFonts w:ascii="Calibri" w:hAnsi="Calibri"/>
                <w:b/>
                <w:sz w:val="20"/>
                <w:szCs w:val="20"/>
              </w:rPr>
            </w:pPr>
          </w:p>
        </w:tc>
        <w:tc>
          <w:tcPr>
            <w:tcW w:w="0" w:type="auto"/>
            <w:shd w:val="clear" w:color="auto" w:fill="FFFFFF" w:themeFill="background1"/>
            <w:vAlign w:val="center"/>
          </w:tcPr>
          <w:p w14:paraId="47023147" w14:textId="77777777" w:rsidR="00610577" w:rsidRPr="002C1E2B" w:rsidRDefault="00610577">
            <w:pPr>
              <w:spacing w:before="60" w:after="60"/>
              <w:jc w:val="right"/>
              <w:rPr>
                <w:rFonts w:ascii="Calibri" w:hAnsi="Calibri"/>
                <w:bCs/>
                <w:sz w:val="20"/>
                <w:szCs w:val="20"/>
              </w:rPr>
            </w:pPr>
            <w:r w:rsidRPr="002C1E2B">
              <w:rPr>
                <w:rFonts w:ascii="Calibri" w:hAnsi="Calibri"/>
                <w:bCs/>
                <w:sz w:val="20"/>
                <w:szCs w:val="20"/>
              </w:rPr>
              <w:t>-1,732,998</w:t>
            </w:r>
          </w:p>
        </w:tc>
        <w:tc>
          <w:tcPr>
            <w:tcW w:w="0" w:type="auto"/>
            <w:shd w:val="clear" w:color="auto" w:fill="FFFFFF" w:themeFill="background1"/>
            <w:vAlign w:val="center"/>
          </w:tcPr>
          <w:p w14:paraId="3A295187" w14:textId="77777777" w:rsidR="00610577" w:rsidRPr="002C1E2B" w:rsidRDefault="00610577">
            <w:pPr>
              <w:spacing w:before="60" w:after="60"/>
              <w:jc w:val="right"/>
              <w:rPr>
                <w:rFonts w:ascii="Calibri" w:hAnsi="Calibri"/>
                <w:bCs/>
                <w:sz w:val="20"/>
                <w:szCs w:val="20"/>
              </w:rPr>
            </w:pPr>
            <w:r w:rsidRPr="002C1E2B">
              <w:rPr>
                <w:rFonts w:ascii="Calibri" w:hAnsi="Calibri"/>
                <w:bCs/>
                <w:sz w:val="20"/>
                <w:szCs w:val="20"/>
              </w:rPr>
              <w:t>+2,598,828</w:t>
            </w:r>
          </w:p>
        </w:tc>
        <w:tc>
          <w:tcPr>
            <w:tcW w:w="0" w:type="auto"/>
            <w:shd w:val="clear" w:color="auto" w:fill="FFFFFF" w:themeFill="background1"/>
            <w:vAlign w:val="center"/>
          </w:tcPr>
          <w:p w14:paraId="5E296EA0" w14:textId="77777777" w:rsidR="00610577" w:rsidRPr="002C1E2B" w:rsidRDefault="00610577">
            <w:pPr>
              <w:spacing w:before="60" w:after="60"/>
              <w:jc w:val="right"/>
              <w:rPr>
                <w:rFonts w:ascii="Calibri" w:hAnsi="Calibri"/>
                <w:bCs/>
                <w:sz w:val="20"/>
                <w:szCs w:val="20"/>
              </w:rPr>
            </w:pPr>
            <w:r w:rsidRPr="002C1E2B">
              <w:rPr>
                <w:rFonts w:ascii="Calibri" w:hAnsi="Calibri"/>
                <w:bCs/>
                <w:sz w:val="20"/>
                <w:szCs w:val="20"/>
              </w:rPr>
              <w:t>+5,431,498</w:t>
            </w:r>
          </w:p>
        </w:tc>
      </w:tr>
      <w:tr w:rsidR="004E6459" w:rsidRPr="002C1E2B" w14:paraId="2AAFF9B6" w14:textId="77777777" w:rsidTr="00610577">
        <w:trPr>
          <w:cnfStyle w:val="000000010000" w:firstRow="0" w:lastRow="0" w:firstColumn="0" w:lastColumn="0" w:oddVBand="0" w:evenVBand="0" w:oddHBand="0" w:evenHBand="1" w:firstRowFirstColumn="0" w:firstRowLastColumn="0" w:lastRowFirstColumn="0" w:lastRowLastColumn="0"/>
          <w:jc w:val="center"/>
        </w:trPr>
        <w:tc>
          <w:tcPr>
            <w:tcW w:w="0" w:type="auto"/>
            <w:shd w:val="clear" w:color="auto" w:fill="FFFFFF" w:themeFill="background1"/>
          </w:tcPr>
          <w:p w14:paraId="063D136C" w14:textId="77777777" w:rsidR="00610577" w:rsidRPr="002C1E2B" w:rsidRDefault="00610577">
            <w:pPr>
              <w:pStyle w:val="BodyText"/>
              <w:spacing w:before="60" w:after="60"/>
              <w:rPr>
                <w:rFonts w:ascii="Calibri" w:hAnsi="Calibri"/>
                <w:b/>
                <w:sz w:val="20"/>
                <w:szCs w:val="20"/>
              </w:rPr>
            </w:pPr>
            <w:r w:rsidRPr="002C1E2B">
              <w:rPr>
                <w:rFonts w:ascii="Calibri" w:hAnsi="Calibri"/>
                <w:b/>
                <w:sz w:val="20"/>
                <w:szCs w:val="20"/>
              </w:rPr>
              <w:t>Net impact (average between 2018 and 2037)</w:t>
            </w:r>
          </w:p>
        </w:tc>
        <w:tc>
          <w:tcPr>
            <w:tcW w:w="0" w:type="auto"/>
            <w:shd w:val="clear" w:color="auto" w:fill="FFFFFF" w:themeFill="background1"/>
          </w:tcPr>
          <w:p w14:paraId="701ED0E7" w14:textId="77777777" w:rsidR="00610577" w:rsidRPr="002C1E2B" w:rsidRDefault="00610577">
            <w:pPr>
              <w:spacing w:before="60" w:after="60"/>
              <w:jc w:val="right"/>
              <w:rPr>
                <w:rFonts w:ascii="Calibri" w:hAnsi="Calibri"/>
                <w:b/>
                <w:sz w:val="20"/>
                <w:szCs w:val="20"/>
              </w:rPr>
            </w:pPr>
          </w:p>
        </w:tc>
        <w:tc>
          <w:tcPr>
            <w:tcW w:w="0" w:type="auto"/>
            <w:shd w:val="clear" w:color="auto" w:fill="FFFFFF" w:themeFill="background1"/>
            <w:vAlign w:val="center"/>
          </w:tcPr>
          <w:p w14:paraId="6941105F" w14:textId="77777777" w:rsidR="00610577" w:rsidRPr="002C1E2B" w:rsidRDefault="00610577">
            <w:pPr>
              <w:spacing w:before="60" w:after="60"/>
              <w:jc w:val="right"/>
              <w:rPr>
                <w:rFonts w:ascii="Calibri" w:hAnsi="Calibri"/>
                <w:b/>
                <w:sz w:val="20"/>
                <w:szCs w:val="20"/>
              </w:rPr>
            </w:pPr>
            <w:r w:rsidRPr="002C1E2B">
              <w:rPr>
                <w:rFonts w:ascii="Calibri" w:hAnsi="Calibri"/>
                <w:b/>
                <w:sz w:val="20"/>
                <w:szCs w:val="20"/>
              </w:rPr>
              <w:t>+1,324,238</w:t>
            </w:r>
          </w:p>
        </w:tc>
        <w:tc>
          <w:tcPr>
            <w:tcW w:w="0" w:type="auto"/>
            <w:shd w:val="clear" w:color="auto" w:fill="FFFFFF" w:themeFill="background1"/>
            <w:vAlign w:val="center"/>
          </w:tcPr>
          <w:p w14:paraId="001E0048" w14:textId="77777777" w:rsidR="00610577" w:rsidRPr="002C1E2B" w:rsidRDefault="00610577">
            <w:pPr>
              <w:spacing w:before="60" w:after="60"/>
              <w:jc w:val="right"/>
              <w:rPr>
                <w:rFonts w:ascii="Calibri" w:hAnsi="Calibri"/>
                <w:b/>
                <w:sz w:val="20"/>
                <w:szCs w:val="20"/>
              </w:rPr>
            </w:pPr>
            <w:r w:rsidRPr="002C1E2B">
              <w:rPr>
                <w:rFonts w:ascii="Calibri" w:hAnsi="Calibri"/>
                <w:b/>
                <w:sz w:val="20"/>
                <w:szCs w:val="20"/>
              </w:rPr>
              <w:t>+476,057</w:t>
            </w:r>
          </w:p>
        </w:tc>
        <w:tc>
          <w:tcPr>
            <w:tcW w:w="0" w:type="auto"/>
            <w:shd w:val="clear" w:color="auto" w:fill="FFFFFF" w:themeFill="background1"/>
            <w:vAlign w:val="center"/>
          </w:tcPr>
          <w:p w14:paraId="19FD6FA0" w14:textId="77777777" w:rsidR="00610577" w:rsidRPr="002C1E2B" w:rsidRDefault="00610577">
            <w:pPr>
              <w:spacing w:before="60" w:after="60"/>
              <w:jc w:val="right"/>
              <w:rPr>
                <w:rFonts w:ascii="Calibri" w:hAnsi="Calibri"/>
                <w:b/>
                <w:sz w:val="20"/>
                <w:szCs w:val="20"/>
              </w:rPr>
            </w:pPr>
            <w:r w:rsidRPr="002C1E2B">
              <w:rPr>
                <w:rFonts w:ascii="Calibri" w:hAnsi="Calibri"/>
                <w:b/>
                <w:sz w:val="20"/>
                <w:szCs w:val="20"/>
              </w:rPr>
              <w:t>-115,202</w:t>
            </w:r>
          </w:p>
        </w:tc>
      </w:tr>
    </w:tbl>
    <w:p w14:paraId="3C0B7FE2" w14:textId="77777777" w:rsidR="00610577" w:rsidRDefault="00610577" w:rsidP="00610577"/>
    <w:p w14:paraId="2035D912" w14:textId="77777777" w:rsidR="00610577" w:rsidRPr="002C1E2B" w:rsidRDefault="00610577" w:rsidP="00610577">
      <w:pPr>
        <w:pStyle w:val="HeadingU4"/>
      </w:pPr>
      <w:r w:rsidRPr="002C1E2B">
        <w:t>Preferred option</w:t>
      </w:r>
    </w:p>
    <w:p w14:paraId="4CD54475" w14:textId="77777777" w:rsidR="00610577" w:rsidRPr="002C1E2B" w:rsidRDefault="00610577" w:rsidP="00610577">
      <w:pPr>
        <w:rPr>
          <w:rFonts w:ascii="Times New Roman" w:eastAsia="MS PMincho" w:hAnsi="Times New Roman"/>
        </w:rPr>
      </w:pPr>
      <w:r w:rsidRPr="002C1E2B">
        <w:rPr>
          <w:rFonts w:ascii="Times New Roman" w:eastAsia="MS PMincho" w:hAnsi="Times New Roman"/>
        </w:rPr>
        <w:t xml:space="preserve">Based on the analysis in Chapter 5 of this RIS, the preferred option is Option 2. This option involves remaking the Regulations in their current form, but replacing the current aged care rule with a DAP rule for all non-owner residents who entered a retirement village after 31 July 2006 with an optional (grandfathered) RAD rule for non-owner residents who are already living in retirement villages. The preferred option is reflected in regulation 7 of the proposed regulations (Appendix </w:t>
      </w:r>
      <w:r w:rsidR="0094638B" w:rsidRPr="002C1E2B">
        <w:rPr>
          <w:rFonts w:ascii="Times New Roman" w:eastAsia="MS PMincho" w:hAnsi="Times New Roman"/>
        </w:rPr>
        <w:t>I</w:t>
      </w:r>
      <w:r w:rsidRPr="002C1E2B">
        <w:rPr>
          <w:rFonts w:ascii="Times New Roman" w:eastAsia="MS PMincho" w:hAnsi="Times New Roman"/>
        </w:rPr>
        <w:t>).</w:t>
      </w:r>
    </w:p>
    <w:p w14:paraId="2CB009D5" w14:textId="77777777" w:rsidR="00610577" w:rsidRPr="002C1E2B" w:rsidRDefault="00610577" w:rsidP="00610577">
      <w:pPr>
        <w:pStyle w:val="BodyText"/>
      </w:pPr>
      <w:r w:rsidRPr="002C1E2B">
        <w:t>Overall, the option has been assessed as best meeting the objectives of:</w:t>
      </w:r>
    </w:p>
    <w:p w14:paraId="7875F53C" w14:textId="77777777" w:rsidR="00B073EF" w:rsidRPr="002C1E2B" w:rsidRDefault="00B073EF" w:rsidP="00B073EF">
      <w:pPr>
        <w:pStyle w:val="ListBullet"/>
      </w:pPr>
      <w:r w:rsidRPr="002C1E2B">
        <w:rPr>
          <w:b/>
          <w:i/>
        </w:rPr>
        <w:t>Ensuring the return of non-owner residents’ exit entitlements does not interfere with their entry into aged care –</w:t>
      </w:r>
      <w:r w:rsidRPr="002C1E2B">
        <w:t xml:space="preserve"> the preferred option addresses the financial barriers of entry to aged care that can occur when there are delays returning retirement village residents’ exit entitlement. Residents who are waiting for the return of their exit entitlement are less likely to be forced to delay their entry into aged care or have to seek a cheaper/less desirable provider; </w:t>
      </w:r>
    </w:p>
    <w:p w14:paraId="604DFC3A" w14:textId="77777777" w:rsidR="00610577" w:rsidRPr="002C1E2B" w:rsidRDefault="00610577" w:rsidP="00610577">
      <w:pPr>
        <w:pStyle w:val="ListBullet"/>
      </w:pPr>
      <w:r w:rsidRPr="002C1E2B">
        <w:rPr>
          <w:b/>
          <w:i/>
        </w:rPr>
        <w:t>Addressing problems relating to the clarity and complexity of contracts –</w:t>
      </w:r>
      <w:r w:rsidRPr="002C1E2B">
        <w:t xml:space="preserve"> the preferred option maintains the regulatory amendments introduced in 2014 that addressed problems associated with the complexity of retirement village contracts. This will reduce the likelihood of residents suffering from financial or other type of harm because they have not understood the implications of their contract;</w:t>
      </w:r>
    </w:p>
    <w:p w14:paraId="2AD21975" w14:textId="77777777" w:rsidR="00610577" w:rsidRDefault="00610577" w:rsidP="00610577">
      <w:pPr>
        <w:pStyle w:val="ListBullet"/>
      </w:pPr>
      <w:r w:rsidRPr="002C1E2B">
        <w:rPr>
          <w:b/>
          <w:bCs/>
          <w:i/>
          <w:iCs/>
        </w:rPr>
        <w:t>Minimising compliance burden on the sector</w:t>
      </w:r>
      <w:r w:rsidRPr="002C1E2B">
        <w:t xml:space="preserve"> – the option results in a small amount ongoing compliances costs associated with regulations covering the </w:t>
      </w:r>
      <w:r w:rsidR="00B073EF">
        <w:t>content and layout of contracts;</w:t>
      </w:r>
    </w:p>
    <w:p w14:paraId="592775EB" w14:textId="77777777" w:rsidR="00B073EF" w:rsidRDefault="00B073EF" w:rsidP="00B073EF">
      <w:pPr>
        <w:pStyle w:val="ListBullet"/>
      </w:pPr>
      <w:r w:rsidRPr="002C1E2B">
        <w:rPr>
          <w:b/>
          <w:i/>
        </w:rPr>
        <w:t>Minimising retrospective changes to non-owner residents’ contractual arrangements –</w:t>
      </w:r>
      <w:r w:rsidRPr="002C1E2B">
        <w:t xml:space="preserve"> the preferred option does not result in any retrospective changes to the conditions of existing retirement village residents, which would make them financially worse-off; </w:t>
      </w:r>
    </w:p>
    <w:p w14:paraId="59E39F19" w14:textId="77777777" w:rsidR="00B073EF" w:rsidRDefault="00B073EF" w:rsidP="00B073EF">
      <w:pPr>
        <w:pStyle w:val="ListBullet"/>
      </w:pPr>
      <w:r w:rsidRPr="00B073EF">
        <w:rPr>
          <w:b/>
          <w:i/>
        </w:rPr>
        <w:t>Ensuring the ongoing viability of the sector –</w:t>
      </w:r>
      <w:r w:rsidRPr="002C1E2B">
        <w:t xml:space="preserve"> the preferred option retains exemptions to the six month rule and this more than offsets the cost of the proposed changes to the aged care rule, which results in the sector being financially better off than under the base case; </w:t>
      </w:r>
      <w:r>
        <w:t>and</w:t>
      </w:r>
    </w:p>
    <w:p w14:paraId="0C5B5D0C" w14:textId="77777777" w:rsidR="00B073EF" w:rsidRPr="002C1E2B" w:rsidRDefault="00B073EF" w:rsidP="00B073EF">
      <w:pPr>
        <w:pStyle w:val="ListBullet"/>
        <w:spacing w:after="240"/>
      </w:pPr>
      <w:r w:rsidRPr="00B073EF">
        <w:rPr>
          <w:b/>
          <w:i/>
        </w:rPr>
        <w:t>Providing non-owner residents with the appropriate level of choice of aged care payment when entering into aged care –</w:t>
      </w:r>
      <w:r w:rsidRPr="002C1E2B">
        <w:t xml:space="preserve"> the preferred option does not reduce the choice </w:t>
      </w:r>
      <w:r w:rsidRPr="002C1E2B">
        <w:lastRenderedPageBreak/>
        <w:t>that current non-owner residents will have on how they will pay for aged care. It does, however, reduce t</w:t>
      </w:r>
      <w:r>
        <w:t>he choice for future residents.</w:t>
      </w:r>
    </w:p>
    <w:p w14:paraId="280D5C78" w14:textId="231E5CFF" w:rsidR="00610577" w:rsidRPr="002C1E2B" w:rsidRDefault="00610577" w:rsidP="00610577">
      <w:pPr>
        <w:pStyle w:val="BodyText"/>
      </w:pPr>
      <w:r w:rsidRPr="002C1E2B">
        <w:t xml:space="preserve">The preferred option balances the financial impact between residents and RV operators. Under the preferred option, the total financial impact on </w:t>
      </w:r>
      <w:r w:rsidRPr="002C1E2B">
        <w:rPr>
          <w:rFonts w:ascii="Times New Roman" w:eastAsia="MS PMincho" w:hAnsi="Times New Roman"/>
        </w:rPr>
        <w:t xml:space="preserve">non-owner </w:t>
      </w:r>
      <w:r w:rsidRPr="002C1E2B">
        <w:t>residents will be -$2.1 million per annum and the total financial impact on RV operators will be +$2.6 million per annum.</w:t>
      </w:r>
      <w:r w:rsidRPr="002C1E2B">
        <w:rPr>
          <w:rStyle w:val="FootnoteReference"/>
          <w:lang w:val="en-AU"/>
        </w:rPr>
        <w:footnoteReference w:id="2"/>
      </w:r>
      <w:r w:rsidRPr="002C1E2B">
        <w:t xml:space="preserve"> The net financial impact on society of the preferred option is relatively small (+$0.5 million per annum) as financial </w:t>
      </w:r>
      <w:r w:rsidRPr="002C1E2B">
        <w:rPr>
          <w:rStyle w:val="field-content"/>
        </w:rPr>
        <w:t xml:space="preserve">impacts relate mainly to transfers between village operators and residents. On an individual basis, current </w:t>
      </w:r>
      <w:r w:rsidRPr="002C1E2B">
        <w:rPr>
          <w:rFonts w:ascii="Times New Roman" w:eastAsia="MS PMincho" w:hAnsi="Times New Roman"/>
        </w:rPr>
        <w:t>non-owner</w:t>
      </w:r>
      <w:r w:rsidRPr="002C1E2B">
        <w:rPr>
          <w:rStyle w:val="field-content"/>
        </w:rPr>
        <w:t xml:space="preserve"> residents are expected to be at most only $824 worse-off, on average, than under the current arrangements. However, in extreme cases</w:t>
      </w:r>
      <w:r w:rsidR="00B3484D">
        <w:rPr>
          <w:rStyle w:val="field-content"/>
        </w:rPr>
        <w:t xml:space="preserve"> (such as an exit entitlement of $500,000 and two years until sale), a </w:t>
      </w:r>
      <w:r w:rsidRPr="002C1E2B">
        <w:rPr>
          <w:rFonts w:ascii="Times New Roman" w:eastAsia="MS PMincho" w:hAnsi="Times New Roman"/>
        </w:rPr>
        <w:t xml:space="preserve">non-owner </w:t>
      </w:r>
      <w:r w:rsidRPr="002C1E2B">
        <w:rPr>
          <w:rStyle w:val="field-content"/>
        </w:rPr>
        <w:t xml:space="preserve">residents </w:t>
      </w:r>
      <w:r w:rsidR="00B3484D">
        <w:rPr>
          <w:rStyle w:val="field-content"/>
        </w:rPr>
        <w:t xml:space="preserve">would </w:t>
      </w:r>
      <w:r w:rsidRPr="002C1E2B">
        <w:rPr>
          <w:rStyle w:val="field-content"/>
        </w:rPr>
        <w:t>be $6,607 worse-off</w:t>
      </w:r>
      <w:r w:rsidR="00B3484D">
        <w:rPr>
          <w:rStyle w:val="field-content"/>
        </w:rPr>
        <w:t xml:space="preserve"> </w:t>
      </w:r>
      <w:r w:rsidRPr="002C1E2B">
        <w:rPr>
          <w:rStyle w:val="field-content"/>
        </w:rPr>
        <w:t>than under current arrangements.</w:t>
      </w:r>
    </w:p>
    <w:p w14:paraId="23A12988" w14:textId="77777777" w:rsidR="00610577" w:rsidRPr="002C1E2B" w:rsidRDefault="00610577" w:rsidP="00610577">
      <w:pPr>
        <w:pStyle w:val="BodyText"/>
      </w:pPr>
      <w:r w:rsidRPr="002C1E2B">
        <w:t xml:space="preserve">Under the preferred option, </w:t>
      </w:r>
      <w:r w:rsidRPr="002C1E2B">
        <w:rPr>
          <w:rFonts w:ascii="Times New Roman" w:eastAsia="MS PMincho" w:hAnsi="Times New Roman"/>
        </w:rPr>
        <w:t>non-owner</w:t>
      </w:r>
      <w:r w:rsidRPr="002C1E2B">
        <w:t xml:space="preserve"> residents will be impacted differently by the Regulations depending on whether they are an existing resident, or a new resident moving into a retirement village on or after 1 August 2017. Case studies of Margaret (an existing resident) and Joan (a future resident) have been presented below to illustrate how the operation of the Regulations will affect individual </w:t>
      </w:r>
      <w:r w:rsidRPr="002C1E2B">
        <w:rPr>
          <w:rFonts w:ascii="Times New Roman" w:eastAsia="MS PMincho" w:hAnsi="Times New Roman"/>
        </w:rPr>
        <w:t xml:space="preserve">non-owner </w:t>
      </w:r>
      <w:r w:rsidRPr="002C1E2B">
        <w:t>residents moving to aged care.</w:t>
      </w:r>
    </w:p>
    <w:p w14:paraId="78C31A3F" w14:textId="2FEE1B97" w:rsidR="00783531" w:rsidRPr="002C1E2B" w:rsidRDefault="00783531" w:rsidP="00783531">
      <w:pPr>
        <w:pStyle w:val="Caption"/>
        <w:spacing w:after="120"/>
      </w:pPr>
      <w:r w:rsidRPr="002C1E2B">
        <w:t>Figure E.</w:t>
      </w:r>
      <w:r w:rsidR="00C11D17">
        <w:fldChar w:fldCharType="begin"/>
      </w:r>
      <w:r w:rsidR="00C11D17">
        <w:instrText xml:space="preserve"> STYLEREF 1 \s </w:instrText>
      </w:r>
      <w:r w:rsidR="00C11D17">
        <w:fldChar w:fldCharType="separate"/>
      </w:r>
      <w:r w:rsidR="00BE6CE4">
        <w:rPr>
          <w:noProof/>
        </w:rPr>
        <w:t>1</w:t>
      </w:r>
      <w:r w:rsidR="00C11D17">
        <w:fldChar w:fldCharType="end"/>
      </w:r>
      <w:r w:rsidR="00C11D17">
        <w:t>.</w:t>
      </w:r>
      <w:r w:rsidR="00C11D17">
        <w:fldChar w:fldCharType="begin"/>
      </w:r>
      <w:r w:rsidR="00C11D17">
        <w:instrText xml:space="preserve"> SEQ Figure \* ARABIC \s 1 </w:instrText>
      </w:r>
      <w:r w:rsidR="00C11D17">
        <w:fldChar w:fldCharType="separate"/>
      </w:r>
      <w:r w:rsidR="00BE6CE4">
        <w:rPr>
          <w:noProof/>
        </w:rPr>
        <w:t>1</w:t>
      </w:r>
      <w:r w:rsidR="00C11D17">
        <w:fldChar w:fldCharType="end"/>
      </w:r>
      <w:r w:rsidRPr="002C1E2B">
        <w:t>– Case studies to illustrate the impacts of preferred option</w:t>
      </w:r>
    </w:p>
    <w:p w14:paraId="6FD2ECE7" w14:textId="77777777" w:rsidR="00783531" w:rsidRPr="002C1E2B" w:rsidRDefault="00B65C6C" w:rsidP="00783531">
      <w:pPr>
        <w:spacing w:after="200" w:line="276" w:lineRule="auto"/>
        <w:rPr>
          <w:rFonts w:asciiTheme="majorHAnsi" w:eastAsiaTheme="majorEastAsia" w:hAnsiTheme="majorHAnsi" w:cstheme="majorBidi"/>
        </w:rPr>
      </w:pPr>
      <w:r w:rsidRPr="002C1E2B">
        <w:rPr>
          <w:noProof/>
          <w:lang w:eastAsia="en-AU"/>
        </w:rPr>
        <w:drawing>
          <wp:inline distT="0" distB="0" distL="0" distR="0" wp14:anchorId="3A5A74FE" wp14:editId="3B4718E7">
            <wp:extent cx="5732145" cy="3475990"/>
            <wp:effectExtent l="0" t="0" r="190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2145" cy="3475990"/>
                    </a:xfrm>
                    <a:prstGeom prst="rect">
                      <a:avLst/>
                    </a:prstGeom>
                    <a:noFill/>
                    <a:ln>
                      <a:noFill/>
                    </a:ln>
                  </pic:spPr>
                </pic:pic>
              </a:graphicData>
            </a:graphic>
          </wp:inline>
        </w:drawing>
      </w:r>
    </w:p>
    <w:p w14:paraId="09D74A17" w14:textId="77777777" w:rsidR="00863E4B" w:rsidRDefault="00FB538F" w:rsidP="00B66202">
      <w:pPr>
        <w:pStyle w:val="BodyText"/>
      </w:pPr>
      <w:r w:rsidRPr="00FB538F">
        <w:t>The total impacts on RV operators and residents will also vary over time</w:t>
      </w:r>
      <w:r>
        <w:t xml:space="preserve">. </w:t>
      </w:r>
      <w:r w:rsidR="00863E4B">
        <w:t xml:space="preserve">As explained in the options analysis </w:t>
      </w:r>
      <w:r w:rsidR="003D7600">
        <w:t>and in</w:t>
      </w:r>
      <w:r w:rsidR="00863E4B">
        <w:t xml:space="preserve"> Appendix E, t</w:t>
      </w:r>
      <w:r>
        <w:t xml:space="preserve">his is a result of changes in the population of residents </w:t>
      </w:r>
      <w:r w:rsidR="00525845">
        <w:t>who are eligible for a RAD-based aged care rule payment and a DAP-based aged care rule payment over time.</w:t>
      </w:r>
      <w:r>
        <w:t xml:space="preserve"> </w:t>
      </w:r>
    </w:p>
    <w:p w14:paraId="234204B0" w14:textId="77777777" w:rsidR="00FB538F" w:rsidRDefault="00FB538F" w:rsidP="00263234">
      <w:pPr>
        <w:pStyle w:val="BodyText"/>
      </w:pPr>
      <w:r>
        <w:lastRenderedPageBreak/>
        <w:t xml:space="preserve">For example, compared to base case </w:t>
      </w:r>
      <w:r w:rsidR="00525845">
        <w:t>where the Regulations have expired</w:t>
      </w:r>
      <w:r>
        <w:t>:</w:t>
      </w:r>
    </w:p>
    <w:p w14:paraId="36BA8D7C" w14:textId="77777777" w:rsidR="00FB538F" w:rsidRDefault="00525845" w:rsidP="00263234">
      <w:pPr>
        <w:pStyle w:val="ListBullet"/>
      </w:pPr>
      <w:r>
        <w:t>R</w:t>
      </w:r>
      <w:r w:rsidR="00FB538F">
        <w:t xml:space="preserve">esidents as a group will be better off by as much as </w:t>
      </w:r>
      <w:r>
        <w:t>$5.7 million</w:t>
      </w:r>
      <w:r w:rsidR="00FB538F">
        <w:t xml:space="preserve"> in 2021, and will be worse off by as much as $7</w:t>
      </w:r>
      <w:r>
        <w:t xml:space="preserve">.0 </w:t>
      </w:r>
      <w:r w:rsidR="00FB538F">
        <w:t>m</w:t>
      </w:r>
      <w:r>
        <w:t>illion</w:t>
      </w:r>
      <w:r w:rsidR="00FB538F">
        <w:t xml:space="preserve"> in 2032; and</w:t>
      </w:r>
    </w:p>
    <w:p w14:paraId="2DD294B5" w14:textId="77777777" w:rsidR="00FB538F" w:rsidRDefault="00FB538F" w:rsidP="00263234">
      <w:pPr>
        <w:pStyle w:val="ListBullet"/>
        <w:spacing w:after="240"/>
      </w:pPr>
      <w:r>
        <w:t>RV operators</w:t>
      </w:r>
      <w:r w:rsidR="00863E4B">
        <w:t xml:space="preserve"> as a group</w:t>
      </w:r>
      <w:r>
        <w:t xml:space="preserve"> will be as much as </w:t>
      </w:r>
      <w:r w:rsidR="00525845">
        <w:t>$4.9 million</w:t>
      </w:r>
      <w:r>
        <w:t xml:space="preserve"> worse off in 2021 and as much as </w:t>
      </w:r>
      <w:r w:rsidR="00525845">
        <w:t>$7.0 million</w:t>
      </w:r>
      <w:r>
        <w:t xml:space="preserve"> better off in 2032.</w:t>
      </w:r>
    </w:p>
    <w:p w14:paraId="029FA240" w14:textId="77777777" w:rsidR="00FB538F" w:rsidRPr="000F44C5" w:rsidRDefault="00FB538F" w:rsidP="00263234">
      <w:pPr>
        <w:pStyle w:val="BodyText"/>
      </w:pPr>
      <w:r w:rsidRPr="00B66202">
        <w:t xml:space="preserve">Compared to the current </w:t>
      </w:r>
      <w:r w:rsidR="00263234">
        <w:t>R</w:t>
      </w:r>
      <w:r w:rsidRPr="00B66202">
        <w:t>egulations</w:t>
      </w:r>
      <w:r w:rsidR="00525845" w:rsidRPr="00B66202">
        <w:t>, under the preferred option</w:t>
      </w:r>
      <w:r w:rsidR="00863E4B" w:rsidRPr="0075689E">
        <w:t>:</w:t>
      </w:r>
    </w:p>
    <w:p w14:paraId="41201118" w14:textId="77777777" w:rsidR="00863E4B" w:rsidRPr="003D4A5F" w:rsidRDefault="00525845" w:rsidP="00263234">
      <w:pPr>
        <w:pStyle w:val="ListBullet"/>
      </w:pPr>
      <w:r>
        <w:t>R</w:t>
      </w:r>
      <w:r w:rsidR="00863E4B" w:rsidRPr="00B66202">
        <w:t xml:space="preserve">esidents as a group will initially be worse off by </w:t>
      </w:r>
      <w:r w:rsidRPr="0075689E">
        <w:t>$0.5 million in 2018</w:t>
      </w:r>
      <w:r w:rsidR="00863E4B" w:rsidRPr="000F44C5">
        <w:t xml:space="preserve"> , and will be worse off by as much as </w:t>
      </w:r>
      <w:r w:rsidRPr="000F44C5">
        <w:t>$5.5 million</w:t>
      </w:r>
      <w:r w:rsidR="00863E4B" w:rsidRPr="003D4A5F">
        <w:t xml:space="preserve"> in 2032; and</w:t>
      </w:r>
    </w:p>
    <w:p w14:paraId="063CA722" w14:textId="77777777" w:rsidR="00863E4B" w:rsidRPr="0075689E" w:rsidRDefault="00863E4B" w:rsidP="00263234">
      <w:pPr>
        <w:pStyle w:val="ListBullet"/>
        <w:spacing w:after="240"/>
      </w:pPr>
      <w:r w:rsidRPr="003D4A5F">
        <w:t xml:space="preserve">RV operators as a group will be up to </w:t>
      </w:r>
      <w:r w:rsidR="00525845">
        <w:t>$4.6 million</w:t>
      </w:r>
      <w:r w:rsidRPr="00B66202">
        <w:t xml:space="preserve"> worse off in 2021, and up to </w:t>
      </w:r>
      <w:r w:rsidR="00525845">
        <w:t>$7.2 million</w:t>
      </w:r>
      <w:r w:rsidRPr="00B66202">
        <w:t xml:space="preserve"> better off in 2032.</w:t>
      </w:r>
    </w:p>
    <w:p w14:paraId="5FE46C8F" w14:textId="77777777" w:rsidR="00610577" w:rsidRPr="002C1E2B" w:rsidRDefault="00610577" w:rsidP="00610577">
      <w:pPr>
        <w:pStyle w:val="HeadingU4"/>
      </w:pPr>
      <w:r w:rsidRPr="002C1E2B">
        <w:t>Consultation</w:t>
      </w:r>
    </w:p>
    <w:p w14:paraId="5925A667" w14:textId="77777777" w:rsidR="00610577" w:rsidRPr="002C1E2B" w:rsidRDefault="00610577" w:rsidP="00610577">
      <w:pPr>
        <w:pStyle w:val="BodyText"/>
      </w:pPr>
      <w:r w:rsidRPr="002C1E2B">
        <w:t xml:space="preserve">CAV has consulted extensively with industry bodies and resident groups throughout the policy development process on the proposed changes to the Regulations, both during the design of the options and during the development of the RIS. </w:t>
      </w:r>
    </w:p>
    <w:p w14:paraId="146DB24F" w14:textId="359F2024" w:rsidR="00610577" w:rsidRPr="002C1E2B" w:rsidRDefault="003C6334" w:rsidP="00610577">
      <w:pPr>
        <w:pStyle w:val="BodyText"/>
      </w:pPr>
      <w:r>
        <w:t xml:space="preserve">This RIS will be open for public </w:t>
      </w:r>
      <w:r w:rsidR="00610577" w:rsidRPr="002C1E2B">
        <w:t xml:space="preserve">consultation </w:t>
      </w:r>
      <w:r>
        <w:t xml:space="preserve">for a </w:t>
      </w:r>
      <w:r w:rsidR="00610577" w:rsidRPr="002C1E2B">
        <w:t xml:space="preserve">period </w:t>
      </w:r>
      <w:r w:rsidRPr="002F7C8E">
        <w:t>of</w:t>
      </w:r>
      <w:r w:rsidR="00610577" w:rsidRPr="002F7C8E">
        <w:t xml:space="preserve"> </w:t>
      </w:r>
      <w:r w:rsidR="002F7C8E" w:rsidRPr="002F7C8E">
        <w:t>30</w:t>
      </w:r>
      <w:r w:rsidR="00610577" w:rsidRPr="002F7C8E">
        <w:t xml:space="preserve"> days, from </w:t>
      </w:r>
      <w:r w:rsidR="002F7C8E" w:rsidRPr="002F7C8E">
        <w:t>29 March</w:t>
      </w:r>
      <w:r w:rsidR="00610577" w:rsidRPr="002F7C8E">
        <w:t xml:space="preserve"> 2017 to </w:t>
      </w:r>
      <w:bookmarkStart w:id="19" w:name="_GoBack"/>
      <w:r w:rsidR="002F7C8E" w:rsidRPr="002F7C8E">
        <w:t>28 April</w:t>
      </w:r>
      <w:bookmarkEnd w:id="19"/>
      <w:r w:rsidR="002F7C8E" w:rsidRPr="002F7C8E">
        <w:t xml:space="preserve"> 2017</w:t>
      </w:r>
      <w:r w:rsidR="00610577" w:rsidRPr="002F7C8E">
        <w:t>.</w:t>
      </w:r>
      <w:r w:rsidR="00610577" w:rsidRPr="002C1E2B">
        <w:t xml:space="preserve"> Notice of the proposed Regulations and the RIS has been published in the Government Gazette and a daily newspaper circulating generally throughout Victoria, as required under the </w:t>
      </w:r>
      <w:r w:rsidR="00610577" w:rsidRPr="002C1E2B">
        <w:rPr>
          <w:i/>
        </w:rPr>
        <w:t>Subordinate Legislation Act 1994</w:t>
      </w:r>
      <w:r w:rsidR="00610577" w:rsidRPr="002C1E2B">
        <w:t xml:space="preserve">. The proposed Regulations and the RIS have been published on the CAV website and will be circulated to the industry bodies and resident groups who have participated in the reform process to-date. Additionally, a letter will be sent to retirement villages registered with CAV advising operators of the public consultation on the RIS and the proposed Regulations.  </w:t>
      </w:r>
    </w:p>
    <w:p w14:paraId="4F5E41F6" w14:textId="77777777" w:rsidR="00610577" w:rsidRPr="002C1E2B" w:rsidRDefault="00610577" w:rsidP="00610577">
      <w:pPr>
        <w:pStyle w:val="HeadingU4"/>
      </w:pPr>
      <w:r w:rsidRPr="002C1E2B">
        <w:t>Implementation and evaluation</w:t>
      </w:r>
    </w:p>
    <w:p w14:paraId="6E155C39" w14:textId="77777777" w:rsidR="00610577" w:rsidRPr="002C1E2B" w:rsidRDefault="00610577" w:rsidP="00610577">
      <w:pPr>
        <w:pStyle w:val="BodyText"/>
      </w:pPr>
      <w:r w:rsidRPr="002C1E2B">
        <w:t xml:space="preserve">It is proposed that the existing Regulations will be remade, with amendments to the aged care rule, as set out in Appendix </w:t>
      </w:r>
      <w:r w:rsidR="0094638B" w:rsidRPr="002C1E2B">
        <w:t>I</w:t>
      </w:r>
      <w:r w:rsidRPr="002C1E2B">
        <w:t xml:space="preserve"> and that the Regulations will commence on 1 August 2017. As CAV has already conducted extensive consultation with industry bodies and resident </w:t>
      </w:r>
      <w:r w:rsidR="00462A39">
        <w:t xml:space="preserve">groups </w:t>
      </w:r>
      <w:r w:rsidRPr="002C1E2B">
        <w:t>and as there will only be limited changes to the current Regulations, a transition period is not considered necessary.</w:t>
      </w:r>
    </w:p>
    <w:p w14:paraId="447FD917" w14:textId="77777777" w:rsidR="00610577" w:rsidRPr="002C1E2B" w:rsidRDefault="00610577" w:rsidP="00610577">
      <w:pPr>
        <w:pStyle w:val="BodyText"/>
      </w:pPr>
      <w:r w:rsidRPr="002C1E2B">
        <w:t>Following the formal consultation period on this RIS, CAV will continue to keep the retirement village sector and key stakeholders informed of the proposed changes by:</w:t>
      </w:r>
    </w:p>
    <w:p w14:paraId="77B80DDC" w14:textId="77777777" w:rsidR="00610577" w:rsidRPr="002C1E2B" w:rsidRDefault="00610577" w:rsidP="00610577">
      <w:pPr>
        <w:pStyle w:val="ListBullet"/>
      </w:pPr>
      <w:r w:rsidRPr="002C1E2B">
        <w:t xml:space="preserve">Writing to the registered retirement villages, industry bodies and resident groups with an information pack detailing the changes to the Regulations; </w:t>
      </w:r>
    </w:p>
    <w:p w14:paraId="6AF8AE33" w14:textId="77777777" w:rsidR="00610577" w:rsidRPr="002C1E2B" w:rsidRDefault="00610577" w:rsidP="00610577">
      <w:pPr>
        <w:pStyle w:val="ListBullet"/>
      </w:pPr>
      <w:r w:rsidRPr="002C1E2B">
        <w:t xml:space="preserve">Updating the CAV website and communications materials; and </w:t>
      </w:r>
    </w:p>
    <w:p w14:paraId="613FCF57" w14:textId="77777777" w:rsidR="00610577" w:rsidRPr="002C1E2B" w:rsidRDefault="00610577" w:rsidP="00610577">
      <w:pPr>
        <w:pStyle w:val="ListBullet"/>
        <w:spacing w:after="240"/>
      </w:pPr>
      <w:r w:rsidRPr="002C1E2B">
        <w:t xml:space="preserve">Updating CAV’s </w:t>
      </w:r>
      <w:r w:rsidRPr="002C1E2B">
        <w:rPr>
          <w:i/>
        </w:rPr>
        <w:t>Guide to choosing and living in a retirement village</w:t>
      </w:r>
      <w:r w:rsidRPr="002C1E2B">
        <w:t>.</w:t>
      </w:r>
    </w:p>
    <w:p w14:paraId="68021D56" w14:textId="77777777" w:rsidR="00610577" w:rsidRPr="002C1E2B" w:rsidRDefault="00610577" w:rsidP="00610577">
      <w:pPr>
        <w:pStyle w:val="BodyText"/>
      </w:pPr>
      <w:r w:rsidRPr="002C1E2B">
        <w:t xml:space="preserve">CAV currently evaluates the effectiveness of the Regulations using feedback through stakeholder forums and dispute and complaints monitoring. It is proposed that this approach </w:t>
      </w:r>
      <w:r w:rsidRPr="002C1E2B">
        <w:lastRenderedPageBreak/>
        <w:t>is continued for the new Regulations. CAV will monitor the effectiveness of the Regulations through key indicators such as:</w:t>
      </w:r>
    </w:p>
    <w:p w14:paraId="342C5930" w14:textId="77777777" w:rsidR="00610577" w:rsidRPr="002C1E2B" w:rsidRDefault="00610577" w:rsidP="00610577">
      <w:pPr>
        <w:pStyle w:val="ListBullet"/>
      </w:pPr>
      <w:r w:rsidRPr="002C1E2B">
        <w:t>The number of retirement village related complaints made to CAV;</w:t>
      </w:r>
    </w:p>
    <w:p w14:paraId="24666453" w14:textId="77777777" w:rsidR="00610577" w:rsidRPr="002C1E2B" w:rsidRDefault="00610577" w:rsidP="00610577">
      <w:pPr>
        <w:pStyle w:val="ListBullet"/>
      </w:pPr>
      <w:r w:rsidRPr="002C1E2B">
        <w:t>The number of applications by RV operators to VCAT for financial hardship;</w:t>
      </w:r>
    </w:p>
    <w:p w14:paraId="07238E7C" w14:textId="77777777" w:rsidR="00610577" w:rsidRPr="002C1E2B" w:rsidRDefault="00610577" w:rsidP="00610577">
      <w:pPr>
        <w:pStyle w:val="ListBullet"/>
      </w:pPr>
      <w:r w:rsidRPr="002C1E2B">
        <w:t>Outcomes from random audits on retirement villages conducted by CAV;</w:t>
      </w:r>
    </w:p>
    <w:p w14:paraId="7A1DE5B6" w14:textId="77777777" w:rsidR="00610577" w:rsidRPr="002C1E2B" w:rsidRDefault="00610577" w:rsidP="00610577">
      <w:pPr>
        <w:pStyle w:val="ListBullet"/>
      </w:pPr>
      <w:r w:rsidRPr="002C1E2B">
        <w:t>Industry data on aged care rule and six month rule payments; and</w:t>
      </w:r>
    </w:p>
    <w:p w14:paraId="68027FEF" w14:textId="77777777" w:rsidR="001E6D6D" w:rsidRPr="002C1E2B" w:rsidRDefault="00610577" w:rsidP="00610577">
      <w:pPr>
        <w:pStyle w:val="ListBullet"/>
      </w:pPr>
      <w:r w:rsidRPr="002C1E2B">
        <w:t>Industry data on the time taken to sell a retirement village unit</w:t>
      </w:r>
      <w:r w:rsidR="00EF6C0A" w:rsidRPr="002C1E2B">
        <w:t>.</w:t>
      </w:r>
    </w:p>
    <w:p w14:paraId="42F2E797" w14:textId="77777777" w:rsidR="00B04231" w:rsidRPr="002C1E2B" w:rsidRDefault="00B04231" w:rsidP="00B04231">
      <w:pPr>
        <w:pStyle w:val="BodyText"/>
        <w:sectPr w:rsidR="00B04231" w:rsidRPr="002C1E2B" w:rsidSect="00780AD9">
          <w:pgSz w:w="11907" w:h="16839" w:code="1"/>
          <w:pgMar w:top="1915" w:right="1440" w:bottom="1440" w:left="1440" w:header="835" w:footer="202" w:gutter="0"/>
          <w:pgNumType w:fmt="lowerRoman"/>
          <w:cols w:space="708"/>
          <w:docGrid w:linePitch="360"/>
        </w:sectPr>
      </w:pPr>
    </w:p>
    <w:p w14:paraId="7BAB57AE" w14:textId="77777777" w:rsidR="00136D7F" w:rsidRPr="002C1E2B" w:rsidRDefault="005B1DE2" w:rsidP="00F4150B">
      <w:pPr>
        <w:pStyle w:val="Heading1"/>
      </w:pPr>
      <w:bookmarkStart w:id="20" w:name="xxChapter"/>
      <w:bookmarkStart w:id="21" w:name="_Toc476739254"/>
      <w:bookmarkStart w:id="22" w:name="_Toc476585808"/>
      <w:bookmarkEnd w:id="13"/>
      <w:bookmarkEnd w:id="20"/>
      <w:r w:rsidRPr="002C1E2B">
        <w:lastRenderedPageBreak/>
        <w:t>Background</w:t>
      </w:r>
      <w:bookmarkEnd w:id="21"/>
      <w:bookmarkEnd w:id="22"/>
    </w:p>
    <w:p w14:paraId="774FA784" w14:textId="77777777" w:rsidR="00166B4D" w:rsidRPr="002C1E2B" w:rsidRDefault="005B1DE2" w:rsidP="00166B4D">
      <w:pPr>
        <w:pStyle w:val="BodyText"/>
        <w:rPr>
          <w:i/>
        </w:rPr>
      </w:pPr>
      <w:r w:rsidRPr="002C1E2B">
        <w:rPr>
          <w:i/>
        </w:rPr>
        <w:t xml:space="preserve">This chapter </w:t>
      </w:r>
      <w:r w:rsidR="00DF6909" w:rsidRPr="002C1E2B">
        <w:rPr>
          <w:i/>
        </w:rPr>
        <w:t xml:space="preserve">provides </w:t>
      </w:r>
      <w:r w:rsidR="005A588C" w:rsidRPr="002C1E2B">
        <w:rPr>
          <w:i/>
        </w:rPr>
        <w:t xml:space="preserve">an overview of </w:t>
      </w:r>
      <w:r w:rsidR="00213082" w:rsidRPr="002C1E2B">
        <w:rPr>
          <w:i/>
        </w:rPr>
        <w:t>the retirement village sector in Victoria, including its</w:t>
      </w:r>
      <w:r w:rsidR="005A588C" w:rsidRPr="002C1E2B">
        <w:rPr>
          <w:i/>
        </w:rPr>
        <w:t xml:space="preserve"> legislative and regulatory framework.</w:t>
      </w:r>
    </w:p>
    <w:p w14:paraId="45DA7627" w14:textId="77777777" w:rsidR="00A4333D" w:rsidRPr="002C1E2B" w:rsidRDefault="00A4333D" w:rsidP="00D1019D">
      <w:pPr>
        <w:pStyle w:val="Heading2"/>
      </w:pPr>
      <w:bookmarkStart w:id="23" w:name="_Toc476739255"/>
      <w:bookmarkStart w:id="24" w:name="_Toc476585809"/>
      <w:bookmarkStart w:id="25" w:name="_Toc469061130"/>
      <w:r w:rsidRPr="002C1E2B">
        <w:t>Overview of the retirement village sector</w:t>
      </w:r>
      <w:bookmarkEnd w:id="23"/>
      <w:bookmarkEnd w:id="24"/>
    </w:p>
    <w:p w14:paraId="68F3921A" w14:textId="77777777" w:rsidR="003D236D" w:rsidRPr="002C1E2B" w:rsidRDefault="003D236D" w:rsidP="003D236D">
      <w:pPr>
        <w:pStyle w:val="BodyText"/>
      </w:pPr>
      <w:r w:rsidRPr="002C1E2B">
        <w:t xml:space="preserve">The retirement village sector in Victoria provides accommodation for retirees in a community setting. Retirement villages are generally small to medium sized residential areas, or ‘villages’, with independent accommodation units and communal amenities. These villages are operated and managed by commercial and not-for-profit entities that generally provide a level of maintenance and emergency care. </w:t>
      </w:r>
    </w:p>
    <w:p w14:paraId="6338EAC7" w14:textId="77777777" w:rsidR="003D236D" w:rsidRPr="002C1E2B" w:rsidRDefault="003D236D" w:rsidP="003D236D">
      <w:pPr>
        <w:pStyle w:val="BodyText"/>
        <w:rPr>
          <w:rFonts w:eastAsia="PMingLiU"/>
          <w:lang w:eastAsia="zh-MO"/>
        </w:rPr>
      </w:pPr>
      <w:r w:rsidRPr="002C1E2B">
        <w:rPr>
          <w:rFonts w:eastAsia="PMingLiU"/>
          <w:lang w:eastAsia="zh-MO"/>
        </w:rPr>
        <w:t>The majority of residents in retirement villages are non-owner residents with long-term leasing arrangements with their retirement village operator (approximately 8</w:t>
      </w:r>
      <w:r w:rsidR="00E90384" w:rsidRPr="002C1E2B">
        <w:rPr>
          <w:rFonts w:eastAsia="PMingLiU"/>
          <w:lang w:eastAsia="zh-MO"/>
        </w:rPr>
        <w:t>5</w:t>
      </w:r>
      <w:r w:rsidRPr="002C1E2B">
        <w:rPr>
          <w:rFonts w:eastAsia="PMingLiU"/>
          <w:lang w:eastAsia="zh-MO"/>
        </w:rPr>
        <w:t xml:space="preserve"> per cent of villages use these types of arrangements).</w:t>
      </w:r>
      <w:r w:rsidRPr="002C1E2B">
        <w:rPr>
          <w:rStyle w:val="FootnoteReference"/>
          <w:rFonts w:eastAsia="PMingLiU"/>
          <w:lang w:val="en-AU"/>
        </w:rPr>
        <w:footnoteReference w:id="3"/>
      </w:r>
      <w:r w:rsidRPr="002C1E2B">
        <w:rPr>
          <w:rFonts w:eastAsia="PMingLiU"/>
          <w:lang w:eastAsia="zh-MO"/>
        </w:rPr>
        <w:t xml:space="preserve"> However, </w:t>
      </w:r>
      <w:r w:rsidR="003C6334">
        <w:rPr>
          <w:rFonts w:eastAsia="PMingLiU"/>
          <w:lang w:eastAsia="zh-MO"/>
        </w:rPr>
        <w:t xml:space="preserve">there are also </w:t>
      </w:r>
      <w:r w:rsidRPr="002C1E2B">
        <w:rPr>
          <w:rFonts w:eastAsia="PMingLiU"/>
          <w:lang w:eastAsia="zh-MO"/>
        </w:rPr>
        <w:t>other</w:t>
      </w:r>
      <w:r w:rsidR="003C6334">
        <w:rPr>
          <w:rFonts w:eastAsia="PMingLiU"/>
          <w:lang w:eastAsia="zh-MO"/>
        </w:rPr>
        <w:t>, less common</w:t>
      </w:r>
      <w:r w:rsidRPr="002C1E2B">
        <w:rPr>
          <w:rFonts w:eastAsia="PMingLiU"/>
          <w:lang w:eastAsia="zh-MO"/>
        </w:rPr>
        <w:t xml:space="preserve"> forms of residency contracting include strata, unit or company titles (where residents purchase and have </w:t>
      </w:r>
      <w:r w:rsidR="00C47EB4" w:rsidRPr="002C1E2B">
        <w:rPr>
          <w:rFonts w:ascii="Times New Roman" w:eastAsia="PMingLiU" w:hAnsi="Times New Roman"/>
          <w:lang w:eastAsia="zh-MO"/>
        </w:rPr>
        <w:t xml:space="preserve">some form of </w:t>
      </w:r>
      <w:r w:rsidRPr="002C1E2B">
        <w:rPr>
          <w:rFonts w:eastAsia="PMingLiU"/>
          <w:lang w:eastAsia="zh-MO"/>
        </w:rPr>
        <w:t>ownership of a unit), and perio</w:t>
      </w:r>
      <w:r w:rsidR="00C47EB4" w:rsidRPr="002C1E2B">
        <w:rPr>
          <w:rFonts w:eastAsia="PMingLiU"/>
          <w:lang w:eastAsia="zh-MO"/>
        </w:rPr>
        <w:t>dic</w:t>
      </w:r>
      <w:r w:rsidRPr="002C1E2B">
        <w:rPr>
          <w:rFonts w:eastAsia="PMingLiU"/>
          <w:lang w:eastAsia="zh-MO"/>
        </w:rPr>
        <w:t xml:space="preserve"> tenancy arrangements.</w:t>
      </w:r>
      <w:r w:rsidR="00AC3672" w:rsidRPr="002C1E2B">
        <w:rPr>
          <w:rFonts w:eastAsia="PMingLiU"/>
          <w:lang w:eastAsia="zh-MO"/>
        </w:rPr>
        <w:t xml:space="preserve"> Contractual and financial arrangements for leasing or buying a retirement village unit can be complicated and retirement villages require a range of fees and charges to enter, live in and exit a retirement village (including a substantial in-going contribution).</w:t>
      </w:r>
      <w:r w:rsidR="00AC3672" w:rsidRPr="002C1E2B">
        <w:rPr>
          <w:rStyle w:val="FootnoteReference"/>
          <w:rFonts w:eastAsia="PMingLiU"/>
          <w:lang w:val="en-AU"/>
        </w:rPr>
        <w:footnoteReference w:id="4"/>
      </w:r>
    </w:p>
    <w:p w14:paraId="1993AD63" w14:textId="77777777" w:rsidR="003D236D" w:rsidRPr="002C1E2B" w:rsidRDefault="003D236D" w:rsidP="003D236D">
      <w:pPr>
        <w:pStyle w:val="BodyText"/>
        <w:spacing w:before="240"/>
        <w:rPr>
          <w:rFonts w:eastAsia="PMingLiU"/>
          <w:lang w:eastAsia="zh-MO"/>
        </w:rPr>
      </w:pPr>
      <w:r w:rsidRPr="002C1E2B">
        <w:t>Retirement villages are distinct from other types of community-based accommodation facilities (such as residential aged care, residential parks or rental villages) and operate under a separate legislative framework.</w:t>
      </w:r>
    </w:p>
    <w:p w14:paraId="516F6151" w14:textId="77777777" w:rsidR="005A588C" w:rsidRPr="002C1E2B" w:rsidRDefault="005A588C" w:rsidP="00D1019D">
      <w:pPr>
        <w:pStyle w:val="Heading2"/>
      </w:pPr>
      <w:bookmarkStart w:id="26" w:name="_Toc476739256"/>
      <w:bookmarkStart w:id="27" w:name="_Toc476585810"/>
      <w:r w:rsidRPr="002C1E2B">
        <w:t>Legislative and regulatory framework</w:t>
      </w:r>
      <w:bookmarkEnd w:id="26"/>
      <w:bookmarkEnd w:id="27"/>
    </w:p>
    <w:p w14:paraId="38F53CAA" w14:textId="77777777" w:rsidR="007F2661" w:rsidRPr="002C1E2B" w:rsidRDefault="001472A2" w:rsidP="001472A2">
      <w:pPr>
        <w:pStyle w:val="BodyText"/>
        <w:rPr>
          <w:rFonts w:eastAsia="PMingLiU"/>
          <w:lang w:eastAsia="zh-MO"/>
        </w:rPr>
      </w:pPr>
      <w:r w:rsidRPr="002C1E2B">
        <w:rPr>
          <w:rFonts w:eastAsia="PMingLiU"/>
          <w:lang w:eastAsia="zh-MO"/>
        </w:rPr>
        <w:t xml:space="preserve">In Victoria, the retirement village </w:t>
      </w:r>
      <w:r w:rsidR="00511DB4" w:rsidRPr="002C1E2B">
        <w:rPr>
          <w:rFonts w:eastAsia="PMingLiU"/>
          <w:lang w:eastAsia="zh-MO"/>
        </w:rPr>
        <w:t>sector</w:t>
      </w:r>
      <w:r w:rsidRPr="002C1E2B">
        <w:rPr>
          <w:rFonts w:eastAsia="PMingLiU"/>
          <w:lang w:eastAsia="zh-MO"/>
        </w:rPr>
        <w:t xml:space="preserve"> is regulated by the </w:t>
      </w:r>
      <w:r w:rsidR="00465124" w:rsidRPr="002C1E2B">
        <w:rPr>
          <w:rFonts w:eastAsia="PMingLiU"/>
          <w:i/>
          <w:lang w:eastAsia="zh-MO"/>
        </w:rPr>
        <w:t>Retirement Village</w:t>
      </w:r>
      <w:r w:rsidR="004E2D1C" w:rsidRPr="002C1E2B">
        <w:rPr>
          <w:rFonts w:eastAsia="PMingLiU"/>
          <w:i/>
          <w:lang w:eastAsia="zh-MO"/>
        </w:rPr>
        <w:t>s</w:t>
      </w:r>
      <w:r w:rsidR="00465124" w:rsidRPr="002C1E2B">
        <w:rPr>
          <w:rFonts w:eastAsia="PMingLiU"/>
          <w:i/>
          <w:lang w:eastAsia="zh-MO"/>
        </w:rPr>
        <w:t xml:space="preserve"> </w:t>
      </w:r>
      <w:r w:rsidRPr="002C1E2B">
        <w:rPr>
          <w:rFonts w:eastAsia="PMingLiU"/>
          <w:i/>
          <w:lang w:eastAsia="zh-MO"/>
        </w:rPr>
        <w:t>Act</w:t>
      </w:r>
      <w:r w:rsidR="00465124" w:rsidRPr="002C1E2B">
        <w:rPr>
          <w:rFonts w:eastAsia="PMingLiU"/>
          <w:i/>
          <w:lang w:eastAsia="zh-MO"/>
        </w:rPr>
        <w:t xml:space="preserve"> 1986</w:t>
      </w:r>
      <w:r w:rsidR="00987B62" w:rsidRPr="002C1E2B">
        <w:rPr>
          <w:rFonts w:eastAsia="PMingLiU"/>
          <w:i/>
          <w:lang w:eastAsia="zh-MO"/>
        </w:rPr>
        <w:t xml:space="preserve"> </w:t>
      </w:r>
      <w:r w:rsidR="00987B62" w:rsidRPr="002C1E2B">
        <w:rPr>
          <w:rFonts w:eastAsia="PMingLiU"/>
          <w:lang w:eastAsia="zh-MO"/>
        </w:rPr>
        <w:t>(the RV</w:t>
      </w:r>
      <w:r w:rsidR="00A56C52" w:rsidRPr="002C1E2B">
        <w:rPr>
          <w:rFonts w:eastAsia="PMingLiU"/>
          <w:lang w:eastAsia="zh-MO"/>
        </w:rPr>
        <w:t xml:space="preserve"> Act</w:t>
      </w:r>
      <w:r w:rsidR="00987B62" w:rsidRPr="002C1E2B">
        <w:rPr>
          <w:rFonts w:eastAsia="PMingLiU"/>
          <w:lang w:eastAsia="zh-MO"/>
        </w:rPr>
        <w:t>)</w:t>
      </w:r>
      <w:r w:rsidR="00465124" w:rsidRPr="002C1E2B">
        <w:rPr>
          <w:rFonts w:eastAsia="PMingLiU"/>
          <w:lang w:eastAsia="zh-MO"/>
        </w:rPr>
        <w:t>,</w:t>
      </w:r>
      <w:r w:rsidRPr="002C1E2B">
        <w:rPr>
          <w:rFonts w:eastAsia="PMingLiU"/>
          <w:lang w:eastAsia="zh-MO"/>
        </w:rPr>
        <w:t xml:space="preserve"> </w:t>
      </w:r>
      <w:r w:rsidR="00465124" w:rsidRPr="002C1E2B">
        <w:rPr>
          <w:rFonts w:eastAsia="PMingLiU"/>
          <w:lang w:eastAsia="zh-MO"/>
        </w:rPr>
        <w:t>the Retirement Village</w:t>
      </w:r>
      <w:r w:rsidR="004E2D1C" w:rsidRPr="002C1E2B">
        <w:rPr>
          <w:rFonts w:eastAsia="PMingLiU"/>
          <w:lang w:eastAsia="zh-MO"/>
        </w:rPr>
        <w:t>s</w:t>
      </w:r>
      <w:r w:rsidR="00465124" w:rsidRPr="002C1E2B">
        <w:rPr>
          <w:rFonts w:eastAsia="PMingLiU"/>
          <w:lang w:eastAsia="zh-MO"/>
        </w:rPr>
        <w:t xml:space="preserve"> (Contractual Arrangements) Regulations 2006</w:t>
      </w:r>
      <w:r w:rsidR="00987B62" w:rsidRPr="002C1E2B">
        <w:rPr>
          <w:rFonts w:eastAsia="PMingLiU"/>
          <w:lang w:eastAsia="zh-MO"/>
        </w:rPr>
        <w:t xml:space="preserve"> (the Regulations)</w:t>
      </w:r>
      <w:r w:rsidR="00465124" w:rsidRPr="002C1E2B">
        <w:rPr>
          <w:rFonts w:eastAsia="PMingLiU"/>
          <w:lang w:eastAsia="zh-MO"/>
        </w:rPr>
        <w:t xml:space="preserve">, </w:t>
      </w:r>
      <w:r w:rsidRPr="002C1E2B">
        <w:rPr>
          <w:rFonts w:eastAsia="PMingLiU"/>
          <w:lang w:eastAsia="zh-MO"/>
        </w:rPr>
        <w:t>and the Retirement Villages (Records and Notices) Regulations 2015</w:t>
      </w:r>
      <w:r w:rsidR="00F00936" w:rsidRPr="002C1E2B">
        <w:rPr>
          <w:rFonts w:eastAsia="PMingLiU"/>
          <w:lang w:eastAsia="zh-MO"/>
        </w:rPr>
        <w:t xml:space="preserve"> (the </w:t>
      </w:r>
      <w:r w:rsidR="00987B62" w:rsidRPr="002C1E2B">
        <w:rPr>
          <w:rFonts w:eastAsia="PMingLiU"/>
          <w:lang w:eastAsia="zh-MO"/>
        </w:rPr>
        <w:t>RN</w:t>
      </w:r>
      <w:r w:rsidR="00D57E95" w:rsidRPr="002C1E2B">
        <w:rPr>
          <w:rFonts w:eastAsia="PMingLiU"/>
          <w:lang w:eastAsia="zh-MO"/>
        </w:rPr>
        <w:t xml:space="preserve"> Regulations</w:t>
      </w:r>
      <w:r w:rsidR="00987B62" w:rsidRPr="002C1E2B">
        <w:rPr>
          <w:rFonts w:eastAsia="PMingLiU"/>
          <w:lang w:eastAsia="zh-MO"/>
        </w:rPr>
        <w:t>)</w:t>
      </w:r>
      <w:r w:rsidRPr="002C1E2B">
        <w:rPr>
          <w:rFonts w:eastAsia="PMingLiU"/>
          <w:lang w:eastAsia="zh-MO"/>
        </w:rPr>
        <w:t xml:space="preserve">. </w:t>
      </w:r>
    </w:p>
    <w:p w14:paraId="3325103D" w14:textId="77777777" w:rsidR="00E74D4C" w:rsidRPr="002C1E2B" w:rsidRDefault="00E74D4C" w:rsidP="00E74D4C">
      <w:pPr>
        <w:pStyle w:val="Heading3"/>
      </w:pPr>
      <w:r w:rsidRPr="002C1E2B">
        <w:t>The Retirement Villages Act</w:t>
      </w:r>
    </w:p>
    <w:p w14:paraId="2FECBCC4" w14:textId="77777777" w:rsidR="00E74D4C" w:rsidRPr="002C1E2B" w:rsidRDefault="00E74D4C" w:rsidP="00E74D4C">
      <w:pPr>
        <w:pStyle w:val="BodyText"/>
        <w:rPr>
          <w:rFonts w:eastAsia="PMingLiU"/>
          <w:lang w:eastAsia="zh-MO"/>
        </w:rPr>
      </w:pPr>
      <w:r w:rsidRPr="002C1E2B">
        <w:rPr>
          <w:rFonts w:eastAsia="PMingLiU"/>
          <w:lang w:eastAsia="zh-MO"/>
        </w:rPr>
        <w:t xml:space="preserve">The RV Act is the overarching legislative instrument regulating the retirement village sector. The purpose of the Act is to “clarify and protect the rights of persons who live in, or intend to live in retirement villages”. </w:t>
      </w:r>
    </w:p>
    <w:p w14:paraId="2812856B" w14:textId="77777777" w:rsidR="00E74D4C" w:rsidRPr="002C1E2B" w:rsidRDefault="00E74D4C" w:rsidP="00E74D4C">
      <w:pPr>
        <w:pStyle w:val="BodyText"/>
        <w:rPr>
          <w:lang w:eastAsia="zh-CN"/>
        </w:rPr>
      </w:pPr>
      <w:r w:rsidRPr="002C1E2B">
        <w:rPr>
          <w:lang w:eastAsia="zh-CN"/>
        </w:rPr>
        <w:t xml:space="preserve">The RV Act protects residents’ financial investments in a retirement village through legislated residence rights, requirements for retirement villages to publish certain notices and information, and financial protection </w:t>
      </w:r>
      <w:r w:rsidR="00B24DA3" w:rsidRPr="002C1E2B">
        <w:rPr>
          <w:lang w:eastAsia="zh-CN"/>
        </w:rPr>
        <w:t>for</w:t>
      </w:r>
      <w:r w:rsidRPr="002C1E2B">
        <w:rPr>
          <w:lang w:eastAsia="zh-CN"/>
        </w:rPr>
        <w:t xml:space="preserve"> residents’ </w:t>
      </w:r>
      <w:r w:rsidR="00262169" w:rsidRPr="002C1E2B">
        <w:rPr>
          <w:lang w:eastAsia="zh-CN"/>
        </w:rPr>
        <w:t>in-going</w:t>
      </w:r>
      <w:r w:rsidRPr="002C1E2B">
        <w:rPr>
          <w:lang w:eastAsia="zh-CN"/>
        </w:rPr>
        <w:t xml:space="preserve"> contributions. The RV Act also </w:t>
      </w:r>
      <w:r w:rsidRPr="002C1E2B">
        <w:rPr>
          <w:lang w:eastAsia="zh-CN"/>
        </w:rPr>
        <w:lastRenderedPageBreak/>
        <w:t xml:space="preserve">prescribes the rules around the sale of </w:t>
      </w:r>
      <w:r w:rsidR="00C47EB4" w:rsidRPr="002C1E2B">
        <w:rPr>
          <w:lang w:eastAsia="zh-CN"/>
        </w:rPr>
        <w:t xml:space="preserve">units </w:t>
      </w:r>
      <w:r w:rsidRPr="002C1E2B">
        <w:rPr>
          <w:lang w:eastAsia="zh-CN"/>
        </w:rPr>
        <w:t xml:space="preserve">by residents, operation and management of retirement villages and dispute </w:t>
      </w:r>
      <w:r w:rsidR="00C47EB4" w:rsidRPr="002C1E2B">
        <w:rPr>
          <w:lang w:eastAsia="zh-CN"/>
        </w:rPr>
        <w:t>resolution</w:t>
      </w:r>
      <w:r w:rsidRPr="002C1E2B">
        <w:rPr>
          <w:lang w:eastAsia="zh-CN"/>
        </w:rPr>
        <w:t>.</w:t>
      </w:r>
    </w:p>
    <w:p w14:paraId="69952805" w14:textId="77777777" w:rsidR="00A56C52" w:rsidRPr="002C1E2B" w:rsidRDefault="00E74D4C" w:rsidP="001472A2">
      <w:pPr>
        <w:pStyle w:val="BodyText"/>
      </w:pPr>
      <w:r w:rsidRPr="002C1E2B">
        <w:t xml:space="preserve">The RV Act also provides a definition of a retirement village. </w:t>
      </w:r>
    </w:p>
    <w:p w14:paraId="1A2D32F7" w14:textId="77777777" w:rsidR="00E74D4C" w:rsidRPr="002C1E2B" w:rsidRDefault="00E74D4C" w:rsidP="00E74D4C">
      <w:pPr>
        <w:pStyle w:val="Caption"/>
        <w:spacing w:after="240"/>
        <w:rPr>
          <w:lang w:eastAsia="zh-MO"/>
        </w:rPr>
      </w:pPr>
      <w:r w:rsidRPr="002C1E2B">
        <w:rPr>
          <w:lang w:eastAsia="zh-MO"/>
        </w:rPr>
        <w:t>Box 1.</w:t>
      </w:r>
      <w:r w:rsidRPr="002C1E2B">
        <w:rPr>
          <w:lang w:eastAsia="zh-MO"/>
        </w:rPr>
        <w:fldChar w:fldCharType="begin"/>
      </w:r>
      <w:r w:rsidRPr="002C1E2B">
        <w:rPr>
          <w:lang w:eastAsia="zh-MO"/>
        </w:rPr>
        <w:instrText xml:space="preserve"> SEQ Box \* ARABIC </w:instrText>
      </w:r>
      <w:r w:rsidRPr="002C1E2B">
        <w:rPr>
          <w:lang w:eastAsia="zh-MO"/>
        </w:rPr>
        <w:fldChar w:fldCharType="separate"/>
      </w:r>
      <w:r w:rsidR="00BE6CE4">
        <w:rPr>
          <w:noProof/>
          <w:lang w:eastAsia="zh-MO"/>
        </w:rPr>
        <w:t>1</w:t>
      </w:r>
      <w:r w:rsidRPr="002C1E2B">
        <w:rPr>
          <w:lang w:eastAsia="zh-MO"/>
        </w:rPr>
        <w:fldChar w:fldCharType="end"/>
      </w:r>
      <w:r w:rsidRPr="002C1E2B">
        <w:rPr>
          <w:lang w:eastAsia="zh-MO"/>
        </w:rPr>
        <w:t xml:space="preserve"> – Definition of a retirement village</w:t>
      </w:r>
    </w:p>
    <w:p w14:paraId="5308FDD4" w14:textId="77777777" w:rsidR="00E74D4C" w:rsidRPr="002C1E2B" w:rsidRDefault="00E74D4C" w:rsidP="00D57D67">
      <w:pPr>
        <w:pStyle w:val="BodyText"/>
        <w:pBdr>
          <w:top w:val="single" w:sz="4" w:space="1" w:color="auto"/>
          <w:left w:val="single" w:sz="4" w:space="4" w:color="auto"/>
          <w:bottom w:val="single" w:sz="4" w:space="1" w:color="auto"/>
          <w:right w:val="single" w:sz="4" w:space="4" w:color="auto"/>
        </w:pBdr>
        <w:shd w:val="clear" w:color="auto" w:fill="DBE5F1" w:themeFill="accent1" w:themeFillTint="33"/>
        <w:spacing w:before="120"/>
        <w:rPr>
          <w:i/>
        </w:rPr>
      </w:pPr>
      <w:r w:rsidRPr="002C1E2B">
        <w:rPr>
          <w:i/>
        </w:rPr>
        <w:t>Under the RV Act, a retirement village is defined as:</w:t>
      </w:r>
    </w:p>
    <w:p w14:paraId="1AFE8E87" w14:textId="77777777" w:rsidR="00E74D4C" w:rsidRPr="002C1E2B" w:rsidRDefault="00E74D4C" w:rsidP="00D57D67">
      <w:pPr>
        <w:pStyle w:val="BodyText"/>
        <w:pBdr>
          <w:top w:val="single" w:sz="4" w:space="1" w:color="auto"/>
          <w:left w:val="single" w:sz="4" w:space="4" w:color="auto"/>
          <w:bottom w:val="single" w:sz="4" w:space="1" w:color="auto"/>
          <w:right w:val="single" w:sz="4" w:space="4" w:color="auto"/>
        </w:pBdr>
        <w:shd w:val="clear" w:color="auto" w:fill="DBE5F1" w:themeFill="accent1" w:themeFillTint="33"/>
        <w:spacing w:before="120"/>
        <w:rPr>
          <w:i/>
        </w:rPr>
      </w:pPr>
      <w:r w:rsidRPr="002C1E2B">
        <w:rPr>
          <w:i/>
        </w:rPr>
        <w:t>A community —</w:t>
      </w:r>
    </w:p>
    <w:p w14:paraId="32AE82B9" w14:textId="77777777" w:rsidR="00E74D4C" w:rsidRPr="002C1E2B" w:rsidRDefault="00E74D4C" w:rsidP="00D57D67">
      <w:pPr>
        <w:pStyle w:val="BodyText"/>
        <w:pBdr>
          <w:top w:val="single" w:sz="4" w:space="1" w:color="auto"/>
          <w:left w:val="single" w:sz="4" w:space="4" w:color="auto"/>
          <w:bottom w:val="single" w:sz="4" w:space="1" w:color="auto"/>
          <w:right w:val="single" w:sz="4" w:space="4" w:color="auto"/>
        </w:pBdr>
        <w:shd w:val="clear" w:color="auto" w:fill="DBE5F1" w:themeFill="accent1" w:themeFillTint="33"/>
        <w:spacing w:before="120"/>
        <w:ind w:left="709" w:hanging="709"/>
        <w:rPr>
          <w:i/>
        </w:rPr>
      </w:pPr>
      <w:r w:rsidRPr="002C1E2B">
        <w:rPr>
          <w:i/>
        </w:rPr>
        <w:t>(a)</w:t>
      </w:r>
      <w:r w:rsidRPr="002C1E2B">
        <w:rPr>
          <w:i/>
        </w:rPr>
        <w:tab/>
        <w:t>the majority of which is retired persons who are provided with accommodation and services other than services that are provided in a residential care facility; and</w:t>
      </w:r>
    </w:p>
    <w:p w14:paraId="6BD9B717" w14:textId="77777777" w:rsidR="00E74D4C" w:rsidRPr="002C1E2B" w:rsidRDefault="00E74D4C" w:rsidP="00D57D67">
      <w:pPr>
        <w:pStyle w:val="BodyText"/>
        <w:pBdr>
          <w:top w:val="single" w:sz="4" w:space="1" w:color="auto"/>
          <w:left w:val="single" w:sz="4" w:space="4" w:color="auto"/>
          <w:bottom w:val="single" w:sz="4" w:space="1" w:color="auto"/>
          <w:right w:val="single" w:sz="4" w:space="4" w:color="auto"/>
        </w:pBdr>
        <w:shd w:val="clear" w:color="auto" w:fill="DBE5F1" w:themeFill="accent1" w:themeFillTint="33"/>
        <w:spacing w:before="120"/>
        <w:ind w:left="709" w:hanging="709"/>
        <w:rPr>
          <w:i/>
        </w:rPr>
      </w:pPr>
      <w:r w:rsidRPr="002C1E2B">
        <w:rPr>
          <w:i/>
        </w:rPr>
        <w:t>(b)</w:t>
      </w:r>
      <w:r w:rsidRPr="002C1E2B">
        <w:rPr>
          <w:i/>
        </w:rPr>
        <w:tab/>
      </w:r>
      <w:proofErr w:type="gramStart"/>
      <w:r w:rsidRPr="002C1E2B">
        <w:rPr>
          <w:i/>
        </w:rPr>
        <w:t>at</w:t>
      </w:r>
      <w:proofErr w:type="gramEnd"/>
      <w:r w:rsidRPr="002C1E2B">
        <w:rPr>
          <w:i/>
        </w:rPr>
        <w:t xml:space="preserve"> least one of whom, before or upon becoming a member of the community, pays or is required to pay an in-going contribution.</w:t>
      </w:r>
    </w:p>
    <w:p w14:paraId="1A51DCED" w14:textId="77777777" w:rsidR="001E5FAB" w:rsidRPr="002C1E2B" w:rsidRDefault="001E5FAB" w:rsidP="00E74D4C">
      <w:pPr>
        <w:pStyle w:val="Heading3"/>
      </w:pPr>
      <w:r w:rsidRPr="002C1E2B">
        <w:t>Supporting regulations</w:t>
      </w:r>
    </w:p>
    <w:p w14:paraId="51953568" w14:textId="77777777" w:rsidR="002E073C" w:rsidRPr="002C1E2B" w:rsidRDefault="00A56C52" w:rsidP="001472A2">
      <w:pPr>
        <w:pStyle w:val="BodyText"/>
        <w:rPr>
          <w:lang w:eastAsia="zh-CN"/>
        </w:rPr>
      </w:pPr>
      <w:r w:rsidRPr="002C1E2B">
        <w:rPr>
          <w:lang w:eastAsia="zh-CN"/>
        </w:rPr>
        <w:t>Section 43 of the</w:t>
      </w:r>
      <w:r w:rsidR="002E073C" w:rsidRPr="002C1E2B">
        <w:rPr>
          <w:lang w:eastAsia="zh-CN"/>
        </w:rPr>
        <w:t xml:space="preserve"> </w:t>
      </w:r>
      <w:r w:rsidR="00D57E95" w:rsidRPr="002C1E2B">
        <w:rPr>
          <w:lang w:eastAsia="zh-CN"/>
        </w:rPr>
        <w:t>RV Act</w:t>
      </w:r>
      <w:r w:rsidR="002E073C" w:rsidRPr="002C1E2B">
        <w:rPr>
          <w:lang w:eastAsia="zh-CN"/>
        </w:rPr>
        <w:t xml:space="preserve"> </w:t>
      </w:r>
      <w:r w:rsidRPr="002C1E2B">
        <w:rPr>
          <w:lang w:eastAsia="zh-CN"/>
        </w:rPr>
        <w:t xml:space="preserve">provides for regulations to be made covering </w:t>
      </w:r>
      <w:r w:rsidR="00E74D4C" w:rsidRPr="002C1E2B">
        <w:rPr>
          <w:lang w:eastAsia="zh-CN"/>
        </w:rPr>
        <w:t xml:space="preserve">the </w:t>
      </w:r>
      <w:r w:rsidRPr="002C1E2B">
        <w:rPr>
          <w:lang w:eastAsia="zh-CN"/>
        </w:rPr>
        <w:t>calculation of fees and charges, contractual arrangements</w:t>
      </w:r>
      <w:r w:rsidR="00E74D4C" w:rsidRPr="002C1E2B">
        <w:rPr>
          <w:lang w:eastAsia="zh-CN"/>
        </w:rPr>
        <w:t>,</w:t>
      </w:r>
      <w:r w:rsidRPr="002C1E2B">
        <w:rPr>
          <w:lang w:eastAsia="zh-CN"/>
        </w:rPr>
        <w:t xml:space="preserve"> and information disclosure requirements. The regulations made under the </w:t>
      </w:r>
      <w:r w:rsidR="00D57E95" w:rsidRPr="002C1E2B">
        <w:rPr>
          <w:lang w:eastAsia="zh-CN"/>
        </w:rPr>
        <w:t>RV Act</w:t>
      </w:r>
      <w:r w:rsidRPr="002C1E2B">
        <w:rPr>
          <w:lang w:eastAsia="zh-CN"/>
        </w:rPr>
        <w:t xml:space="preserve"> are the:</w:t>
      </w:r>
    </w:p>
    <w:p w14:paraId="642EB14B" w14:textId="77777777" w:rsidR="00A56C52" w:rsidRPr="002C1E2B" w:rsidRDefault="00E74D4C" w:rsidP="003C6334">
      <w:pPr>
        <w:pStyle w:val="ListBullet"/>
        <w:rPr>
          <w:lang w:eastAsia="zh-CN"/>
        </w:rPr>
      </w:pPr>
      <w:r w:rsidRPr="003C6334">
        <w:rPr>
          <w:b/>
          <w:i/>
          <w:lang w:eastAsia="zh-CN"/>
        </w:rPr>
        <w:t>Retirement Villages (</w:t>
      </w:r>
      <w:r w:rsidR="00A56C52" w:rsidRPr="003C6334">
        <w:rPr>
          <w:b/>
          <w:i/>
          <w:lang w:eastAsia="zh-CN"/>
        </w:rPr>
        <w:t>Contractual Arrangements</w:t>
      </w:r>
      <w:r w:rsidRPr="003C6334">
        <w:rPr>
          <w:b/>
          <w:i/>
          <w:lang w:eastAsia="zh-CN"/>
        </w:rPr>
        <w:t>)</w:t>
      </w:r>
      <w:r w:rsidR="00A56C52" w:rsidRPr="003C6334">
        <w:rPr>
          <w:b/>
          <w:i/>
          <w:lang w:eastAsia="zh-CN"/>
        </w:rPr>
        <w:t xml:space="preserve"> </w:t>
      </w:r>
      <w:r w:rsidRPr="003C6334">
        <w:rPr>
          <w:b/>
          <w:i/>
          <w:lang w:eastAsia="zh-CN"/>
        </w:rPr>
        <w:t>R</w:t>
      </w:r>
      <w:r w:rsidR="00A56C52" w:rsidRPr="003C6334">
        <w:rPr>
          <w:b/>
          <w:i/>
          <w:lang w:eastAsia="zh-CN"/>
        </w:rPr>
        <w:t>egulations</w:t>
      </w:r>
      <w:r w:rsidR="00A56C52" w:rsidRPr="003C6334">
        <w:rPr>
          <w:i/>
          <w:lang w:eastAsia="zh-CN"/>
        </w:rPr>
        <w:t xml:space="preserve"> </w:t>
      </w:r>
      <w:r w:rsidR="003C6334" w:rsidRPr="003C6334">
        <w:rPr>
          <w:b/>
          <w:i/>
          <w:lang w:eastAsia="zh-CN"/>
        </w:rPr>
        <w:t>2006</w:t>
      </w:r>
      <w:r w:rsidR="003C6334">
        <w:rPr>
          <w:b/>
          <w:lang w:eastAsia="zh-CN"/>
        </w:rPr>
        <w:t xml:space="preserve"> –</w:t>
      </w:r>
      <w:r w:rsidRPr="003C6334">
        <w:rPr>
          <w:b/>
          <w:lang w:eastAsia="zh-CN"/>
        </w:rPr>
        <w:t xml:space="preserve"> </w:t>
      </w:r>
      <w:r w:rsidRPr="002C1E2B">
        <w:rPr>
          <w:lang w:eastAsia="zh-CN"/>
        </w:rPr>
        <w:t>T</w:t>
      </w:r>
      <w:r w:rsidR="00A56C52" w:rsidRPr="002C1E2B">
        <w:rPr>
          <w:lang w:eastAsia="zh-CN"/>
        </w:rPr>
        <w:t>hese</w:t>
      </w:r>
      <w:r w:rsidRPr="002C1E2B">
        <w:rPr>
          <w:lang w:eastAsia="zh-CN"/>
        </w:rPr>
        <w:t xml:space="preserve"> regulations</w:t>
      </w:r>
      <w:r w:rsidR="00A56C52" w:rsidRPr="002C1E2B">
        <w:rPr>
          <w:lang w:eastAsia="zh-CN"/>
        </w:rPr>
        <w:t xml:space="preserve"> set out rules around the payment and refund of residents’ </w:t>
      </w:r>
      <w:r w:rsidR="00262169" w:rsidRPr="002C1E2B">
        <w:rPr>
          <w:lang w:eastAsia="zh-CN"/>
        </w:rPr>
        <w:t>in-going</w:t>
      </w:r>
      <w:r w:rsidR="00A56C52" w:rsidRPr="002C1E2B">
        <w:rPr>
          <w:lang w:eastAsia="zh-CN"/>
        </w:rPr>
        <w:t xml:space="preserve"> contributions, methods of valuations and other contractual requirements. </w:t>
      </w:r>
      <w:r w:rsidRPr="002C1E2B">
        <w:rPr>
          <w:lang w:eastAsia="zh-CN"/>
        </w:rPr>
        <w:t>The</w:t>
      </w:r>
      <w:r w:rsidR="00A56C52" w:rsidRPr="002C1E2B">
        <w:rPr>
          <w:lang w:eastAsia="zh-CN"/>
        </w:rPr>
        <w:t xml:space="preserve"> Regulations </w:t>
      </w:r>
      <w:r w:rsidRPr="002C1E2B">
        <w:rPr>
          <w:lang w:eastAsia="zh-CN"/>
        </w:rPr>
        <w:t xml:space="preserve">are sunsetting on </w:t>
      </w:r>
      <w:r w:rsidR="00614FDF" w:rsidRPr="002C1E2B">
        <w:rPr>
          <w:lang w:eastAsia="zh-CN"/>
        </w:rPr>
        <w:t>31</w:t>
      </w:r>
      <w:r w:rsidR="00C277C5" w:rsidRPr="002C1E2B">
        <w:t> </w:t>
      </w:r>
      <w:r w:rsidR="00614FDF" w:rsidRPr="002C1E2B">
        <w:rPr>
          <w:lang w:eastAsia="zh-CN"/>
        </w:rPr>
        <w:t xml:space="preserve">July 2017 and are the subject of this RIS. The Regulations </w:t>
      </w:r>
      <w:r w:rsidR="00A56C52" w:rsidRPr="002C1E2B">
        <w:rPr>
          <w:lang w:eastAsia="zh-CN"/>
        </w:rPr>
        <w:t xml:space="preserve">are described in further detail in section 1.3. </w:t>
      </w:r>
    </w:p>
    <w:p w14:paraId="6E547444" w14:textId="77777777" w:rsidR="002E073C" w:rsidRPr="002C1E2B" w:rsidRDefault="00614FDF" w:rsidP="003C6334">
      <w:pPr>
        <w:pStyle w:val="ListBullet"/>
        <w:spacing w:after="240"/>
        <w:ind w:left="357" w:hanging="357"/>
        <w:rPr>
          <w:lang w:eastAsia="zh-MO"/>
        </w:rPr>
      </w:pPr>
      <w:r w:rsidRPr="003C6334">
        <w:rPr>
          <w:b/>
          <w:i/>
          <w:lang w:eastAsia="zh-MO"/>
        </w:rPr>
        <w:t>Retirement Villages (</w:t>
      </w:r>
      <w:r w:rsidR="00A56C52" w:rsidRPr="003C6334">
        <w:rPr>
          <w:b/>
          <w:i/>
          <w:lang w:eastAsia="zh-MO"/>
        </w:rPr>
        <w:t>Records and Notices</w:t>
      </w:r>
      <w:r w:rsidRPr="003C6334">
        <w:rPr>
          <w:b/>
          <w:i/>
          <w:lang w:eastAsia="zh-MO"/>
        </w:rPr>
        <w:t>)</w:t>
      </w:r>
      <w:r w:rsidR="00A56C52" w:rsidRPr="003C6334">
        <w:rPr>
          <w:b/>
          <w:i/>
          <w:lang w:eastAsia="zh-MO"/>
        </w:rPr>
        <w:t xml:space="preserve"> </w:t>
      </w:r>
      <w:r w:rsidR="00E74D4C" w:rsidRPr="003C6334">
        <w:rPr>
          <w:b/>
          <w:i/>
          <w:lang w:eastAsia="zh-MO"/>
        </w:rPr>
        <w:t>R</w:t>
      </w:r>
      <w:r w:rsidR="00A56C52" w:rsidRPr="003C6334">
        <w:rPr>
          <w:b/>
          <w:i/>
          <w:lang w:eastAsia="zh-MO"/>
        </w:rPr>
        <w:t>egulations</w:t>
      </w:r>
      <w:r w:rsidRPr="002C1E2B">
        <w:rPr>
          <w:b/>
          <w:lang w:eastAsia="zh-MO"/>
        </w:rPr>
        <w:t xml:space="preserve"> </w:t>
      </w:r>
      <w:r w:rsidRPr="003C6334">
        <w:rPr>
          <w:b/>
          <w:i/>
          <w:lang w:eastAsia="zh-MO"/>
        </w:rPr>
        <w:t>2015</w:t>
      </w:r>
      <w:r w:rsidRPr="002C1E2B">
        <w:rPr>
          <w:b/>
          <w:lang w:eastAsia="zh-MO"/>
        </w:rPr>
        <w:t xml:space="preserve"> </w:t>
      </w:r>
      <w:r w:rsidR="003C6334">
        <w:rPr>
          <w:b/>
          <w:lang w:eastAsia="zh-MO"/>
        </w:rPr>
        <w:t>–</w:t>
      </w:r>
      <w:r w:rsidR="003C6334">
        <w:rPr>
          <w:lang w:eastAsia="zh-MO"/>
        </w:rPr>
        <w:t xml:space="preserve"> </w:t>
      </w:r>
      <w:r w:rsidRPr="002C1E2B">
        <w:rPr>
          <w:lang w:eastAsia="zh-MO"/>
        </w:rPr>
        <w:t>T</w:t>
      </w:r>
      <w:r w:rsidR="002E073C" w:rsidRPr="002C1E2B">
        <w:rPr>
          <w:lang w:eastAsia="zh-MO"/>
        </w:rPr>
        <w:t xml:space="preserve">he </w:t>
      </w:r>
      <w:r w:rsidR="005C4F50" w:rsidRPr="002C1E2B">
        <w:rPr>
          <w:lang w:eastAsia="zh-MO"/>
        </w:rPr>
        <w:t>RN Regulations</w:t>
      </w:r>
      <w:r w:rsidR="002E073C" w:rsidRPr="002C1E2B">
        <w:rPr>
          <w:lang w:eastAsia="zh-MO"/>
        </w:rPr>
        <w:t xml:space="preserve"> support</w:t>
      </w:r>
      <w:r w:rsidR="001E5FAB" w:rsidRPr="002C1E2B">
        <w:rPr>
          <w:lang w:eastAsia="zh-MO"/>
        </w:rPr>
        <w:t xml:space="preserve"> requirements under s.19 and s.20 of the </w:t>
      </w:r>
      <w:r w:rsidR="00D57E95" w:rsidRPr="002C1E2B">
        <w:rPr>
          <w:lang w:eastAsia="zh-MO"/>
        </w:rPr>
        <w:t>RV Act</w:t>
      </w:r>
      <w:r w:rsidR="001E5FAB" w:rsidRPr="002C1E2B">
        <w:rPr>
          <w:lang w:eastAsia="zh-MO"/>
        </w:rPr>
        <w:t xml:space="preserve"> for residents to be </w:t>
      </w:r>
      <w:r w:rsidR="00987B62" w:rsidRPr="002C1E2B">
        <w:rPr>
          <w:lang w:eastAsia="zh-MO"/>
        </w:rPr>
        <w:t xml:space="preserve">provided with </w:t>
      </w:r>
      <w:r w:rsidR="001E5FAB" w:rsidRPr="002C1E2B">
        <w:rPr>
          <w:lang w:eastAsia="zh-MO"/>
        </w:rPr>
        <w:t>certain documents and information</w:t>
      </w:r>
      <w:r w:rsidR="00987B62" w:rsidRPr="002C1E2B">
        <w:rPr>
          <w:lang w:eastAsia="zh-MO"/>
        </w:rPr>
        <w:t xml:space="preserve"> and was</w:t>
      </w:r>
      <w:r w:rsidR="002E073C" w:rsidRPr="002C1E2B">
        <w:rPr>
          <w:lang w:eastAsia="zh-MO"/>
        </w:rPr>
        <w:t xml:space="preserve"> established to assist prospective residents to compare and choose a retirement village that meets their personal and social needs, and to understand their rights and obligations and their financial commitment before making an informed decision to enter a retirement village. </w:t>
      </w:r>
    </w:p>
    <w:p w14:paraId="38FD55BB" w14:textId="77777777" w:rsidR="001472A2" w:rsidRPr="00C044E6" w:rsidRDefault="001472A2" w:rsidP="00D1019D">
      <w:pPr>
        <w:pStyle w:val="Heading2"/>
        <w:rPr>
          <w:lang w:val="fr-FR"/>
        </w:rPr>
      </w:pPr>
      <w:bookmarkStart w:id="28" w:name="_Ref472870122"/>
      <w:bookmarkStart w:id="29" w:name="_Toc476739257"/>
      <w:bookmarkStart w:id="30" w:name="_Toc476585811"/>
      <w:r w:rsidRPr="00C044E6">
        <w:rPr>
          <w:lang w:val="fr-FR"/>
        </w:rPr>
        <w:t>Retirement Villages (Contractual Arrangements) Regulations 2006</w:t>
      </w:r>
      <w:bookmarkEnd w:id="28"/>
      <w:bookmarkEnd w:id="29"/>
      <w:bookmarkEnd w:id="30"/>
    </w:p>
    <w:p w14:paraId="69CEB887" w14:textId="77777777" w:rsidR="001472A2" w:rsidRPr="002C1E2B" w:rsidRDefault="001472A2" w:rsidP="001472A2">
      <w:pPr>
        <w:pStyle w:val="BodyText"/>
      </w:pPr>
      <w:r w:rsidRPr="002C1E2B">
        <w:rPr>
          <w:rFonts w:eastAsia="PMingLiU"/>
          <w:lang w:eastAsia="zh-MO"/>
        </w:rPr>
        <w:t xml:space="preserve">The Retirement Villages (Contractual Arrangements) Regulations 2006 (the Regulations) </w:t>
      </w:r>
      <w:r w:rsidR="006649C0" w:rsidRPr="002C1E2B">
        <w:rPr>
          <w:rFonts w:eastAsia="PMingLiU"/>
          <w:lang w:eastAsia="zh-MO"/>
        </w:rPr>
        <w:t xml:space="preserve">support the </w:t>
      </w:r>
      <w:r w:rsidR="00614FDF" w:rsidRPr="002C1E2B">
        <w:rPr>
          <w:rFonts w:eastAsia="PMingLiU"/>
          <w:lang w:eastAsia="zh-MO"/>
        </w:rPr>
        <w:t xml:space="preserve">RV </w:t>
      </w:r>
      <w:r w:rsidR="006649C0" w:rsidRPr="002C1E2B">
        <w:rPr>
          <w:rFonts w:eastAsia="PMingLiU"/>
          <w:lang w:eastAsia="zh-MO"/>
        </w:rPr>
        <w:t>Act in defining specific conditions for the timing and value of refunds of in-going contributions, and the structure and content of residence and management contracts.</w:t>
      </w:r>
      <w:r w:rsidRPr="002C1E2B">
        <w:t xml:space="preserve"> </w:t>
      </w:r>
      <w:r w:rsidR="005803A0" w:rsidRPr="002C1E2B">
        <w:t xml:space="preserve">The Regulations are primarily focused on contracting arrangements between non-owner residents and retirement village operators, but also include provisions that apply to both owner and non-owner residents. </w:t>
      </w:r>
      <w:r w:rsidRPr="002C1E2B">
        <w:t xml:space="preserve">Specifically, the </w:t>
      </w:r>
      <w:r w:rsidR="005803A0" w:rsidRPr="002C1E2B">
        <w:t xml:space="preserve">Regulations </w:t>
      </w:r>
      <w:r w:rsidR="00614FDF" w:rsidRPr="002C1E2B">
        <w:t>include</w:t>
      </w:r>
      <w:r w:rsidRPr="002C1E2B">
        <w:t>:</w:t>
      </w:r>
      <w:r w:rsidR="00614FDF" w:rsidRPr="002C1E2B">
        <w:rPr>
          <w:rStyle w:val="FootnoteReference"/>
          <w:lang w:val="en-AU"/>
        </w:rPr>
        <w:footnoteReference w:id="5"/>
      </w:r>
    </w:p>
    <w:p w14:paraId="3A8A0BD4" w14:textId="77777777" w:rsidR="003D236D" w:rsidRPr="002C1E2B" w:rsidRDefault="003D236D" w:rsidP="003D236D">
      <w:pPr>
        <w:pStyle w:val="ListBullet"/>
      </w:pPr>
      <w:r w:rsidRPr="003C6334">
        <w:rPr>
          <w:b/>
          <w:i/>
        </w:rPr>
        <w:lastRenderedPageBreak/>
        <w:t>Six month rule exemption (</w:t>
      </w:r>
      <w:r w:rsidR="00610577" w:rsidRPr="003C6334">
        <w:rPr>
          <w:b/>
          <w:i/>
        </w:rPr>
        <w:t>r.</w:t>
      </w:r>
      <w:r w:rsidRPr="003C6334">
        <w:rPr>
          <w:b/>
          <w:i/>
        </w:rPr>
        <w:t xml:space="preserve"> 5)</w:t>
      </w:r>
      <w:r w:rsidRPr="002C1E2B">
        <w:rPr>
          <w:b/>
        </w:rPr>
        <w:t xml:space="preserve"> – </w:t>
      </w:r>
      <w:r w:rsidRPr="002C1E2B">
        <w:rPr>
          <w:rFonts w:eastAsia="Batang"/>
          <w:lang w:eastAsia="ko-KR"/>
        </w:rPr>
        <w:t xml:space="preserve">under </w:t>
      </w:r>
      <w:r w:rsidRPr="002C1E2B">
        <w:rPr>
          <w:rStyle w:val="BodyTextChar"/>
          <w:lang w:val="en-AU"/>
        </w:rPr>
        <w:t xml:space="preserve">the RV Act, retirement village operators can be required to pay non-owner residents their </w:t>
      </w:r>
      <w:r w:rsidR="00C47EB4" w:rsidRPr="002C1E2B">
        <w:rPr>
          <w:rStyle w:val="BodyTextChar"/>
          <w:lang w:val="en-AU"/>
        </w:rPr>
        <w:t xml:space="preserve">estimated </w:t>
      </w:r>
      <w:r w:rsidRPr="002C1E2B">
        <w:rPr>
          <w:rStyle w:val="BodyTextChar"/>
          <w:lang w:val="en-AU"/>
        </w:rPr>
        <w:t xml:space="preserve">exit entitlement (their </w:t>
      </w:r>
      <w:r w:rsidR="00C47EB4" w:rsidRPr="002C1E2B">
        <w:rPr>
          <w:rStyle w:val="BodyTextChar"/>
          <w:lang w:val="en-AU"/>
        </w:rPr>
        <w:t xml:space="preserve">estimated </w:t>
      </w:r>
      <w:r w:rsidRPr="002C1E2B">
        <w:rPr>
          <w:rStyle w:val="BodyTextChar"/>
          <w:lang w:val="en-AU"/>
        </w:rPr>
        <w:t xml:space="preserve">refundable in-going contribution minus fees) within six months of leaving the village if their unit has not already been sold (the six month rule). Under the Regulations, an exemption </w:t>
      </w:r>
      <w:r w:rsidR="00C47EB4" w:rsidRPr="002C1E2B">
        <w:rPr>
          <w:rStyle w:val="BodyTextChar"/>
          <w:lang w:val="en-AU"/>
        </w:rPr>
        <w:t>from</w:t>
      </w:r>
      <w:r w:rsidRPr="002C1E2B">
        <w:rPr>
          <w:rStyle w:val="BodyTextChar"/>
          <w:lang w:val="en-AU"/>
        </w:rPr>
        <w:t xml:space="preserve"> this is provided for in regulation 5 </w:t>
      </w:r>
      <w:r w:rsidR="00F8204B" w:rsidRPr="002C1E2B">
        <w:rPr>
          <w:rStyle w:val="BodyTextChar"/>
          <w:lang w:val="en-AU"/>
        </w:rPr>
        <w:t>if the operator include</w:t>
      </w:r>
      <w:r w:rsidR="00B77834" w:rsidRPr="002C1E2B">
        <w:rPr>
          <w:rStyle w:val="BodyTextChar"/>
          <w:lang w:val="en-AU"/>
        </w:rPr>
        <w:t>s</w:t>
      </w:r>
      <w:r w:rsidRPr="002C1E2B">
        <w:rPr>
          <w:rStyle w:val="BodyTextChar"/>
          <w:lang w:val="en-AU"/>
        </w:rPr>
        <w:t xml:space="preserve"> prescribed conditions (contained in Schedules 1 and 2 of the Regulations)</w:t>
      </w:r>
      <w:r w:rsidR="00F8204B" w:rsidRPr="002C1E2B">
        <w:rPr>
          <w:rStyle w:val="BodyTextChar"/>
          <w:lang w:val="en-AU"/>
        </w:rPr>
        <w:t xml:space="preserve"> in the residence</w:t>
      </w:r>
      <w:r w:rsidRPr="002C1E2B">
        <w:rPr>
          <w:rStyle w:val="BodyTextChar"/>
          <w:lang w:val="en-AU"/>
        </w:rPr>
        <w:t xml:space="preserve"> contract that gives the non-owner resident control of the sale of the unit.</w:t>
      </w:r>
    </w:p>
    <w:p w14:paraId="5CF4965C" w14:textId="77777777" w:rsidR="003D236D" w:rsidRPr="002C1E2B" w:rsidRDefault="003D236D" w:rsidP="003D236D">
      <w:pPr>
        <w:pStyle w:val="ListBullet"/>
      </w:pPr>
      <w:r w:rsidRPr="003C6334">
        <w:rPr>
          <w:b/>
          <w:i/>
        </w:rPr>
        <w:t>Aged care rule (</w:t>
      </w:r>
      <w:r w:rsidR="00610577" w:rsidRPr="003C6334">
        <w:rPr>
          <w:b/>
          <w:i/>
        </w:rPr>
        <w:t>r.</w:t>
      </w:r>
      <w:r w:rsidRPr="003C6334">
        <w:rPr>
          <w:b/>
          <w:i/>
        </w:rPr>
        <w:t xml:space="preserve"> 6)</w:t>
      </w:r>
      <w:r w:rsidRPr="002C1E2B">
        <w:rPr>
          <w:b/>
        </w:rPr>
        <w:t xml:space="preserve"> </w:t>
      </w:r>
      <w:r w:rsidRPr="002C1E2B">
        <w:rPr>
          <w:rStyle w:val="BodyTextChar"/>
          <w:lang w:val="en-AU"/>
        </w:rPr>
        <w:t>– require</w:t>
      </w:r>
      <w:r w:rsidR="003C6334">
        <w:rPr>
          <w:rStyle w:val="BodyTextChar"/>
          <w:lang w:val="en-AU"/>
        </w:rPr>
        <w:t>s</w:t>
      </w:r>
      <w:r w:rsidRPr="002C1E2B">
        <w:rPr>
          <w:rStyle w:val="BodyTextChar"/>
          <w:lang w:val="en-AU"/>
        </w:rPr>
        <w:t xml:space="preserve"> retirement village owners to pay non-owner residents moving to residential aged care</w:t>
      </w:r>
      <w:r w:rsidR="00C47EB4" w:rsidRPr="002C1E2B">
        <w:rPr>
          <w:rStyle w:val="BodyTextChar"/>
          <w:lang w:val="en-AU"/>
        </w:rPr>
        <w:t xml:space="preserve"> that</w:t>
      </w:r>
      <w:r w:rsidRPr="002C1E2B">
        <w:rPr>
          <w:rStyle w:val="BodyTextChar"/>
          <w:lang w:val="en-AU"/>
        </w:rPr>
        <w:t xml:space="preserve"> part of their estimated exit entitlement </w:t>
      </w:r>
      <w:r w:rsidR="00B77834" w:rsidRPr="002C1E2B">
        <w:rPr>
          <w:rStyle w:val="BodyTextChar"/>
          <w:lang w:val="en-AU"/>
        </w:rPr>
        <w:t xml:space="preserve">which is </w:t>
      </w:r>
      <w:r w:rsidRPr="002C1E2B">
        <w:rPr>
          <w:rStyle w:val="BodyTextChar"/>
          <w:lang w:val="en-AU"/>
        </w:rPr>
        <w:t>required to cover their residential aged care lump sum payment,</w:t>
      </w:r>
      <w:r w:rsidR="00F8204B" w:rsidRPr="002C1E2B">
        <w:rPr>
          <w:rStyle w:val="BodyTextChar"/>
          <w:lang w:val="en-AU"/>
        </w:rPr>
        <w:t xml:space="preserve"> </w:t>
      </w:r>
      <w:r w:rsidRPr="002C1E2B">
        <w:rPr>
          <w:rStyle w:val="BodyTextChar"/>
          <w:lang w:val="en-AU"/>
        </w:rPr>
        <w:t>six months after entering aged care,</w:t>
      </w:r>
      <w:r w:rsidRPr="002C1E2B">
        <w:t xml:space="preserve"> even if the resident is not yet entitled to their exit entitlement under the terms of their residence contract</w:t>
      </w:r>
      <w:r w:rsidRPr="002C1E2B">
        <w:rPr>
          <w:rStyle w:val="BodyTextChar"/>
          <w:lang w:val="en-AU"/>
        </w:rPr>
        <w:t xml:space="preserve">. The resident will receive the remainder of their exit entitlement (if any) when the unit is sold. This is known as the ‘aged care rule’ and </w:t>
      </w:r>
      <w:r w:rsidR="00F8204B" w:rsidRPr="002C1E2B">
        <w:rPr>
          <w:rStyle w:val="BodyTextChar"/>
          <w:lang w:val="en-AU"/>
        </w:rPr>
        <w:t>applies whether or not the</w:t>
      </w:r>
      <w:r w:rsidRPr="002C1E2B">
        <w:rPr>
          <w:rStyle w:val="BodyTextChar"/>
          <w:lang w:val="en-AU"/>
        </w:rPr>
        <w:t xml:space="preserve"> </w:t>
      </w:r>
      <w:r w:rsidR="00AC3672" w:rsidRPr="002C1E2B">
        <w:rPr>
          <w:rStyle w:val="BodyTextChar"/>
          <w:lang w:val="en-AU"/>
        </w:rPr>
        <w:t>six month rule</w:t>
      </w:r>
      <w:r w:rsidRPr="002C1E2B">
        <w:rPr>
          <w:rStyle w:val="BodyTextChar"/>
          <w:lang w:val="en-AU"/>
        </w:rPr>
        <w:t xml:space="preserve"> applies. </w:t>
      </w:r>
    </w:p>
    <w:p w14:paraId="2E39392A" w14:textId="77777777" w:rsidR="003D236D" w:rsidRPr="002C1E2B" w:rsidRDefault="003D236D" w:rsidP="003D236D">
      <w:pPr>
        <w:pStyle w:val="ListBullet"/>
      </w:pPr>
      <w:r w:rsidRPr="003C6334">
        <w:rPr>
          <w:b/>
          <w:i/>
        </w:rPr>
        <w:t>Calculation of in-going contribution refunds (</w:t>
      </w:r>
      <w:r w:rsidR="00610577" w:rsidRPr="003C6334">
        <w:rPr>
          <w:b/>
          <w:i/>
        </w:rPr>
        <w:t>r.7</w:t>
      </w:r>
      <w:r w:rsidRPr="003C6334">
        <w:rPr>
          <w:b/>
          <w:i/>
        </w:rPr>
        <w:t xml:space="preserve"> and</w:t>
      </w:r>
      <w:r w:rsidR="00610577" w:rsidRPr="003C6334">
        <w:rPr>
          <w:b/>
          <w:i/>
        </w:rPr>
        <w:t xml:space="preserve"> r.</w:t>
      </w:r>
      <w:r w:rsidRPr="003C6334">
        <w:rPr>
          <w:b/>
          <w:i/>
        </w:rPr>
        <w:t xml:space="preserve"> 8)</w:t>
      </w:r>
      <w:r w:rsidRPr="002C1E2B">
        <w:t xml:space="preserve"> – prescribe</w:t>
      </w:r>
      <w:r w:rsidR="003C6334">
        <w:t>s</w:t>
      </w:r>
      <w:r w:rsidRPr="002C1E2B">
        <w:t xml:space="preserve"> clauses to be included in residence contracts that set out how refundable in-going contributions are calculated in certain cases, including the process for choosing and paying for an independent valuation.  </w:t>
      </w:r>
    </w:p>
    <w:p w14:paraId="6452CFC1" w14:textId="77777777" w:rsidR="003D236D" w:rsidRPr="002C1E2B" w:rsidRDefault="003D236D" w:rsidP="003D236D">
      <w:pPr>
        <w:pStyle w:val="ListBullet"/>
        <w:spacing w:after="240"/>
        <w:ind w:left="357" w:hanging="357"/>
      </w:pPr>
      <w:r w:rsidRPr="003C6334">
        <w:rPr>
          <w:b/>
          <w:i/>
        </w:rPr>
        <w:t>Contractual requirements (</w:t>
      </w:r>
      <w:r w:rsidR="00610577" w:rsidRPr="003C6334">
        <w:rPr>
          <w:b/>
          <w:i/>
        </w:rPr>
        <w:t>r.8B-8</w:t>
      </w:r>
      <w:r w:rsidRPr="003C6334">
        <w:rPr>
          <w:b/>
          <w:i/>
        </w:rPr>
        <w:t>H</w:t>
      </w:r>
      <w:r w:rsidRPr="002C1E2B">
        <w:rPr>
          <w:b/>
        </w:rPr>
        <w:t>)</w:t>
      </w:r>
      <w:r w:rsidRPr="002C1E2B">
        <w:t xml:space="preserve"> – prescribe</w:t>
      </w:r>
      <w:r w:rsidR="003C6334">
        <w:t>s</w:t>
      </w:r>
      <w:r w:rsidRPr="002C1E2B">
        <w:t xml:space="preserve"> matters that </w:t>
      </w:r>
      <w:r w:rsidR="00C47EB4" w:rsidRPr="002C1E2B">
        <w:t>must</w:t>
      </w:r>
      <w:r w:rsidRPr="002C1E2B">
        <w:t xml:space="preserve"> and </w:t>
      </w:r>
      <w:r w:rsidR="00C47EB4" w:rsidRPr="002C1E2B">
        <w:t xml:space="preserve">must </w:t>
      </w:r>
      <w:r w:rsidRPr="002C1E2B">
        <w:t xml:space="preserve">not be included in residence and management contracts (including the terms and the layout of contracts). </w:t>
      </w:r>
      <w:r w:rsidRPr="002C1E2B">
        <w:rPr>
          <w:lang w:eastAsia="zh-MO"/>
        </w:rPr>
        <w:t>These provisions were recently inserted into the Regulations as part of an amendment in 2013 and commenced on 1 July 2014.</w:t>
      </w:r>
    </w:p>
    <w:p w14:paraId="57F9149A" w14:textId="77777777" w:rsidR="005C3294" w:rsidRPr="002C1E2B" w:rsidRDefault="00FD79F2" w:rsidP="00FD79F2">
      <w:pPr>
        <w:pStyle w:val="Heading3"/>
      </w:pPr>
      <w:r w:rsidRPr="002C1E2B">
        <w:t xml:space="preserve">The timing and calculation of </w:t>
      </w:r>
      <w:r w:rsidR="009F11EB" w:rsidRPr="002C1E2B">
        <w:t xml:space="preserve">exit entitlements </w:t>
      </w:r>
    </w:p>
    <w:p w14:paraId="09982A98" w14:textId="77777777" w:rsidR="003D236D" w:rsidRPr="002C1E2B" w:rsidRDefault="003D236D" w:rsidP="003D236D">
      <w:pPr>
        <w:pStyle w:val="BodyText"/>
      </w:pPr>
      <w:r w:rsidRPr="002C1E2B">
        <w:t>The Regulations make provision for key contracting mechanisms that define the timeframes in which retirement village operators are required to refund</w:t>
      </w:r>
      <w:r w:rsidR="00C47EB4" w:rsidRPr="002C1E2B">
        <w:t xml:space="preserve"> non-owner</w:t>
      </w:r>
      <w:r w:rsidRPr="002C1E2B">
        <w:t xml:space="preserve"> residents’ in-going contributions and how residents’ exit entitlements are calculated. </w:t>
      </w:r>
    </w:p>
    <w:p w14:paraId="2DA6CA1C" w14:textId="77777777" w:rsidR="00B77834" w:rsidRPr="002C1E2B" w:rsidRDefault="00B77834" w:rsidP="00B77834">
      <w:pPr>
        <w:pStyle w:val="BodyText"/>
      </w:pPr>
      <w:r w:rsidRPr="002C1E2B">
        <w:t>In-going contributions are payments made by residents of retirement village</w:t>
      </w:r>
      <w:r w:rsidR="00C47EB4" w:rsidRPr="002C1E2B">
        <w:t xml:space="preserve">s </w:t>
      </w:r>
      <w:r w:rsidRPr="002C1E2B">
        <w:t>for their retirement village accommodation, separate from their recurrent service charges, where a lump sum of money is paid upon entry to the retirement villager operator (</w:t>
      </w:r>
      <w:r w:rsidR="00C47EB4" w:rsidRPr="002C1E2B">
        <w:t xml:space="preserve">usually </w:t>
      </w:r>
      <w:r w:rsidRPr="002C1E2B">
        <w:t xml:space="preserve">based on the market value of the unit) and part, all, or none </w:t>
      </w:r>
      <w:r w:rsidR="00C47EB4" w:rsidRPr="002C1E2B">
        <w:t xml:space="preserve">of which </w:t>
      </w:r>
      <w:r w:rsidRPr="002C1E2B">
        <w:t>is refunded upon exit from the retirement village. Most in</w:t>
      </w:r>
      <w:r w:rsidR="00AF417E" w:rsidRPr="002C1E2B">
        <w:t>-</w:t>
      </w:r>
      <w:r w:rsidRPr="002C1E2B">
        <w:t>going contributions are refundable; after the deduction of contractual fees and charges and inclusion of any capital gain entitlement, the balance is the resident’s exit entitlement.</w:t>
      </w:r>
    </w:p>
    <w:p w14:paraId="72A4532F" w14:textId="77777777" w:rsidR="003D236D" w:rsidRPr="002C1E2B" w:rsidRDefault="003D236D" w:rsidP="003D236D">
      <w:pPr>
        <w:pStyle w:val="BodyText"/>
      </w:pPr>
      <w:r w:rsidRPr="002C1E2B">
        <w:t xml:space="preserve">The amount and the timing of the payment of the exit entitlement </w:t>
      </w:r>
      <w:r w:rsidR="00B77834" w:rsidRPr="002C1E2B">
        <w:t>are</w:t>
      </w:r>
      <w:r w:rsidRPr="002C1E2B">
        <w:t xml:space="preserve"> dependent on the contractual arrangements between the resident and the operator, subject to qualifying provisions in the RV Act and the Regulations.  </w:t>
      </w:r>
    </w:p>
    <w:p w14:paraId="25182910" w14:textId="77777777" w:rsidR="009E7605" w:rsidRDefault="009E7605">
      <w:pPr>
        <w:spacing w:after="200" w:line="276" w:lineRule="auto"/>
      </w:pPr>
      <w:r>
        <w:br w:type="page"/>
      </w:r>
    </w:p>
    <w:p w14:paraId="2AEC0F60" w14:textId="77777777" w:rsidR="003D236D" w:rsidRDefault="003D236D" w:rsidP="00A169E6">
      <w:pPr>
        <w:spacing w:after="200" w:line="276" w:lineRule="auto"/>
      </w:pPr>
      <w:r w:rsidRPr="002C1E2B">
        <w:lastRenderedPageBreak/>
        <w:t>The exit entitlement is calculated according to the following formula:</w:t>
      </w:r>
    </w:p>
    <w:tbl>
      <w:tblPr>
        <w:tblW w:w="0" w:type="auto"/>
        <w:tblCellMar>
          <w:left w:w="0" w:type="dxa"/>
          <w:right w:w="0" w:type="dxa"/>
        </w:tblCellMar>
        <w:tblLook w:val="04A0" w:firstRow="1" w:lastRow="0" w:firstColumn="1" w:lastColumn="0" w:noHBand="0" w:noVBand="1"/>
      </w:tblPr>
      <w:tblGrid>
        <w:gridCol w:w="9017"/>
      </w:tblGrid>
      <w:tr w:rsidR="00FB35E2" w14:paraId="25C8260C" w14:textId="77777777" w:rsidTr="00263234">
        <w:tc>
          <w:tcPr>
            <w:tcW w:w="9243" w:type="dxa"/>
            <w:tcBorders>
              <w:top w:val="single" w:sz="4" w:space="0" w:color="auto"/>
              <w:left w:val="single" w:sz="4" w:space="0" w:color="auto"/>
              <w:bottom w:val="single" w:sz="4" w:space="0" w:color="auto"/>
              <w:right w:val="single" w:sz="4" w:space="0" w:color="auto"/>
            </w:tcBorders>
            <w:shd w:val="clear" w:color="auto" w:fill="DBE5F1"/>
            <w:tcMar>
              <w:top w:w="0" w:type="dxa"/>
              <w:left w:w="108" w:type="dxa"/>
              <w:bottom w:w="0" w:type="dxa"/>
              <w:right w:w="108" w:type="dxa"/>
            </w:tcMar>
            <w:vAlign w:val="center"/>
            <w:hideMark/>
          </w:tcPr>
          <w:p w14:paraId="3D169112" w14:textId="77777777" w:rsidR="00FB35E2" w:rsidRPr="00263234" w:rsidRDefault="00FB35E2">
            <w:pPr>
              <w:spacing w:before="120"/>
              <w:rPr>
                <w:rFonts w:ascii="Times New Roman" w:hAnsi="Times New Roman"/>
                <w:i/>
                <w:sz w:val="20"/>
                <w:szCs w:val="20"/>
                <w:lang w:eastAsia="zh-MO"/>
              </w:rPr>
            </w:pPr>
            <w:r w:rsidRPr="00263234">
              <w:rPr>
                <w:rFonts w:ascii="Times New Roman" w:hAnsi="Times New Roman"/>
                <w:i/>
                <w:szCs w:val="20"/>
                <w:lang w:eastAsia="zh-MO"/>
              </w:rPr>
              <w:t>Exit entitlement = Refundable ingoing contribution – applicable fees – payments made by RV operator under the aged care rule + any capital gains</w:t>
            </w:r>
          </w:p>
        </w:tc>
      </w:tr>
    </w:tbl>
    <w:p w14:paraId="0A687148" w14:textId="77777777" w:rsidR="003D236D" w:rsidRPr="002C1E2B" w:rsidRDefault="00FB6302" w:rsidP="003D236D">
      <w:pPr>
        <w:pStyle w:val="BodyText"/>
      </w:pPr>
      <w:r>
        <w:br/>
      </w:r>
      <w:r w:rsidR="003D236D" w:rsidRPr="002C1E2B">
        <w:t>Where:</w:t>
      </w:r>
    </w:p>
    <w:p w14:paraId="63CE7F3E" w14:textId="77777777" w:rsidR="003D236D" w:rsidRPr="002C1E2B" w:rsidRDefault="003D236D" w:rsidP="003D236D">
      <w:pPr>
        <w:pStyle w:val="BodyText"/>
      </w:pPr>
      <w:r w:rsidRPr="002C1E2B">
        <w:t>The exit entitlement could be more or less than the refundable in-going contribution paid by the resident exiting the retirement village (usually less) and can depend on a number of factors including:</w:t>
      </w:r>
    </w:p>
    <w:p w14:paraId="03F44E2F" w14:textId="77777777" w:rsidR="003D236D" w:rsidRPr="002C1E2B" w:rsidRDefault="003D236D" w:rsidP="003D236D">
      <w:pPr>
        <w:pStyle w:val="ListBullet"/>
      </w:pPr>
      <w:r w:rsidRPr="002C1E2B">
        <w:t>Contractual arrangements entered into;</w:t>
      </w:r>
    </w:p>
    <w:p w14:paraId="4E6820B0" w14:textId="77777777" w:rsidR="003D236D" w:rsidRPr="002C1E2B" w:rsidRDefault="002629FB" w:rsidP="003D236D">
      <w:pPr>
        <w:pStyle w:val="ListBullet"/>
      </w:pPr>
      <w:r w:rsidRPr="002C1E2B">
        <w:t>Sale price</w:t>
      </w:r>
      <w:r w:rsidR="003D236D" w:rsidRPr="002C1E2B">
        <w:t xml:space="preserve"> of unit;</w:t>
      </w:r>
    </w:p>
    <w:p w14:paraId="0BBAE1F2" w14:textId="77777777" w:rsidR="003D236D" w:rsidRPr="002C1E2B" w:rsidRDefault="003D236D" w:rsidP="003D236D">
      <w:pPr>
        <w:pStyle w:val="ListBullet"/>
      </w:pPr>
      <w:r w:rsidRPr="002C1E2B">
        <w:t xml:space="preserve">Price or </w:t>
      </w:r>
      <w:r w:rsidR="00262169" w:rsidRPr="002C1E2B">
        <w:t>in-going</w:t>
      </w:r>
      <w:r w:rsidRPr="002C1E2B">
        <w:t xml:space="preserve"> contribution that next resident pays;</w:t>
      </w:r>
    </w:p>
    <w:p w14:paraId="1B7ACADF" w14:textId="77777777" w:rsidR="003D236D" w:rsidRPr="002C1E2B" w:rsidRDefault="003D236D" w:rsidP="003D236D">
      <w:pPr>
        <w:pStyle w:val="ListBullet"/>
      </w:pPr>
      <w:r w:rsidRPr="002C1E2B">
        <w:t>Independent valuation of unit; and</w:t>
      </w:r>
      <w:r w:rsidR="00C37EFF" w:rsidRPr="002C1E2B">
        <w:t>/or</w:t>
      </w:r>
    </w:p>
    <w:p w14:paraId="50C58B34" w14:textId="77777777" w:rsidR="003D236D" w:rsidRPr="002C1E2B" w:rsidRDefault="002629FB" w:rsidP="003D236D">
      <w:pPr>
        <w:pStyle w:val="ListBullet"/>
        <w:spacing w:after="240"/>
      </w:pPr>
      <w:r w:rsidRPr="002C1E2B">
        <w:t>Non-market factors</w:t>
      </w:r>
      <w:r w:rsidR="003D236D" w:rsidRPr="002C1E2B">
        <w:t>.</w:t>
      </w:r>
    </w:p>
    <w:p w14:paraId="457A1A97" w14:textId="77777777" w:rsidR="003D236D" w:rsidRPr="002C1E2B" w:rsidRDefault="003D236D" w:rsidP="003D236D">
      <w:pPr>
        <w:pStyle w:val="BodyText"/>
      </w:pPr>
      <w:r w:rsidRPr="002C1E2B">
        <w:t xml:space="preserve">The applicable fees may include the deferred management fee (DMF), cost of independent valuations, refurbishment costs and any costs incurred </w:t>
      </w:r>
      <w:r w:rsidR="00C37EFF" w:rsidRPr="002C1E2B">
        <w:t>during</w:t>
      </w:r>
      <w:r w:rsidRPr="002C1E2B">
        <w:t xml:space="preserve"> the sale of the unit. </w:t>
      </w:r>
    </w:p>
    <w:p w14:paraId="785ADE61" w14:textId="77777777" w:rsidR="003D236D" w:rsidRPr="002C1E2B" w:rsidRDefault="003D236D" w:rsidP="003D236D">
      <w:pPr>
        <w:pStyle w:val="BodyText"/>
      </w:pPr>
      <w:r w:rsidRPr="002C1E2B">
        <w:t xml:space="preserve">The aged care payments made by the RV operator only apply when </w:t>
      </w:r>
      <w:r w:rsidR="00C47EB4" w:rsidRPr="002C1E2B">
        <w:t xml:space="preserve">a non-owner </w:t>
      </w:r>
      <w:r w:rsidRPr="002C1E2B">
        <w:t>resident has required the RV operator to make payments to an aged care facility under the aged care rule.</w:t>
      </w:r>
    </w:p>
    <w:p w14:paraId="51123309" w14:textId="77777777" w:rsidR="003D236D" w:rsidRPr="002C1E2B" w:rsidRDefault="003D236D" w:rsidP="00DD036C">
      <w:pPr>
        <w:pStyle w:val="ListBullet"/>
      </w:pPr>
      <w:r w:rsidRPr="002C1E2B">
        <w:t xml:space="preserve">Prior to changes to the </w:t>
      </w:r>
      <w:r w:rsidRPr="002C1E2B">
        <w:rPr>
          <w:i/>
        </w:rPr>
        <w:t>Aged Care Act</w:t>
      </w:r>
      <w:r w:rsidR="00B778AA" w:rsidRPr="002C1E2B">
        <w:rPr>
          <w:i/>
        </w:rPr>
        <w:t xml:space="preserve"> 1997</w:t>
      </w:r>
      <w:r w:rsidR="00B778AA" w:rsidRPr="002C1E2B">
        <w:t xml:space="preserve"> (Aged Care Act)</w:t>
      </w:r>
      <w:r w:rsidRPr="002C1E2B">
        <w:t xml:space="preserve"> in 2014 this was an ‘accommodation bond’ (or interest on the bond) for low-level aged care residents </w:t>
      </w:r>
      <w:r w:rsidR="00C47EB4" w:rsidRPr="002C1E2B">
        <w:t xml:space="preserve">and </w:t>
      </w:r>
      <w:r w:rsidRPr="002C1E2B">
        <w:t>only</w:t>
      </w:r>
      <w:r w:rsidR="00C37EFF" w:rsidRPr="002C1E2B">
        <w:t xml:space="preserve"> required </w:t>
      </w:r>
      <w:r w:rsidR="00880CAA" w:rsidRPr="002C1E2B">
        <w:t>six</w:t>
      </w:r>
      <w:r w:rsidR="00C37EFF" w:rsidRPr="002C1E2B">
        <w:t xml:space="preserve"> months after the resident has entered into residential aged care</w:t>
      </w:r>
      <w:r w:rsidRPr="002C1E2B">
        <w:t>; but</w:t>
      </w:r>
    </w:p>
    <w:p w14:paraId="423CCD97" w14:textId="77777777" w:rsidR="003D236D" w:rsidRPr="002C1E2B" w:rsidRDefault="003D236D" w:rsidP="0094638B">
      <w:pPr>
        <w:pStyle w:val="ListBullet"/>
        <w:spacing w:after="240"/>
      </w:pPr>
      <w:r w:rsidRPr="002C1E2B">
        <w:t xml:space="preserve">Post the amendments to the Aged Care Act, this could be a </w:t>
      </w:r>
      <w:r w:rsidR="00294F68" w:rsidRPr="002C1E2B">
        <w:t>Refundable Accommodation Deposits (RAD)</w:t>
      </w:r>
      <w:r w:rsidRPr="002C1E2B">
        <w:t xml:space="preserve"> or </w:t>
      </w:r>
      <w:r w:rsidR="00294F68" w:rsidRPr="002C1E2B">
        <w:t>Daily Accommodation Payments (DAP)</w:t>
      </w:r>
      <w:r w:rsidRPr="002C1E2B">
        <w:t xml:space="preserve"> paid by any resident moving to aged care.</w:t>
      </w:r>
      <w:r w:rsidR="00C37EFF" w:rsidRPr="002C1E2B">
        <w:t xml:space="preserve"> The RAD is required </w:t>
      </w:r>
      <w:r w:rsidR="00880CAA" w:rsidRPr="002C1E2B">
        <w:t>six</w:t>
      </w:r>
      <w:r w:rsidR="00C37EFF" w:rsidRPr="002C1E2B">
        <w:t xml:space="preserve"> months after the resident has entered into residential aged care while DAPs are required to be paid immediately upon entry in residential aged care. </w:t>
      </w:r>
      <w:r w:rsidRPr="002C1E2B">
        <w:t xml:space="preserve"> </w:t>
      </w:r>
    </w:p>
    <w:p w14:paraId="31A7F438" w14:textId="77777777" w:rsidR="003D236D" w:rsidRPr="002C1E2B" w:rsidRDefault="003D236D" w:rsidP="003D236D">
      <w:pPr>
        <w:pStyle w:val="BodyText"/>
      </w:pPr>
      <w:r w:rsidRPr="002C1E2B">
        <w:t xml:space="preserve">The timing of the payment of the exit entitlement depends on: </w:t>
      </w:r>
    </w:p>
    <w:p w14:paraId="1350E46F" w14:textId="77777777" w:rsidR="003D236D" w:rsidRPr="002C1E2B" w:rsidRDefault="003D236D" w:rsidP="00DD036C">
      <w:pPr>
        <w:pStyle w:val="ListBullet"/>
      </w:pPr>
      <w:r w:rsidRPr="002C1E2B">
        <w:t>Contractual arrangements entered into</w:t>
      </w:r>
      <w:r w:rsidR="00DD036C" w:rsidRPr="002C1E2B">
        <w:t>;</w:t>
      </w:r>
      <w:r w:rsidRPr="002C1E2B">
        <w:t xml:space="preserve"> </w:t>
      </w:r>
    </w:p>
    <w:p w14:paraId="215832DE" w14:textId="77777777" w:rsidR="003D236D" w:rsidRPr="002C1E2B" w:rsidRDefault="003D236D" w:rsidP="00DD036C">
      <w:pPr>
        <w:pStyle w:val="ListBullet"/>
      </w:pPr>
      <w:r w:rsidRPr="002C1E2B">
        <w:t xml:space="preserve">When the unit is sold and the next </w:t>
      </w:r>
      <w:r w:rsidR="00262169" w:rsidRPr="002C1E2B">
        <w:t>in-going</w:t>
      </w:r>
      <w:r w:rsidRPr="002C1E2B">
        <w:t xml:space="preserve"> contribution</w:t>
      </w:r>
      <w:r w:rsidR="00C47EB4" w:rsidRPr="002C1E2B">
        <w:t xml:space="preserve"> is</w:t>
      </w:r>
      <w:r w:rsidRPr="002C1E2B">
        <w:t xml:space="preserve"> received</w:t>
      </w:r>
      <w:r w:rsidR="00DD036C" w:rsidRPr="002C1E2B">
        <w:t>;</w:t>
      </w:r>
    </w:p>
    <w:p w14:paraId="4FA43F7F" w14:textId="77777777" w:rsidR="003D236D" w:rsidRPr="002C1E2B" w:rsidRDefault="003D236D" w:rsidP="00DD036C">
      <w:pPr>
        <w:pStyle w:val="ListBullet"/>
      </w:pPr>
      <w:r w:rsidRPr="002C1E2B">
        <w:t>Any application of the six month rule</w:t>
      </w:r>
      <w:r w:rsidR="00DD036C" w:rsidRPr="002C1E2B">
        <w:t>; and</w:t>
      </w:r>
    </w:p>
    <w:p w14:paraId="6B24C499" w14:textId="77777777" w:rsidR="003D236D" w:rsidRPr="002C1E2B" w:rsidRDefault="003D236D" w:rsidP="00C37EFF">
      <w:pPr>
        <w:pStyle w:val="ListBullet"/>
        <w:spacing w:after="240"/>
        <w:ind w:left="357" w:hanging="357"/>
      </w:pPr>
      <w:r w:rsidRPr="002C1E2B">
        <w:t>Any application of the aged care rule</w:t>
      </w:r>
      <w:r w:rsidR="00DD036C" w:rsidRPr="002C1E2B">
        <w:t>.</w:t>
      </w:r>
    </w:p>
    <w:p w14:paraId="7C971D23" w14:textId="77777777" w:rsidR="00B7439B" w:rsidRPr="002C1E2B" w:rsidRDefault="00C37EFF" w:rsidP="003D236D">
      <w:pPr>
        <w:pStyle w:val="Heading2"/>
      </w:pPr>
      <w:bookmarkStart w:id="31" w:name="_Toc476739258"/>
      <w:bookmarkStart w:id="32" w:name="_Toc476585812"/>
      <w:r w:rsidRPr="002C1E2B">
        <w:t>R</w:t>
      </w:r>
      <w:r w:rsidR="00F765F2" w:rsidRPr="002C1E2B">
        <w:t xml:space="preserve">esidential </w:t>
      </w:r>
      <w:r w:rsidR="00B01861" w:rsidRPr="002C1E2B">
        <w:t>aged care</w:t>
      </w:r>
      <w:bookmarkEnd w:id="31"/>
      <w:bookmarkEnd w:id="32"/>
      <w:r w:rsidR="00B01861" w:rsidRPr="002C1E2B">
        <w:t xml:space="preserve"> </w:t>
      </w:r>
    </w:p>
    <w:p w14:paraId="4C45B5C9" w14:textId="77777777" w:rsidR="00EB7059" w:rsidRPr="002C1E2B" w:rsidRDefault="00B24DA3" w:rsidP="00EB7059">
      <w:r w:rsidRPr="002C1E2B">
        <w:t>The</w:t>
      </w:r>
      <w:r w:rsidR="00EB7059" w:rsidRPr="002C1E2B">
        <w:t xml:space="preserve"> objective of Regulation </w:t>
      </w:r>
      <w:r w:rsidRPr="002C1E2B">
        <w:t xml:space="preserve">6 </w:t>
      </w:r>
      <w:r w:rsidR="00EB7059" w:rsidRPr="002C1E2B">
        <w:t xml:space="preserve">is to provide for the full or part payment of </w:t>
      </w:r>
      <w:r w:rsidR="00DA180D" w:rsidRPr="002C1E2B">
        <w:rPr>
          <w:rFonts w:ascii="Times New Roman" w:eastAsia="MS PMincho" w:hAnsi="Times New Roman"/>
        </w:rPr>
        <w:t>non-owner</w:t>
      </w:r>
      <w:r w:rsidR="00DA180D" w:rsidRPr="002C1E2B">
        <w:t xml:space="preserve"> </w:t>
      </w:r>
      <w:r w:rsidR="00EB7059" w:rsidRPr="002C1E2B">
        <w:t xml:space="preserve">residents’ refundable in-going contributions to be brought forward to cover certain costs to </w:t>
      </w:r>
      <w:r w:rsidR="00DA180D" w:rsidRPr="002C1E2B">
        <w:t>them</w:t>
      </w:r>
      <w:r w:rsidR="00EB7059" w:rsidRPr="002C1E2B">
        <w:t xml:space="preserve"> associated with aged care accommodation. In 2014, the </w:t>
      </w:r>
      <w:r w:rsidR="00AC3672" w:rsidRPr="002C1E2B">
        <w:t>Commonwealth</w:t>
      </w:r>
      <w:r w:rsidR="00EB7059" w:rsidRPr="002C1E2B">
        <w:t xml:space="preserve"> Government </w:t>
      </w:r>
      <w:r w:rsidR="00EB7059" w:rsidRPr="002C1E2B">
        <w:lastRenderedPageBreak/>
        <w:t>introduced significant changes to the arrangements for aged care payments which have impacted the operation of Regulation</w:t>
      </w:r>
      <w:r w:rsidRPr="002C1E2B">
        <w:t xml:space="preserve"> 6</w:t>
      </w:r>
      <w:r w:rsidR="00EB7059" w:rsidRPr="002C1E2B">
        <w:t xml:space="preserve">. </w:t>
      </w:r>
    </w:p>
    <w:p w14:paraId="295BB36B" w14:textId="77777777" w:rsidR="00B01861" w:rsidRPr="002C1E2B" w:rsidRDefault="00B01861" w:rsidP="000916E4">
      <w:pPr>
        <w:pStyle w:val="Heading3"/>
      </w:pPr>
      <w:r w:rsidRPr="002C1E2B">
        <w:t>Aged Care Act 1997</w:t>
      </w:r>
    </w:p>
    <w:p w14:paraId="3DFEC9B7" w14:textId="77777777" w:rsidR="003D236D" w:rsidRPr="002C1E2B" w:rsidRDefault="003D236D" w:rsidP="003D236D">
      <w:pPr>
        <w:pStyle w:val="ListAlphaLC"/>
        <w:spacing w:after="240"/>
      </w:pPr>
      <w:r w:rsidRPr="002C1E2B">
        <w:t xml:space="preserve">The </w:t>
      </w:r>
      <w:r w:rsidRPr="002C1E2B">
        <w:rPr>
          <w:i/>
        </w:rPr>
        <w:t>Aged Care Act 1997</w:t>
      </w:r>
      <w:r w:rsidR="00294F68" w:rsidRPr="002C1E2B">
        <w:t xml:space="preserve"> </w:t>
      </w:r>
      <w:r w:rsidR="00C37EFF" w:rsidRPr="002C1E2B">
        <w:t xml:space="preserve">provides the legislative framework for </w:t>
      </w:r>
      <w:r w:rsidR="00AC3672" w:rsidRPr="002C1E2B">
        <w:t>Commonwealth</w:t>
      </w:r>
      <w:r w:rsidR="00C37EFF" w:rsidRPr="002C1E2B">
        <w:t xml:space="preserve"> Government funded aged care providers, and provides protection for aged care recipients. The legislative framework sets out the requirements to be an approved provider of </w:t>
      </w:r>
      <w:r w:rsidR="00AC3672" w:rsidRPr="002C1E2B">
        <w:t>Commonwealth</w:t>
      </w:r>
      <w:r w:rsidR="00C37EFF" w:rsidRPr="002C1E2B">
        <w:t xml:space="preserve"> Government funded aged care, for the allocation of aged care places, the approval and classification of care recipients, the accreditation of services, and the subsidies paid by the </w:t>
      </w:r>
      <w:r w:rsidR="00AC3672" w:rsidRPr="002C1E2B">
        <w:t>Commonwealth</w:t>
      </w:r>
      <w:r w:rsidR="00C37EFF" w:rsidRPr="002C1E2B">
        <w:t xml:space="preserve"> Government. The framework also sets out the responsibilities of providers in relation to aged care quality and compliance.</w:t>
      </w:r>
      <w:r w:rsidRPr="002C1E2B">
        <w:t xml:space="preserve"> </w:t>
      </w:r>
    </w:p>
    <w:p w14:paraId="728D5402" w14:textId="77777777" w:rsidR="003D236D" w:rsidRPr="002C1E2B" w:rsidRDefault="003D236D" w:rsidP="003D236D">
      <w:pPr>
        <w:pStyle w:val="HeadingU5"/>
      </w:pPr>
      <w:r w:rsidRPr="002C1E2B">
        <w:t>Changes to the Aged Care Act</w:t>
      </w:r>
    </w:p>
    <w:p w14:paraId="32DCCB76" w14:textId="77777777" w:rsidR="003D236D" w:rsidRPr="002C1E2B" w:rsidRDefault="003D236D" w:rsidP="003D236D">
      <w:pPr>
        <w:pStyle w:val="BodyText"/>
      </w:pPr>
      <w:r w:rsidRPr="002C1E2B">
        <w:t xml:space="preserve">In 2014, significant changes were made to the </w:t>
      </w:r>
      <w:r w:rsidRPr="002C1E2B">
        <w:rPr>
          <w:i/>
        </w:rPr>
        <w:t>Aged Care Act 1997</w:t>
      </w:r>
      <w:r w:rsidRPr="002C1E2B">
        <w:t xml:space="preserve"> that have implications for the operation of r.6 of the Regulations (the aged care rule). </w:t>
      </w:r>
    </w:p>
    <w:p w14:paraId="5B763592" w14:textId="77777777" w:rsidR="003D236D" w:rsidRPr="002C1E2B" w:rsidRDefault="003D236D" w:rsidP="003D236D">
      <w:pPr>
        <w:pStyle w:val="BodyText"/>
      </w:pPr>
      <w:r w:rsidRPr="002C1E2B">
        <w:t>Aged care providers can no longer require residents to pay an accommodation bond and residents now have the choice of paying for their accommodation through:</w:t>
      </w:r>
    </w:p>
    <w:p w14:paraId="60F21BB9" w14:textId="77777777" w:rsidR="003D236D" w:rsidRPr="002C1E2B" w:rsidRDefault="00B778AA" w:rsidP="003D236D">
      <w:pPr>
        <w:pStyle w:val="ListBullet"/>
      </w:pPr>
      <w:r w:rsidRPr="002C1E2B">
        <w:t xml:space="preserve">A </w:t>
      </w:r>
      <w:r w:rsidR="003D236D" w:rsidRPr="002C1E2B">
        <w:t>RAD;</w:t>
      </w:r>
    </w:p>
    <w:p w14:paraId="431E6172" w14:textId="77777777" w:rsidR="003D236D" w:rsidRPr="002C1E2B" w:rsidRDefault="003D236D" w:rsidP="003D236D">
      <w:pPr>
        <w:pStyle w:val="ListBullet"/>
      </w:pPr>
      <w:r w:rsidRPr="002C1E2B">
        <w:t>Non-refundable</w:t>
      </w:r>
      <w:r w:rsidR="00B778AA" w:rsidRPr="002C1E2B">
        <w:t xml:space="preserve"> </w:t>
      </w:r>
      <w:r w:rsidRPr="002C1E2B">
        <w:t>DAP</w:t>
      </w:r>
      <w:r w:rsidR="00B778AA" w:rsidRPr="002C1E2B">
        <w:t>s</w:t>
      </w:r>
      <w:r w:rsidRPr="002C1E2B">
        <w:t>;</w:t>
      </w:r>
      <w:r w:rsidRPr="002C1E2B">
        <w:rPr>
          <w:rStyle w:val="FootnoteReference"/>
          <w:lang w:val="en-AU"/>
        </w:rPr>
        <w:footnoteReference w:id="6"/>
      </w:r>
      <w:r w:rsidRPr="002C1E2B">
        <w:t xml:space="preserve"> or</w:t>
      </w:r>
    </w:p>
    <w:p w14:paraId="7F8D3910" w14:textId="77777777" w:rsidR="003D236D" w:rsidRPr="002C1E2B" w:rsidRDefault="003D236D" w:rsidP="003D236D">
      <w:pPr>
        <w:pStyle w:val="ListBullet"/>
        <w:spacing w:after="240"/>
      </w:pPr>
      <w:r w:rsidRPr="002C1E2B">
        <w:t>A mix of the above two.</w:t>
      </w:r>
    </w:p>
    <w:p w14:paraId="67D3152B" w14:textId="77777777" w:rsidR="003D236D" w:rsidRPr="002C1E2B" w:rsidRDefault="003D236D" w:rsidP="007A490B">
      <w:pPr>
        <w:pStyle w:val="BodyText"/>
      </w:pPr>
      <w:r w:rsidRPr="002C1E2B">
        <w:t xml:space="preserve">Residents who initially elect to pay a DAP can revert to a RAD at any time. </w:t>
      </w:r>
      <w:r w:rsidR="00865309" w:rsidRPr="002C1E2B">
        <w:t>Like</w:t>
      </w:r>
      <w:r w:rsidRPr="002C1E2B">
        <w:t xml:space="preserve"> accommodation bonds</w:t>
      </w:r>
      <w:r w:rsidR="00F8204B" w:rsidRPr="002C1E2B">
        <w:t>,</w:t>
      </w:r>
      <w:r w:rsidRPr="002C1E2B">
        <w:t xml:space="preserve"> RADs are not required to be paid until </w:t>
      </w:r>
      <w:r w:rsidR="00880CAA" w:rsidRPr="002C1E2B">
        <w:t>six</w:t>
      </w:r>
      <w:r w:rsidRPr="002C1E2B">
        <w:t xml:space="preserve"> months after entry into the aged care facility.</w:t>
      </w:r>
      <w:r w:rsidR="00C37EFF" w:rsidRPr="002C1E2B">
        <w:t xml:space="preserve"> However, DAPs are required to be paid upon entry into residential aged care. </w:t>
      </w:r>
    </w:p>
    <w:p w14:paraId="27E0044A" w14:textId="77777777" w:rsidR="003D236D" w:rsidRPr="002C1E2B" w:rsidRDefault="003D236D" w:rsidP="007A490B">
      <w:pPr>
        <w:pStyle w:val="BodyText"/>
      </w:pPr>
      <w:r w:rsidRPr="002C1E2B">
        <w:t xml:space="preserve">In addition, the distinction between low care and high care residential aged care facilities has been removed (previously, accommodation bonds could only be required of residents entering low care accommodation; now, all residential aged care residents can elect to pay a RAD or a DAP). </w:t>
      </w:r>
    </w:p>
    <w:p w14:paraId="5811536A" w14:textId="77777777" w:rsidR="003D236D" w:rsidRPr="002C1E2B" w:rsidRDefault="003D236D" w:rsidP="003D236D">
      <w:pPr>
        <w:pStyle w:val="HeadingU5"/>
      </w:pPr>
      <w:r w:rsidRPr="002C1E2B">
        <w:t xml:space="preserve">Operation of the </w:t>
      </w:r>
      <w:r w:rsidR="00AC3672" w:rsidRPr="002C1E2B">
        <w:t>aged care rule</w:t>
      </w:r>
      <w:r w:rsidR="007A490B" w:rsidRPr="002C1E2B">
        <w:t xml:space="preserve"> before and after amendments to the Aged Care Act</w:t>
      </w:r>
    </w:p>
    <w:p w14:paraId="2BB9DCC1" w14:textId="77777777" w:rsidR="003D236D" w:rsidRPr="002C1E2B" w:rsidRDefault="003D236D" w:rsidP="003D236D">
      <w:pPr>
        <w:pStyle w:val="BodyText"/>
      </w:pPr>
      <w:r w:rsidRPr="002C1E2B">
        <w:t>Under the aged care rule, retirement village operators are required to pay</w:t>
      </w:r>
      <w:r w:rsidR="00DA180D" w:rsidRPr="002C1E2B">
        <w:t xml:space="preserve"> non-owner</w:t>
      </w:r>
      <w:r w:rsidRPr="002C1E2B">
        <w:t xml:space="preserve"> residents who are moving to aged care part (or all) of their estimated exit entitlement to fund the resident’s accommodation bond required upon entering </w:t>
      </w:r>
      <w:r w:rsidR="00DA180D" w:rsidRPr="002C1E2B">
        <w:t xml:space="preserve">an </w:t>
      </w:r>
      <w:r w:rsidRPr="002C1E2B">
        <w:t xml:space="preserve">aged care facility, </w:t>
      </w:r>
      <w:r w:rsidR="00880CAA" w:rsidRPr="002C1E2B">
        <w:t>six</w:t>
      </w:r>
      <w:r w:rsidRPr="002C1E2B">
        <w:t xml:space="preserve"> months after the resident has entered the facility, even if the resident is not yet entitled to their exit entitlement under the terms of their residence contract. Alternatively</w:t>
      </w:r>
      <w:r w:rsidRPr="002C1E2B">
        <w:rPr>
          <w:lang w:eastAsia="zh-MO"/>
        </w:rPr>
        <w:t>, if</w:t>
      </w:r>
      <w:r w:rsidR="00DA180D" w:rsidRPr="002C1E2B">
        <w:rPr>
          <w:lang w:eastAsia="zh-MO"/>
        </w:rPr>
        <w:t xml:space="preserve"> the</w:t>
      </w:r>
      <w:r w:rsidRPr="002C1E2B">
        <w:rPr>
          <w:lang w:eastAsia="zh-MO"/>
        </w:rPr>
        <w:t xml:space="preserve"> aged care facility ha</w:t>
      </w:r>
      <w:r w:rsidR="00AC3672" w:rsidRPr="002C1E2B">
        <w:rPr>
          <w:lang w:eastAsia="zh-MO"/>
        </w:rPr>
        <w:t>d</w:t>
      </w:r>
      <w:r w:rsidRPr="002C1E2B">
        <w:rPr>
          <w:lang w:eastAsia="zh-MO"/>
        </w:rPr>
        <w:t xml:space="preserve"> agreed to allow the resident to pay interest o</w:t>
      </w:r>
      <w:r w:rsidR="00AC3672" w:rsidRPr="002C1E2B">
        <w:rPr>
          <w:lang w:eastAsia="zh-MO"/>
        </w:rPr>
        <w:t>n the bond until the resident could</w:t>
      </w:r>
      <w:r w:rsidRPr="002C1E2B">
        <w:rPr>
          <w:lang w:eastAsia="zh-MO"/>
        </w:rPr>
        <w:t xml:space="preserve"> pay the bond, the village operator </w:t>
      </w:r>
      <w:r w:rsidR="00AC3672" w:rsidRPr="002C1E2B">
        <w:rPr>
          <w:lang w:eastAsia="zh-MO"/>
        </w:rPr>
        <w:t>was</w:t>
      </w:r>
      <w:r w:rsidRPr="002C1E2B">
        <w:rPr>
          <w:lang w:eastAsia="zh-MO"/>
        </w:rPr>
        <w:t xml:space="preserve"> required to pay the interest.</w:t>
      </w:r>
    </w:p>
    <w:p w14:paraId="1456AA63" w14:textId="77777777" w:rsidR="009C1F30" w:rsidRPr="002C1E2B" w:rsidRDefault="003D236D" w:rsidP="007A490B">
      <w:pPr>
        <w:pStyle w:val="BodyText"/>
        <w:rPr>
          <w:lang w:eastAsia="zh-MO"/>
        </w:rPr>
      </w:pPr>
      <w:r w:rsidRPr="002C1E2B">
        <w:rPr>
          <w:lang w:eastAsia="zh-MO"/>
        </w:rPr>
        <w:lastRenderedPageBreak/>
        <w:t>The application of this rule is premised on the way that the Aged Care Act</w:t>
      </w:r>
      <w:r w:rsidRPr="002C1E2B">
        <w:rPr>
          <w:i/>
          <w:lang w:eastAsia="zh-MO"/>
        </w:rPr>
        <w:t xml:space="preserve"> </w:t>
      </w:r>
      <w:r w:rsidRPr="002C1E2B">
        <w:rPr>
          <w:lang w:eastAsia="zh-MO"/>
        </w:rPr>
        <w:t>applied prior to the 2014 changes, under which accommodation bonds only applied to low-level aged care residents and entrants could be required to pay such a bond (</w:t>
      </w:r>
      <w:r w:rsidR="00756C7A" w:rsidRPr="002C1E2B">
        <w:rPr>
          <w:lang w:eastAsia="zh-MO"/>
        </w:rPr>
        <w:fldChar w:fldCharType="begin"/>
      </w:r>
      <w:r w:rsidR="00756C7A" w:rsidRPr="002C1E2B">
        <w:rPr>
          <w:lang w:eastAsia="zh-MO"/>
        </w:rPr>
        <w:instrText xml:space="preserve"> REF _Ref475605003 \h </w:instrText>
      </w:r>
      <w:r w:rsidR="00756C7A" w:rsidRPr="002C1E2B">
        <w:rPr>
          <w:lang w:eastAsia="zh-MO"/>
        </w:rPr>
      </w:r>
      <w:r w:rsidR="00756C7A" w:rsidRPr="002C1E2B">
        <w:rPr>
          <w:lang w:eastAsia="zh-MO"/>
        </w:rPr>
        <w:fldChar w:fldCharType="separate"/>
      </w:r>
      <w:r w:rsidR="00BE6CE4" w:rsidRPr="002C1E2B">
        <w:t xml:space="preserve">Figure </w:t>
      </w:r>
      <w:r w:rsidR="00BE6CE4">
        <w:rPr>
          <w:noProof/>
        </w:rPr>
        <w:t>1</w:t>
      </w:r>
      <w:r w:rsidR="00BE6CE4">
        <w:t>.</w:t>
      </w:r>
      <w:r w:rsidR="00BE6CE4">
        <w:rPr>
          <w:noProof/>
        </w:rPr>
        <w:t>1</w:t>
      </w:r>
      <w:r w:rsidR="00756C7A" w:rsidRPr="002C1E2B">
        <w:rPr>
          <w:lang w:eastAsia="zh-MO"/>
        </w:rPr>
        <w:fldChar w:fldCharType="end"/>
      </w:r>
      <w:r w:rsidR="00756C7A" w:rsidRPr="002C1E2B">
        <w:rPr>
          <w:lang w:eastAsia="zh-MO"/>
        </w:rPr>
        <w:t>).</w:t>
      </w:r>
    </w:p>
    <w:p w14:paraId="5BD35C5F" w14:textId="77777777" w:rsidR="004C5596" w:rsidRPr="002C1E2B" w:rsidRDefault="005705AE" w:rsidP="00EF5865">
      <w:pPr>
        <w:pStyle w:val="Caption"/>
        <w:spacing w:after="120"/>
      </w:pPr>
      <w:bookmarkStart w:id="33" w:name="_Ref475454783"/>
      <w:bookmarkStart w:id="34" w:name="_Ref474488287"/>
      <w:bookmarkStart w:id="35" w:name="_Ref475605003"/>
      <w:r w:rsidRPr="002C1E2B">
        <w:t xml:space="preserve">Figure </w:t>
      </w:r>
      <w:r w:rsidR="00C11D17" w:rsidRPr="00A169E6">
        <w:fldChar w:fldCharType="begin"/>
      </w:r>
      <w:r w:rsidR="00C11D17">
        <w:instrText xml:space="preserve"> STYLEREF 1 \s </w:instrText>
      </w:r>
      <w:r w:rsidR="00C11D17" w:rsidRPr="00A169E6">
        <w:fldChar w:fldCharType="separate"/>
      </w:r>
      <w:r w:rsidR="00BE6CE4">
        <w:rPr>
          <w:noProof/>
        </w:rPr>
        <w:t>1</w:t>
      </w:r>
      <w:r w:rsidR="00C11D17" w:rsidRPr="00A169E6">
        <w:fldChar w:fldCharType="end"/>
      </w:r>
      <w:r w:rsidR="00C11D17">
        <w:t>.</w:t>
      </w:r>
      <w:r w:rsidR="00C11D17" w:rsidRPr="00A169E6">
        <w:fldChar w:fldCharType="begin"/>
      </w:r>
      <w:r w:rsidR="00C11D17">
        <w:instrText xml:space="preserve"> SEQ Figure \* ARABIC \s 1 </w:instrText>
      </w:r>
      <w:r w:rsidR="00C11D17" w:rsidRPr="00A169E6">
        <w:fldChar w:fldCharType="separate"/>
      </w:r>
      <w:r w:rsidR="00BE6CE4">
        <w:rPr>
          <w:noProof/>
        </w:rPr>
        <w:t>1</w:t>
      </w:r>
      <w:r w:rsidR="00C11D17" w:rsidRPr="00A169E6">
        <w:fldChar w:fldCharType="end"/>
      </w:r>
      <w:bookmarkEnd w:id="33"/>
      <w:bookmarkEnd w:id="34"/>
      <w:bookmarkEnd w:id="35"/>
      <w:r w:rsidR="009C1F30" w:rsidRPr="002C1E2B">
        <w:t xml:space="preserve">– Operation of the aged care rule </w:t>
      </w:r>
      <w:r w:rsidR="003D236D" w:rsidRPr="002C1E2B">
        <w:t>pre-2014</w:t>
      </w:r>
      <w:r w:rsidR="004C5596" w:rsidRPr="002C1E2B">
        <w:t xml:space="preserve"> </w:t>
      </w:r>
    </w:p>
    <w:p w14:paraId="568BA27E" w14:textId="77777777" w:rsidR="004C5596" w:rsidRPr="002C1E2B" w:rsidRDefault="004C5596" w:rsidP="00EF5865">
      <w:pPr>
        <w:pStyle w:val="Caption"/>
        <w:spacing w:after="120"/>
      </w:pPr>
      <w:r w:rsidRPr="002C1E2B">
        <w:rPr>
          <w:noProof/>
          <w:lang w:eastAsia="en-AU"/>
        </w:rPr>
        <w:drawing>
          <wp:inline distT="0" distB="0" distL="0" distR="0" wp14:anchorId="31932D96" wp14:editId="76489AE5">
            <wp:extent cx="5732145" cy="3320901"/>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2145" cy="3320901"/>
                    </a:xfrm>
                    <a:prstGeom prst="rect">
                      <a:avLst/>
                    </a:prstGeom>
                    <a:noFill/>
                    <a:ln>
                      <a:noFill/>
                    </a:ln>
                  </pic:spPr>
                </pic:pic>
              </a:graphicData>
            </a:graphic>
          </wp:inline>
        </w:drawing>
      </w:r>
    </w:p>
    <w:p w14:paraId="45E5B0E3" w14:textId="77777777" w:rsidR="003D236D" w:rsidRPr="002C1E2B" w:rsidRDefault="003D236D" w:rsidP="003D236D">
      <w:pPr>
        <w:pStyle w:val="BodyText"/>
      </w:pPr>
      <w:r w:rsidRPr="002C1E2B">
        <w:t>The aged care rule does not sit well with the post-2014 Aged Care Act, under which all entrants to aged care can choose between paying for their accommodation by an accommodation bond or by a DAP, which replaces the concept of interest payments</w:t>
      </w:r>
      <w:r w:rsidR="007A490B" w:rsidRPr="002C1E2B">
        <w:t xml:space="preserve"> and bonds</w:t>
      </w:r>
      <w:r w:rsidRPr="002C1E2B">
        <w:t xml:space="preserve">. </w:t>
      </w:r>
    </w:p>
    <w:p w14:paraId="17BFCAA3" w14:textId="77777777" w:rsidR="00756C7A" w:rsidRPr="002C1E2B" w:rsidRDefault="00EB7059" w:rsidP="00EB1DAB">
      <w:r w:rsidRPr="002C1E2B">
        <w:t xml:space="preserve">Since the changes to the Aged Care Act, it is </w:t>
      </w:r>
      <w:r w:rsidR="00227551" w:rsidRPr="002C1E2B">
        <w:t>understood</w:t>
      </w:r>
      <w:r w:rsidRPr="002C1E2B">
        <w:t xml:space="preserve"> that retirement village operators have been treating the obligation under the aged care rule to pay an accommodation bond as an obligation to pay a RAD. However, in instances where </w:t>
      </w:r>
      <w:r w:rsidR="00DA180D" w:rsidRPr="002C1E2B">
        <w:t xml:space="preserve">non-owner </w:t>
      </w:r>
      <w:r w:rsidRPr="002C1E2B">
        <w:t>residents have elected to pay DAPs, operators have been willing to pay these DAPs, in lieu of paying a RAD.   </w:t>
      </w:r>
    </w:p>
    <w:p w14:paraId="33CD7E59" w14:textId="77777777" w:rsidR="00756C7A" w:rsidRPr="002C1E2B" w:rsidRDefault="00756C7A">
      <w:pPr>
        <w:spacing w:after="200" w:line="276" w:lineRule="auto"/>
        <w:rPr>
          <w:b/>
          <w:bCs/>
        </w:rPr>
      </w:pPr>
      <w:r w:rsidRPr="002C1E2B">
        <w:rPr>
          <w:b/>
          <w:bCs/>
        </w:rPr>
        <w:br w:type="page"/>
      </w:r>
    </w:p>
    <w:p w14:paraId="6D74D979" w14:textId="77777777" w:rsidR="008142C1" w:rsidRPr="002C1E2B" w:rsidRDefault="00756C7A" w:rsidP="00EB1DAB">
      <w:pPr>
        <w:jc w:val="center"/>
        <w:rPr>
          <w:b/>
          <w:bCs/>
        </w:rPr>
      </w:pPr>
      <w:r w:rsidRPr="002C1E2B">
        <w:rPr>
          <w:b/>
          <w:bCs/>
        </w:rPr>
        <w:lastRenderedPageBreak/>
        <w:t xml:space="preserve">Figure </w:t>
      </w:r>
      <w:r w:rsidR="00C11D17">
        <w:rPr>
          <w:b/>
          <w:bCs/>
        </w:rPr>
        <w:fldChar w:fldCharType="begin"/>
      </w:r>
      <w:r w:rsidR="00C11D17">
        <w:rPr>
          <w:b/>
          <w:bCs/>
        </w:rPr>
        <w:instrText xml:space="preserve"> STYLEREF 1 \s </w:instrText>
      </w:r>
      <w:r w:rsidR="00C11D17">
        <w:rPr>
          <w:b/>
          <w:bCs/>
        </w:rPr>
        <w:fldChar w:fldCharType="separate"/>
      </w:r>
      <w:r w:rsidR="00BE6CE4">
        <w:rPr>
          <w:b/>
          <w:bCs/>
          <w:noProof/>
        </w:rPr>
        <w:t>1</w:t>
      </w:r>
      <w:r w:rsidR="00C11D17">
        <w:rPr>
          <w:b/>
          <w:bCs/>
        </w:rPr>
        <w:fldChar w:fldCharType="end"/>
      </w:r>
      <w:r w:rsidR="00C11D17">
        <w:rPr>
          <w:b/>
          <w:bCs/>
        </w:rPr>
        <w:t>.</w:t>
      </w:r>
      <w:r w:rsidR="00C11D17">
        <w:rPr>
          <w:b/>
          <w:bCs/>
        </w:rPr>
        <w:fldChar w:fldCharType="begin"/>
      </w:r>
      <w:r w:rsidR="00C11D17">
        <w:rPr>
          <w:b/>
          <w:bCs/>
        </w:rPr>
        <w:instrText xml:space="preserve"> SEQ Figure \* ARABIC \s 1 </w:instrText>
      </w:r>
      <w:r w:rsidR="00C11D17">
        <w:rPr>
          <w:b/>
          <w:bCs/>
        </w:rPr>
        <w:fldChar w:fldCharType="separate"/>
      </w:r>
      <w:r w:rsidR="00BE6CE4">
        <w:rPr>
          <w:b/>
          <w:bCs/>
          <w:noProof/>
        </w:rPr>
        <w:t>2</w:t>
      </w:r>
      <w:r w:rsidR="00C11D17">
        <w:rPr>
          <w:b/>
          <w:bCs/>
        </w:rPr>
        <w:fldChar w:fldCharType="end"/>
      </w:r>
      <w:r w:rsidRPr="002C1E2B">
        <w:rPr>
          <w:b/>
          <w:bCs/>
        </w:rPr>
        <w:t xml:space="preserve"> </w:t>
      </w:r>
      <w:r w:rsidR="008142C1" w:rsidRPr="002C1E2B">
        <w:rPr>
          <w:b/>
          <w:bCs/>
        </w:rPr>
        <w:t>– Operation of the aged care rule</w:t>
      </w:r>
      <w:r w:rsidR="003D236D" w:rsidRPr="002C1E2B">
        <w:rPr>
          <w:b/>
          <w:bCs/>
        </w:rPr>
        <w:t xml:space="preserve"> post</w:t>
      </w:r>
      <w:r w:rsidR="008142C1" w:rsidRPr="002C1E2B">
        <w:rPr>
          <w:b/>
          <w:bCs/>
        </w:rPr>
        <w:t xml:space="preserve"> </w:t>
      </w:r>
      <w:r w:rsidR="003D236D" w:rsidRPr="002C1E2B">
        <w:rPr>
          <w:b/>
          <w:bCs/>
        </w:rPr>
        <w:t>2014</w:t>
      </w:r>
    </w:p>
    <w:p w14:paraId="36C7D930" w14:textId="77777777" w:rsidR="005D68E2" w:rsidRPr="002C1E2B" w:rsidRDefault="00696BC8" w:rsidP="00EF5865">
      <w:pPr>
        <w:jc w:val="center"/>
      </w:pPr>
      <w:r w:rsidRPr="002C1E2B">
        <w:rPr>
          <w:noProof/>
          <w:lang w:eastAsia="en-AU"/>
        </w:rPr>
        <w:drawing>
          <wp:inline distT="0" distB="0" distL="0" distR="0" wp14:anchorId="5A6B475D" wp14:editId="609DA482">
            <wp:extent cx="5732145" cy="3146447"/>
            <wp:effectExtent l="0" t="0" r="1905"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2145" cy="3146447"/>
                    </a:xfrm>
                    <a:prstGeom prst="rect">
                      <a:avLst/>
                    </a:prstGeom>
                    <a:noFill/>
                    <a:ln>
                      <a:noFill/>
                    </a:ln>
                  </pic:spPr>
                </pic:pic>
              </a:graphicData>
            </a:graphic>
          </wp:inline>
        </w:drawing>
      </w:r>
    </w:p>
    <w:p w14:paraId="2BE3E560" w14:textId="77777777" w:rsidR="005B1DE2" w:rsidRPr="002C1E2B" w:rsidRDefault="00A4333D" w:rsidP="005B1DE2">
      <w:pPr>
        <w:pStyle w:val="Heading2"/>
      </w:pPr>
      <w:bookmarkStart w:id="36" w:name="_Toc476739259"/>
      <w:bookmarkStart w:id="37" w:name="_Toc476585813"/>
      <w:r w:rsidRPr="002C1E2B">
        <w:t>Demand and supply profile in the retirement village sector</w:t>
      </w:r>
      <w:bookmarkEnd w:id="25"/>
      <w:bookmarkEnd w:id="36"/>
      <w:bookmarkEnd w:id="37"/>
    </w:p>
    <w:p w14:paraId="60E34CAB" w14:textId="77777777" w:rsidR="003D236D" w:rsidRPr="002C1E2B" w:rsidRDefault="003D236D" w:rsidP="003D236D">
      <w:pPr>
        <w:pStyle w:val="Heading3"/>
      </w:pPr>
      <w:r w:rsidRPr="002C1E2B">
        <w:t>Demand for retirement village services</w:t>
      </w:r>
    </w:p>
    <w:p w14:paraId="0B013030" w14:textId="77777777" w:rsidR="003D236D" w:rsidRPr="002C1E2B" w:rsidRDefault="003D236D" w:rsidP="003D236D">
      <w:pPr>
        <w:pStyle w:val="BodyText"/>
      </w:pPr>
      <w:r w:rsidRPr="002C1E2B">
        <w:t xml:space="preserve">In 2016, </w:t>
      </w:r>
      <w:r w:rsidR="003914A4" w:rsidRPr="002C1E2B">
        <w:t>there were 43,107 residents living in Victorian retirement villages</w:t>
      </w:r>
      <w:r w:rsidR="00B92170" w:rsidRPr="002C1E2B">
        <w:t>.</w:t>
      </w:r>
      <w:r w:rsidR="00865309" w:rsidRPr="002C1E2B">
        <w:rPr>
          <w:rStyle w:val="FootnoteReference"/>
          <w:lang w:val="en-AU"/>
        </w:rPr>
        <w:footnoteReference w:id="7"/>
      </w:r>
      <w:r w:rsidR="00B92170" w:rsidRPr="002C1E2B">
        <w:t xml:space="preserve"> Over the ten year period from 2006 to 2016, the average annual growth rate was approximately </w:t>
      </w:r>
      <w:r w:rsidR="00C277C5" w:rsidRPr="002C1E2B">
        <w:t>six</w:t>
      </w:r>
      <w:r w:rsidR="00EF6C0A" w:rsidRPr="002C1E2B">
        <w:t> </w:t>
      </w:r>
      <w:r w:rsidR="00E90384" w:rsidRPr="002C1E2B">
        <w:t>per</w:t>
      </w:r>
      <w:r w:rsidR="00EF6C0A" w:rsidRPr="002C1E2B">
        <w:t> </w:t>
      </w:r>
      <w:r w:rsidR="00E90384" w:rsidRPr="002C1E2B">
        <w:t>cent (</w:t>
      </w:r>
      <w:r w:rsidRPr="002C1E2B">
        <w:t xml:space="preserve">see </w:t>
      </w:r>
      <w:r w:rsidRPr="002C1E2B">
        <w:fldChar w:fldCharType="begin"/>
      </w:r>
      <w:r w:rsidRPr="002C1E2B">
        <w:instrText xml:space="preserve"> REF _Ref472612372 \h </w:instrText>
      </w:r>
      <w:r w:rsidRPr="002C1E2B">
        <w:fldChar w:fldCharType="separate"/>
      </w:r>
      <w:r w:rsidR="00BE6CE4" w:rsidRPr="002C1E2B">
        <w:t xml:space="preserve">Figure </w:t>
      </w:r>
      <w:r w:rsidR="00BE6CE4">
        <w:rPr>
          <w:noProof/>
        </w:rPr>
        <w:t>1</w:t>
      </w:r>
      <w:r w:rsidR="00BE6CE4">
        <w:t>.</w:t>
      </w:r>
      <w:r w:rsidR="00BE6CE4">
        <w:rPr>
          <w:noProof/>
        </w:rPr>
        <w:t>3</w:t>
      </w:r>
      <w:r w:rsidRPr="002C1E2B">
        <w:fldChar w:fldCharType="end"/>
      </w:r>
      <w:r w:rsidRPr="002C1E2B">
        <w:t>).</w:t>
      </w:r>
    </w:p>
    <w:p w14:paraId="47A262C6" w14:textId="77777777" w:rsidR="003D236D" w:rsidRPr="002C1E2B" w:rsidRDefault="005705AE" w:rsidP="008D2DD9">
      <w:pPr>
        <w:pStyle w:val="Caption"/>
        <w:spacing w:after="120"/>
      </w:pPr>
      <w:bookmarkStart w:id="38" w:name="_Ref472612372"/>
      <w:r w:rsidRPr="002C1E2B">
        <w:lastRenderedPageBreak/>
        <w:t xml:space="preserve">Figure </w:t>
      </w:r>
      <w:r w:rsidR="00C11D17">
        <w:fldChar w:fldCharType="begin"/>
      </w:r>
      <w:r w:rsidR="00C11D17">
        <w:instrText xml:space="preserve"> STYLEREF 1 \s </w:instrText>
      </w:r>
      <w:r w:rsidR="00C11D17">
        <w:fldChar w:fldCharType="separate"/>
      </w:r>
      <w:r w:rsidR="00BE6CE4">
        <w:rPr>
          <w:noProof/>
        </w:rPr>
        <w:t>1</w:t>
      </w:r>
      <w:r w:rsidR="00C11D17">
        <w:fldChar w:fldCharType="end"/>
      </w:r>
      <w:r w:rsidR="00C11D17">
        <w:t>.</w:t>
      </w:r>
      <w:r w:rsidR="00C11D17">
        <w:fldChar w:fldCharType="begin"/>
      </w:r>
      <w:r w:rsidR="00C11D17">
        <w:instrText xml:space="preserve"> SEQ Figure \* ARABIC \s 1 </w:instrText>
      </w:r>
      <w:r w:rsidR="00C11D17">
        <w:fldChar w:fldCharType="separate"/>
      </w:r>
      <w:r w:rsidR="00BE6CE4">
        <w:rPr>
          <w:noProof/>
        </w:rPr>
        <w:t>3</w:t>
      </w:r>
      <w:r w:rsidR="00C11D17">
        <w:fldChar w:fldCharType="end"/>
      </w:r>
      <w:bookmarkEnd w:id="38"/>
      <w:r w:rsidR="003D236D" w:rsidRPr="002C1E2B">
        <w:t xml:space="preserve"> </w:t>
      </w:r>
      <w:r w:rsidR="00AC3672" w:rsidRPr="002C1E2B">
        <w:t xml:space="preserve">– </w:t>
      </w:r>
      <w:r w:rsidR="003D236D" w:rsidRPr="002C1E2B">
        <w:t>Growth in Victorian retirement village residents, 2006 to 2016</w:t>
      </w:r>
    </w:p>
    <w:p w14:paraId="3BB42EC1" w14:textId="77777777" w:rsidR="003D236D" w:rsidRPr="002C1E2B" w:rsidRDefault="003C6334" w:rsidP="003D236D">
      <w:pPr>
        <w:pStyle w:val="BodyText"/>
        <w:spacing w:after="0"/>
        <w:rPr>
          <w:highlight w:val="yellow"/>
          <w:lang w:eastAsia="zh-MO"/>
        </w:rPr>
      </w:pPr>
      <w:r w:rsidRPr="003C6334">
        <w:rPr>
          <w:noProof/>
          <w:lang w:eastAsia="en-AU"/>
        </w:rPr>
        <w:drawing>
          <wp:inline distT="0" distB="0" distL="0" distR="0" wp14:anchorId="1ABCF462" wp14:editId="5DF80F51">
            <wp:extent cx="5720080" cy="3444875"/>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20080" cy="3444875"/>
                    </a:xfrm>
                    <a:prstGeom prst="rect">
                      <a:avLst/>
                    </a:prstGeom>
                    <a:noFill/>
                    <a:ln>
                      <a:noFill/>
                    </a:ln>
                  </pic:spPr>
                </pic:pic>
              </a:graphicData>
            </a:graphic>
          </wp:inline>
        </w:drawing>
      </w:r>
    </w:p>
    <w:p w14:paraId="0A728060" w14:textId="77777777" w:rsidR="003D236D" w:rsidRPr="002C1E2B" w:rsidRDefault="003D236D" w:rsidP="003D236D">
      <w:pPr>
        <w:pStyle w:val="BodyText"/>
        <w:rPr>
          <w:rFonts w:eastAsia="PMingLiU"/>
          <w:sz w:val="20"/>
          <w:szCs w:val="20"/>
          <w:lang w:eastAsia="zh-MO"/>
        </w:rPr>
      </w:pPr>
      <w:r w:rsidRPr="002C1E2B">
        <w:rPr>
          <w:sz w:val="20"/>
          <w:szCs w:val="20"/>
          <w:lang w:eastAsia="zh-MO"/>
        </w:rPr>
        <w:t>Source</w:t>
      </w:r>
      <w:r w:rsidR="003914A4" w:rsidRPr="002C1E2B">
        <w:rPr>
          <w:sz w:val="20"/>
          <w:szCs w:val="20"/>
          <w:lang w:eastAsia="zh-MO"/>
        </w:rPr>
        <w:t>s</w:t>
      </w:r>
      <w:r w:rsidRPr="002C1E2B">
        <w:rPr>
          <w:sz w:val="20"/>
          <w:szCs w:val="20"/>
          <w:lang w:eastAsia="zh-MO"/>
        </w:rPr>
        <w:t xml:space="preserve">: </w:t>
      </w:r>
      <w:r w:rsidR="00B92170" w:rsidRPr="002C1E2B">
        <w:rPr>
          <w:sz w:val="20"/>
          <w:szCs w:val="20"/>
          <w:lang w:eastAsia="zh-MO"/>
        </w:rPr>
        <w:t>P</w:t>
      </w:r>
      <w:r w:rsidR="00DF60C1" w:rsidRPr="002C1E2B">
        <w:rPr>
          <w:sz w:val="20"/>
          <w:szCs w:val="20"/>
          <w:lang w:eastAsia="zh-MO"/>
        </w:rPr>
        <w:t xml:space="preserve">roperty </w:t>
      </w:r>
      <w:r w:rsidR="00B92170" w:rsidRPr="002C1E2B">
        <w:rPr>
          <w:sz w:val="20"/>
          <w:szCs w:val="20"/>
          <w:lang w:eastAsia="zh-MO"/>
        </w:rPr>
        <w:t>C</w:t>
      </w:r>
      <w:r w:rsidR="00DF60C1" w:rsidRPr="002C1E2B">
        <w:rPr>
          <w:sz w:val="20"/>
          <w:szCs w:val="20"/>
          <w:lang w:eastAsia="zh-MO"/>
        </w:rPr>
        <w:t xml:space="preserve">ouncil of </w:t>
      </w:r>
      <w:r w:rsidR="00B92170" w:rsidRPr="002C1E2B">
        <w:rPr>
          <w:sz w:val="20"/>
          <w:szCs w:val="20"/>
          <w:lang w:eastAsia="zh-MO"/>
        </w:rPr>
        <w:t>A</w:t>
      </w:r>
      <w:r w:rsidR="00DF60C1" w:rsidRPr="002C1E2B">
        <w:rPr>
          <w:sz w:val="20"/>
          <w:szCs w:val="20"/>
          <w:lang w:eastAsia="zh-MO"/>
        </w:rPr>
        <w:t>ustralia</w:t>
      </w:r>
      <w:r w:rsidR="00EB1DAB" w:rsidRPr="002C1E2B">
        <w:rPr>
          <w:sz w:val="20"/>
          <w:szCs w:val="20"/>
          <w:lang w:eastAsia="zh-MO"/>
        </w:rPr>
        <w:t>’s</w:t>
      </w:r>
      <w:r w:rsidR="00B92170" w:rsidRPr="002C1E2B">
        <w:rPr>
          <w:sz w:val="20"/>
          <w:szCs w:val="20"/>
          <w:lang w:eastAsia="zh-MO"/>
        </w:rPr>
        <w:t xml:space="preserve"> submission to the Parliamentary Inquir</w:t>
      </w:r>
      <w:r w:rsidR="005F2A10" w:rsidRPr="002C1E2B">
        <w:rPr>
          <w:sz w:val="20"/>
          <w:szCs w:val="20"/>
          <w:lang w:eastAsia="zh-MO"/>
        </w:rPr>
        <w:t>y</w:t>
      </w:r>
      <w:r w:rsidR="00B92170" w:rsidRPr="002C1E2B">
        <w:rPr>
          <w:sz w:val="20"/>
          <w:szCs w:val="20"/>
          <w:lang w:eastAsia="zh-MO"/>
        </w:rPr>
        <w:t xml:space="preserve"> to the Retirement Housing Sector</w:t>
      </w:r>
      <w:r w:rsidR="000C252F" w:rsidRPr="002C1E2B">
        <w:rPr>
          <w:sz w:val="20"/>
          <w:szCs w:val="20"/>
          <w:lang w:eastAsia="zh-MO"/>
        </w:rPr>
        <w:t>;</w:t>
      </w:r>
      <w:r w:rsidR="00B92170" w:rsidRPr="002C1E2B">
        <w:rPr>
          <w:sz w:val="20"/>
          <w:szCs w:val="20"/>
          <w:lang w:eastAsia="zh-MO"/>
        </w:rPr>
        <w:t xml:space="preserve"> </w:t>
      </w:r>
      <w:proofErr w:type="spellStart"/>
      <w:r w:rsidR="000C252F" w:rsidRPr="002C1E2B">
        <w:rPr>
          <w:sz w:val="20"/>
          <w:szCs w:val="20"/>
          <w:lang w:eastAsia="zh-MO"/>
        </w:rPr>
        <w:t>Patersons</w:t>
      </w:r>
      <w:proofErr w:type="spellEnd"/>
      <w:r w:rsidR="000C252F" w:rsidRPr="002C1E2B">
        <w:rPr>
          <w:sz w:val="20"/>
          <w:szCs w:val="20"/>
          <w:lang w:eastAsia="zh-MO"/>
        </w:rPr>
        <w:t xml:space="preserve"> 2014, </w:t>
      </w:r>
      <w:r w:rsidR="000C252F" w:rsidRPr="002C1E2B">
        <w:rPr>
          <w:i/>
          <w:sz w:val="20"/>
          <w:szCs w:val="20"/>
          <w:lang w:eastAsia="zh-MO"/>
        </w:rPr>
        <w:t>Aged Care &amp; Retirement Sector Industry Report</w:t>
      </w:r>
      <w:r w:rsidR="000C252F" w:rsidRPr="002C1E2B">
        <w:rPr>
          <w:sz w:val="20"/>
          <w:szCs w:val="20"/>
          <w:lang w:eastAsia="zh-MO"/>
        </w:rPr>
        <w:t xml:space="preserve">; </w:t>
      </w:r>
      <w:r w:rsidR="00B92170" w:rsidRPr="002C1E2B">
        <w:rPr>
          <w:sz w:val="20"/>
          <w:szCs w:val="20"/>
          <w:lang w:eastAsia="zh-MO"/>
        </w:rPr>
        <w:t>and 2011 ABS Census data.</w:t>
      </w:r>
    </w:p>
    <w:p w14:paraId="65B3A9AE" w14:textId="77777777" w:rsidR="003D236D" w:rsidRPr="002C1E2B" w:rsidRDefault="003D236D" w:rsidP="003D236D">
      <w:pPr>
        <w:pStyle w:val="BodyText"/>
        <w:rPr>
          <w:rFonts w:eastAsia="PMingLiU"/>
          <w:lang w:eastAsia="zh-MO"/>
        </w:rPr>
      </w:pPr>
      <w:r w:rsidRPr="002C1E2B">
        <w:rPr>
          <w:rFonts w:eastAsia="PMingLiU"/>
          <w:lang w:eastAsia="zh-MO"/>
        </w:rPr>
        <w:t>The average age of residents entering retirement villages is currently 7</w:t>
      </w:r>
      <w:r w:rsidR="005B7B55" w:rsidRPr="002C1E2B">
        <w:rPr>
          <w:rFonts w:eastAsia="PMingLiU"/>
          <w:lang w:eastAsia="zh-MO"/>
        </w:rPr>
        <w:t>6</w:t>
      </w:r>
      <w:r w:rsidRPr="002C1E2B">
        <w:rPr>
          <w:rFonts w:eastAsia="PMingLiU"/>
          <w:lang w:eastAsia="zh-MO"/>
        </w:rPr>
        <w:t xml:space="preserve"> years old, and recent research has indicated that this has not changed substantially over the past three years.</w:t>
      </w:r>
      <w:r w:rsidRPr="002C1E2B">
        <w:rPr>
          <w:rStyle w:val="FootnoteReference"/>
          <w:rFonts w:eastAsia="PMingLiU"/>
          <w:lang w:val="en-AU"/>
        </w:rPr>
        <w:footnoteReference w:id="8"/>
      </w:r>
      <w:r w:rsidRPr="002C1E2B">
        <w:rPr>
          <w:rFonts w:eastAsia="PMingLiU"/>
          <w:lang w:eastAsia="zh-MO"/>
        </w:rPr>
        <w:t xml:space="preserve"> Although </w:t>
      </w:r>
      <w:r w:rsidR="00DA180D" w:rsidRPr="002C1E2B">
        <w:rPr>
          <w:rFonts w:eastAsia="PMingLiU"/>
          <w:lang w:eastAsia="zh-MO"/>
        </w:rPr>
        <w:t xml:space="preserve">under the RV Act’s </w:t>
      </w:r>
      <w:r w:rsidRPr="002C1E2B">
        <w:rPr>
          <w:rFonts w:eastAsia="PMingLiU"/>
          <w:lang w:eastAsia="zh-MO"/>
        </w:rPr>
        <w:t>definition of a retirement village</w:t>
      </w:r>
      <w:r w:rsidR="00DA180D" w:rsidRPr="002C1E2B">
        <w:rPr>
          <w:rFonts w:eastAsia="PMingLiU"/>
          <w:lang w:eastAsia="zh-MO"/>
        </w:rPr>
        <w:t xml:space="preserve">, </w:t>
      </w:r>
      <w:r w:rsidRPr="002C1E2B">
        <w:rPr>
          <w:rFonts w:eastAsia="PMingLiU"/>
          <w:lang w:eastAsia="zh-MO"/>
        </w:rPr>
        <w:t>most of the residents are aged 55 years or over, survey data from the Property Council</w:t>
      </w:r>
      <w:r w:rsidR="00DF60C1" w:rsidRPr="002C1E2B">
        <w:rPr>
          <w:rFonts w:eastAsia="PMingLiU"/>
          <w:lang w:eastAsia="zh-MO"/>
        </w:rPr>
        <w:t xml:space="preserve"> of Australia</w:t>
      </w:r>
      <w:r w:rsidRPr="002C1E2B">
        <w:rPr>
          <w:rFonts w:eastAsia="PMingLiU"/>
          <w:lang w:eastAsia="zh-MO"/>
        </w:rPr>
        <w:t>’s</w:t>
      </w:r>
      <w:r w:rsidR="00DF60C1" w:rsidRPr="002C1E2B">
        <w:rPr>
          <w:rFonts w:eastAsia="PMingLiU"/>
          <w:lang w:eastAsia="zh-MO"/>
        </w:rPr>
        <w:t xml:space="preserve"> (PCA)</w:t>
      </w:r>
      <w:r w:rsidRPr="002C1E2B">
        <w:rPr>
          <w:rFonts w:eastAsia="PMingLiU"/>
          <w:lang w:eastAsia="zh-MO"/>
        </w:rPr>
        <w:t xml:space="preserve"> Retirement Census shows that more than 95 per cent of retirement village residents are over 65 years of age and more than 70 per cent are over the age of 75. </w:t>
      </w:r>
    </w:p>
    <w:p w14:paraId="38816B00" w14:textId="77777777" w:rsidR="003D236D" w:rsidRPr="002C1E2B" w:rsidRDefault="003D236D" w:rsidP="003D236D">
      <w:pPr>
        <w:pStyle w:val="BodyText"/>
        <w:rPr>
          <w:rFonts w:eastAsia="PMingLiU"/>
          <w:lang w:eastAsia="zh-MO"/>
        </w:rPr>
      </w:pPr>
      <w:r w:rsidRPr="002C1E2B">
        <w:rPr>
          <w:rFonts w:eastAsia="PMingLiU"/>
          <w:lang w:eastAsia="zh-MO"/>
        </w:rPr>
        <w:t xml:space="preserve">Data on current resident tenure indicates that on average current residents have been in retirement villages for </w:t>
      </w:r>
      <w:r w:rsidR="007A490B" w:rsidRPr="002C1E2B">
        <w:rPr>
          <w:rFonts w:eastAsia="PMingLiU"/>
          <w:lang w:eastAsia="zh-MO"/>
        </w:rPr>
        <w:t>seven</w:t>
      </w:r>
      <w:r w:rsidRPr="002C1E2B">
        <w:rPr>
          <w:rFonts w:eastAsia="PMingLiU"/>
          <w:lang w:eastAsia="zh-MO"/>
        </w:rPr>
        <w:t xml:space="preserve"> years in Victoria.</w:t>
      </w:r>
      <w:r w:rsidRPr="002C1E2B">
        <w:rPr>
          <w:rStyle w:val="FootnoteReference"/>
          <w:rFonts w:eastAsia="PMingLiU"/>
          <w:lang w:val="en-AU"/>
        </w:rPr>
        <w:footnoteReference w:id="9"/>
      </w:r>
      <w:r w:rsidRPr="002C1E2B">
        <w:rPr>
          <w:rFonts w:eastAsia="PMingLiU"/>
          <w:lang w:eastAsia="zh-MO"/>
        </w:rPr>
        <w:t xml:space="preserve"> </w:t>
      </w:r>
      <w:r w:rsidR="007A490B" w:rsidRPr="002C1E2B">
        <w:rPr>
          <w:rFonts w:eastAsia="PMingLiU"/>
          <w:lang w:eastAsia="zh-MO"/>
        </w:rPr>
        <w:t>T</w:t>
      </w:r>
      <w:r w:rsidRPr="002C1E2B">
        <w:rPr>
          <w:rFonts w:eastAsia="PMingLiU"/>
          <w:lang w:eastAsia="zh-MO"/>
        </w:rPr>
        <w:t xml:space="preserve">he total length of </w:t>
      </w:r>
      <w:r w:rsidR="007A490B" w:rsidRPr="002C1E2B">
        <w:rPr>
          <w:rFonts w:eastAsia="PMingLiU"/>
          <w:lang w:eastAsia="zh-MO"/>
        </w:rPr>
        <w:t>tenure</w:t>
      </w:r>
      <w:r w:rsidRPr="002C1E2B">
        <w:rPr>
          <w:rFonts w:eastAsia="PMingLiU"/>
          <w:lang w:eastAsia="zh-MO"/>
        </w:rPr>
        <w:t xml:space="preserve"> </w:t>
      </w:r>
      <w:r w:rsidR="00FF67FF" w:rsidRPr="002C1E2B">
        <w:rPr>
          <w:rFonts w:eastAsia="PMingLiU"/>
          <w:lang w:eastAsia="zh-MO"/>
        </w:rPr>
        <w:t xml:space="preserve">for residents </w:t>
      </w:r>
      <w:r w:rsidRPr="002C1E2B">
        <w:rPr>
          <w:rFonts w:eastAsia="PMingLiU"/>
          <w:lang w:eastAsia="zh-MO"/>
        </w:rPr>
        <w:t xml:space="preserve">has been estimated to be between </w:t>
      </w:r>
      <w:r w:rsidR="00FF67FF" w:rsidRPr="002C1E2B">
        <w:rPr>
          <w:rFonts w:eastAsia="PMingLiU"/>
          <w:lang w:eastAsia="zh-MO"/>
        </w:rPr>
        <w:t xml:space="preserve">8 </w:t>
      </w:r>
      <w:r w:rsidRPr="002C1E2B">
        <w:rPr>
          <w:rFonts w:eastAsia="PMingLiU"/>
          <w:lang w:eastAsia="zh-MO"/>
        </w:rPr>
        <w:t>and 15 years.</w:t>
      </w:r>
      <w:r w:rsidRPr="002C1E2B">
        <w:rPr>
          <w:rStyle w:val="FootnoteReference"/>
          <w:rFonts w:eastAsia="PMingLiU"/>
          <w:lang w:val="en-AU"/>
        </w:rPr>
        <w:footnoteReference w:id="10"/>
      </w:r>
    </w:p>
    <w:p w14:paraId="57F2C354" w14:textId="77777777" w:rsidR="003D236D" w:rsidRPr="002C1E2B" w:rsidRDefault="003D236D" w:rsidP="003D236D">
      <w:pPr>
        <w:pStyle w:val="BodyText"/>
        <w:rPr>
          <w:rFonts w:eastAsia="PMingLiU"/>
          <w:lang w:eastAsia="zh-MO"/>
        </w:rPr>
      </w:pPr>
      <w:r w:rsidRPr="002C1E2B">
        <w:rPr>
          <w:rFonts w:eastAsia="PMingLiU"/>
          <w:lang w:eastAsia="zh-MO"/>
        </w:rPr>
        <w:lastRenderedPageBreak/>
        <w:t xml:space="preserve">Approximately </w:t>
      </w:r>
      <w:r w:rsidR="00B92170" w:rsidRPr="002C1E2B">
        <w:rPr>
          <w:rFonts w:eastAsia="PMingLiU"/>
          <w:lang w:eastAsia="zh-MO"/>
        </w:rPr>
        <w:t>6</w:t>
      </w:r>
      <w:r w:rsidRPr="002C1E2B">
        <w:rPr>
          <w:rFonts w:eastAsia="PMingLiU"/>
          <w:lang w:eastAsia="zh-MO"/>
        </w:rPr>
        <w:t>5 per cent of retirement village residents are female</w:t>
      </w:r>
      <w:r w:rsidR="00B92170" w:rsidRPr="002C1E2B">
        <w:rPr>
          <w:rStyle w:val="FootnoteReference"/>
          <w:rFonts w:eastAsia="PMingLiU"/>
          <w:lang w:val="en-AU"/>
        </w:rPr>
        <w:footnoteReference w:id="11"/>
      </w:r>
      <w:r w:rsidRPr="002C1E2B">
        <w:rPr>
          <w:rFonts w:eastAsia="PMingLiU"/>
          <w:lang w:eastAsia="zh-MO"/>
        </w:rPr>
        <w:t xml:space="preserve"> (compared to 54 per cent </w:t>
      </w:r>
      <w:r w:rsidR="00B24DA3" w:rsidRPr="002C1E2B">
        <w:rPr>
          <w:rFonts w:eastAsia="PMingLiU"/>
          <w:lang w:eastAsia="zh-MO"/>
        </w:rPr>
        <w:t>of</w:t>
      </w:r>
      <w:r w:rsidRPr="002C1E2B">
        <w:rPr>
          <w:rFonts w:eastAsia="PMingLiU"/>
          <w:lang w:eastAsia="zh-MO"/>
        </w:rPr>
        <w:t xml:space="preserve"> Victorians aged over 65)</w:t>
      </w:r>
      <w:r w:rsidRPr="002C1E2B">
        <w:rPr>
          <w:rStyle w:val="FootnoteReference"/>
          <w:rFonts w:eastAsia="PMingLiU"/>
          <w:lang w:val="en-AU"/>
        </w:rPr>
        <w:footnoteReference w:id="12"/>
      </w:r>
      <w:r w:rsidRPr="002C1E2B">
        <w:rPr>
          <w:rFonts w:eastAsia="PMingLiU"/>
          <w:lang w:eastAsia="zh-MO"/>
        </w:rPr>
        <w:t xml:space="preserve"> and 60 per cent of retirement village units are occupied by single residents.</w:t>
      </w:r>
      <w:r w:rsidRPr="002C1E2B">
        <w:rPr>
          <w:rStyle w:val="FootnoteReference"/>
          <w:rFonts w:eastAsia="PMingLiU"/>
          <w:lang w:val="en-AU"/>
        </w:rPr>
        <w:footnoteReference w:id="13"/>
      </w:r>
      <w:r w:rsidRPr="002C1E2B">
        <w:rPr>
          <w:rFonts w:eastAsia="PMingLiU"/>
          <w:lang w:eastAsia="zh-MO"/>
        </w:rPr>
        <w:t xml:space="preserve"> Survey data from the National Ageing Research Institute indicates that residents may move into retirement villages for a range of factors, including:</w:t>
      </w:r>
    </w:p>
    <w:p w14:paraId="173C4FAD" w14:textId="77777777" w:rsidR="003D236D" w:rsidRPr="002C1E2B" w:rsidRDefault="003D236D" w:rsidP="003D236D">
      <w:pPr>
        <w:pStyle w:val="ListBullet"/>
        <w:rPr>
          <w:lang w:eastAsia="zh-MO"/>
        </w:rPr>
      </w:pPr>
      <w:r w:rsidRPr="002C1E2B">
        <w:rPr>
          <w:lang w:eastAsia="zh-MO"/>
        </w:rPr>
        <w:t>Downsizing;</w:t>
      </w:r>
    </w:p>
    <w:p w14:paraId="7FC9515F" w14:textId="77777777" w:rsidR="003D236D" w:rsidRPr="002C1E2B" w:rsidRDefault="003D236D" w:rsidP="003D236D">
      <w:pPr>
        <w:pStyle w:val="ListBullet"/>
        <w:rPr>
          <w:lang w:eastAsia="zh-MO"/>
        </w:rPr>
      </w:pPr>
      <w:r w:rsidRPr="002C1E2B">
        <w:rPr>
          <w:lang w:eastAsia="zh-MO"/>
        </w:rPr>
        <w:t>Need for a home specially designed for ageing;</w:t>
      </w:r>
    </w:p>
    <w:p w14:paraId="6943AC2F" w14:textId="77777777" w:rsidR="003D236D" w:rsidRPr="002C1E2B" w:rsidRDefault="003D236D" w:rsidP="003D236D">
      <w:pPr>
        <w:pStyle w:val="ListBullet"/>
        <w:rPr>
          <w:lang w:eastAsia="zh-MO"/>
        </w:rPr>
      </w:pPr>
      <w:r w:rsidRPr="002C1E2B">
        <w:rPr>
          <w:lang w:eastAsia="zh-MO"/>
        </w:rPr>
        <w:t>Loss of spouse; and</w:t>
      </w:r>
    </w:p>
    <w:p w14:paraId="64317EE2" w14:textId="77777777" w:rsidR="003D236D" w:rsidRPr="002C1E2B" w:rsidRDefault="003D236D" w:rsidP="00D57D67">
      <w:pPr>
        <w:pStyle w:val="ListBullet"/>
        <w:spacing w:after="240"/>
        <w:rPr>
          <w:lang w:eastAsia="zh-MO"/>
        </w:rPr>
      </w:pPr>
      <w:r w:rsidRPr="002C1E2B">
        <w:rPr>
          <w:lang w:eastAsia="zh-MO"/>
        </w:rPr>
        <w:t>Partner’s health.</w:t>
      </w:r>
      <w:r w:rsidRPr="002C1E2B">
        <w:rPr>
          <w:rStyle w:val="FootnoteReference"/>
          <w:lang w:val="en-AU"/>
        </w:rPr>
        <w:footnoteReference w:id="14"/>
      </w:r>
    </w:p>
    <w:p w14:paraId="59DD8EF3" w14:textId="77777777" w:rsidR="003D236D" w:rsidRPr="002C1E2B" w:rsidRDefault="003D236D" w:rsidP="003D236D">
      <w:pPr>
        <w:pStyle w:val="BodyText"/>
      </w:pPr>
      <w:r w:rsidRPr="002C1E2B">
        <w:t>There is little data available on the reasons for leaving a retirement village. However, it is understood that generally a resident will leave a retirement village for a number of reasons including:</w:t>
      </w:r>
    </w:p>
    <w:p w14:paraId="23C1DADE" w14:textId="77777777" w:rsidR="003D236D" w:rsidRPr="002C1E2B" w:rsidRDefault="003D236D" w:rsidP="003D236D">
      <w:pPr>
        <w:pStyle w:val="ListBullet"/>
      </w:pPr>
      <w:r w:rsidRPr="002C1E2B">
        <w:t>Death;</w:t>
      </w:r>
    </w:p>
    <w:p w14:paraId="5EF64147" w14:textId="77777777" w:rsidR="003D236D" w:rsidRPr="002C1E2B" w:rsidRDefault="003D236D" w:rsidP="003D236D">
      <w:pPr>
        <w:pStyle w:val="ListBullet"/>
      </w:pPr>
      <w:r w:rsidRPr="002C1E2B">
        <w:t>Moving into a residential aged care facility for a higher level of care;</w:t>
      </w:r>
    </w:p>
    <w:p w14:paraId="28331756" w14:textId="77777777" w:rsidR="003D236D" w:rsidRPr="002C1E2B" w:rsidRDefault="003D236D" w:rsidP="003D236D">
      <w:pPr>
        <w:pStyle w:val="ListBullet"/>
      </w:pPr>
      <w:r w:rsidRPr="002C1E2B">
        <w:t>Changing retirement village; or</w:t>
      </w:r>
    </w:p>
    <w:p w14:paraId="4B131037" w14:textId="77777777" w:rsidR="003D236D" w:rsidRPr="002C1E2B" w:rsidRDefault="003D236D" w:rsidP="00D57D67">
      <w:pPr>
        <w:pStyle w:val="ListBullet"/>
        <w:spacing w:after="240"/>
      </w:pPr>
      <w:r w:rsidRPr="002C1E2B">
        <w:t>Moving in with family.</w:t>
      </w:r>
    </w:p>
    <w:p w14:paraId="3561DCE2" w14:textId="77777777" w:rsidR="003D236D" w:rsidRPr="002C1E2B" w:rsidRDefault="003D236D" w:rsidP="003D236D">
      <w:pPr>
        <w:pStyle w:val="BodyText"/>
      </w:pPr>
      <w:r w:rsidRPr="002C1E2B">
        <w:t xml:space="preserve">As the Australian population ages, it is likely that the demand for retirement village services will increase. The population of people aged 55 years and over in Victoria is projected to rise by more than 840,000 in the next 20 years, an increase of over 50 per cent on the current population in that age bracket.  </w:t>
      </w:r>
    </w:p>
    <w:p w14:paraId="066387D9" w14:textId="77777777" w:rsidR="003D236D" w:rsidRPr="002C1E2B" w:rsidRDefault="003D236D" w:rsidP="003D236D">
      <w:pPr>
        <w:pStyle w:val="Heading3"/>
      </w:pPr>
      <w:r w:rsidRPr="002C1E2B">
        <w:t>Supply in the retirement village sector</w:t>
      </w:r>
    </w:p>
    <w:p w14:paraId="335F36B9" w14:textId="77777777" w:rsidR="0091571A" w:rsidRPr="002C1E2B" w:rsidRDefault="0091571A" w:rsidP="0091571A">
      <w:pPr>
        <w:pStyle w:val="BodyText"/>
        <w:rPr>
          <w:rFonts w:eastAsia="PMingLiU"/>
          <w:lang w:eastAsia="zh-MO"/>
        </w:rPr>
      </w:pPr>
      <w:r w:rsidRPr="002C1E2B">
        <w:rPr>
          <w:rFonts w:eastAsia="PMingLiU"/>
          <w:lang w:eastAsia="zh-MO"/>
        </w:rPr>
        <w:t>There are</w:t>
      </w:r>
      <w:r w:rsidR="00E74C7F" w:rsidRPr="002C1E2B">
        <w:rPr>
          <w:rFonts w:eastAsia="PMingLiU"/>
          <w:lang w:eastAsia="zh-MO"/>
        </w:rPr>
        <w:t xml:space="preserve"> currently</w:t>
      </w:r>
      <w:r w:rsidRPr="002C1E2B">
        <w:rPr>
          <w:rFonts w:eastAsia="PMingLiU"/>
          <w:lang w:eastAsia="zh-MO"/>
        </w:rPr>
        <w:t xml:space="preserve"> 438 retirement villages in Victoria</w:t>
      </w:r>
      <w:r w:rsidRPr="002C1E2B">
        <w:rPr>
          <w:rStyle w:val="FootnoteReference"/>
          <w:rFonts w:eastAsia="PMingLiU"/>
          <w:lang w:val="en-AU"/>
        </w:rPr>
        <w:footnoteReference w:id="15"/>
      </w:r>
      <w:r w:rsidRPr="002C1E2B">
        <w:rPr>
          <w:rFonts w:eastAsia="PMingLiU"/>
          <w:lang w:eastAsia="zh-MO"/>
        </w:rPr>
        <w:t>, providing around 33,000 retirement village units.</w:t>
      </w:r>
      <w:r w:rsidRPr="002C1E2B">
        <w:rPr>
          <w:rStyle w:val="FootnoteReference"/>
          <w:rFonts w:eastAsia="PMingLiU"/>
          <w:lang w:val="en-AU"/>
        </w:rPr>
        <w:footnoteReference w:id="16"/>
      </w:r>
      <w:r w:rsidRPr="002C1E2B">
        <w:rPr>
          <w:rFonts w:eastAsia="PMingLiU"/>
          <w:lang w:eastAsia="zh-MO"/>
        </w:rPr>
        <w:t xml:space="preserve"> </w:t>
      </w:r>
    </w:p>
    <w:p w14:paraId="66C31519" w14:textId="77777777" w:rsidR="003D236D" w:rsidRPr="002C1E2B" w:rsidRDefault="009536FD" w:rsidP="003D236D">
      <w:pPr>
        <w:pStyle w:val="BodyText"/>
        <w:rPr>
          <w:rFonts w:eastAsia="PMingLiU"/>
          <w:lang w:eastAsia="zh-MO"/>
        </w:rPr>
      </w:pPr>
      <w:r w:rsidRPr="002C1E2B">
        <w:t xml:space="preserve">Approximately 67 </w:t>
      </w:r>
      <w:r w:rsidR="003D236D" w:rsidRPr="002C1E2B">
        <w:t>per cent of retirement village</w:t>
      </w:r>
      <w:r w:rsidR="007A490B" w:rsidRPr="002C1E2B">
        <w:t>s</w:t>
      </w:r>
      <w:r w:rsidR="003D236D" w:rsidRPr="002C1E2B">
        <w:t xml:space="preserve"> are owned and operated by commercial operators and </w:t>
      </w:r>
      <w:r w:rsidRPr="002C1E2B">
        <w:t xml:space="preserve">33 </w:t>
      </w:r>
      <w:r w:rsidR="003D236D" w:rsidRPr="002C1E2B">
        <w:t>per cent are owned and operated by not-for-profit operators.</w:t>
      </w:r>
      <w:r w:rsidRPr="002C1E2B">
        <w:t xml:space="preserve"> This equates to </w:t>
      </w:r>
      <w:r w:rsidRPr="002C1E2B">
        <w:lastRenderedPageBreak/>
        <w:t xml:space="preserve">84 per cent of retirement village units </w:t>
      </w:r>
      <w:r w:rsidR="00196C87" w:rsidRPr="002C1E2B">
        <w:t xml:space="preserve">that </w:t>
      </w:r>
      <w:r w:rsidRPr="002C1E2B">
        <w:t>are operated</w:t>
      </w:r>
      <w:r w:rsidR="00404E8F" w:rsidRPr="002C1E2B">
        <w:t xml:space="preserve"> by commercial operators and 16</w:t>
      </w:r>
      <w:r w:rsidRPr="002C1E2B">
        <w:t xml:space="preserve"> per cent of units operated by not-for-profit operators. </w:t>
      </w:r>
      <w:r w:rsidR="00404E8F" w:rsidRPr="002C1E2B">
        <w:rPr>
          <w:rStyle w:val="FootnoteReference"/>
          <w:lang w:val="en-AU"/>
        </w:rPr>
        <w:footnoteReference w:id="17"/>
      </w:r>
    </w:p>
    <w:p w14:paraId="650D3B45" w14:textId="77777777" w:rsidR="003D236D" w:rsidRPr="002C1E2B" w:rsidRDefault="003D236D" w:rsidP="003D236D">
      <w:pPr>
        <w:pStyle w:val="BodyText"/>
        <w:rPr>
          <w:rFonts w:eastAsia="PMingLiU"/>
          <w:lang w:eastAsia="zh-MO"/>
        </w:rPr>
      </w:pPr>
      <w:r w:rsidRPr="002C1E2B">
        <w:rPr>
          <w:rFonts w:eastAsia="PMingLiU"/>
          <w:lang w:eastAsia="zh-MO"/>
        </w:rPr>
        <w:t>Large commer</w:t>
      </w:r>
      <w:r w:rsidR="00EF6C0A" w:rsidRPr="002C1E2B">
        <w:rPr>
          <w:rFonts w:eastAsia="PMingLiU"/>
          <w:lang w:eastAsia="zh-MO"/>
        </w:rPr>
        <w:t>cial retirement village</w:t>
      </w:r>
      <w:r w:rsidRPr="002C1E2B">
        <w:rPr>
          <w:rFonts w:eastAsia="PMingLiU"/>
          <w:lang w:eastAsia="zh-MO"/>
        </w:rPr>
        <w:t xml:space="preserve"> operators may operate across multiple sites and jurisdictions and small to medium-sized independent operators may manage one to three villages.</w:t>
      </w:r>
      <w:r w:rsidRPr="002C1E2B">
        <w:rPr>
          <w:rStyle w:val="FootnoteReference"/>
          <w:rFonts w:eastAsia="PMingLiU"/>
          <w:lang w:val="en-AU"/>
        </w:rPr>
        <w:footnoteReference w:id="18"/>
      </w:r>
      <w:r w:rsidRPr="002C1E2B">
        <w:rPr>
          <w:rFonts w:eastAsia="PMingLiU"/>
          <w:lang w:eastAsia="zh-MO"/>
        </w:rPr>
        <w:t xml:space="preserve"> The retirement village sector in Australia has a low degree of market concentration with the top four largest providers occupying less than 10 per cent of market share</w:t>
      </w:r>
      <w:r w:rsidR="001F57FB" w:rsidRPr="002C1E2B">
        <w:rPr>
          <w:rFonts w:eastAsia="PMingLiU"/>
          <w:lang w:eastAsia="zh-MO"/>
        </w:rPr>
        <w:t xml:space="preserve"> and high number of small operators</w:t>
      </w:r>
      <w:r w:rsidRPr="002C1E2B">
        <w:rPr>
          <w:rFonts w:eastAsia="PMingLiU"/>
          <w:lang w:eastAsia="zh-MO"/>
        </w:rPr>
        <w:t>.</w:t>
      </w:r>
      <w:r w:rsidRPr="002C1E2B">
        <w:rPr>
          <w:rStyle w:val="FootnoteReference"/>
          <w:rFonts w:eastAsia="PMingLiU"/>
          <w:lang w:val="en-AU"/>
        </w:rPr>
        <w:footnoteReference w:id="19"/>
      </w:r>
      <w:r w:rsidRPr="002C1E2B">
        <w:rPr>
          <w:rFonts w:eastAsia="PMingLiU"/>
          <w:lang w:eastAsia="zh-MO"/>
        </w:rPr>
        <w:t xml:space="preserve"> </w:t>
      </w:r>
      <w:r w:rsidR="00E74C7F" w:rsidRPr="002C1E2B">
        <w:rPr>
          <w:rFonts w:eastAsia="PMingLiU"/>
          <w:lang w:eastAsia="zh-MO"/>
        </w:rPr>
        <w:t xml:space="preserve">In Victoria, </w:t>
      </w:r>
      <w:r w:rsidR="001F57FB" w:rsidRPr="002C1E2B">
        <w:rPr>
          <w:rFonts w:eastAsia="PMingLiU"/>
          <w:lang w:eastAsia="zh-MO"/>
        </w:rPr>
        <w:t>more than half</w:t>
      </w:r>
      <w:r w:rsidR="00E74C7F" w:rsidRPr="002C1E2B">
        <w:rPr>
          <w:rFonts w:eastAsia="PMingLiU"/>
          <w:lang w:eastAsia="zh-MO"/>
        </w:rPr>
        <w:t xml:space="preserve"> of retirement villages have between 1 and 150 </w:t>
      </w:r>
      <w:r w:rsidR="001F57FB" w:rsidRPr="002C1E2B">
        <w:rPr>
          <w:rFonts w:eastAsia="PMingLiU"/>
          <w:lang w:eastAsia="zh-MO"/>
        </w:rPr>
        <w:t>retirement village units, and nearly 80 per cent of retirement village units have less than 150 retirement village units (see</w:t>
      </w:r>
      <w:r w:rsidR="00AE6A55" w:rsidRPr="002C1E2B">
        <w:rPr>
          <w:rFonts w:eastAsia="PMingLiU"/>
          <w:lang w:eastAsia="zh-MO"/>
        </w:rPr>
        <w:t xml:space="preserve"> </w:t>
      </w:r>
      <w:r w:rsidR="00AE6A55" w:rsidRPr="002C1E2B">
        <w:rPr>
          <w:rFonts w:eastAsia="PMingLiU"/>
          <w:lang w:eastAsia="zh-MO"/>
        </w:rPr>
        <w:fldChar w:fldCharType="begin"/>
      </w:r>
      <w:r w:rsidR="00AE6A55" w:rsidRPr="002C1E2B">
        <w:rPr>
          <w:rFonts w:eastAsia="PMingLiU"/>
          <w:lang w:eastAsia="zh-MO"/>
        </w:rPr>
        <w:instrText xml:space="preserve"> REF _Ref475605089 \h </w:instrText>
      </w:r>
      <w:r w:rsidR="00AE6A55" w:rsidRPr="002C1E2B">
        <w:rPr>
          <w:rFonts w:eastAsia="PMingLiU"/>
          <w:lang w:eastAsia="zh-MO"/>
        </w:rPr>
      </w:r>
      <w:r w:rsidR="00AE6A55" w:rsidRPr="002C1E2B">
        <w:rPr>
          <w:rFonts w:eastAsia="PMingLiU"/>
          <w:lang w:eastAsia="zh-MO"/>
        </w:rPr>
        <w:fldChar w:fldCharType="separate"/>
      </w:r>
      <w:r w:rsidR="00BE6CE4" w:rsidRPr="002C1E2B">
        <w:t xml:space="preserve">Figure </w:t>
      </w:r>
      <w:r w:rsidR="00BE6CE4">
        <w:rPr>
          <w:noProof/>
        </w:rPr>
        <w:t>1</w:t>
      </w:r>
      <w:r w:rsidR="00BE6CE4">
        <w:t>.</w:t>
      </w:r>
      <w:r w:rsidR="00BE6CE4">
        <w:rPr>
          <w:noProof/>
        </w:rPr>
        <w:t>4</w:t>
      </w:r>
      <w:r w:rsidR="00AE6A55" w:rsidRPr="002C1E2B">
        <w:rPr>
          <w:rFonts w:eastAsia="PMingLiU"/>
          <w:lang w:eastAsia="zh-MO"/>
        </w:rPr>
        <w:fldChar w:fldCharType="end"/>
      </w:r>
      <w:r w:rsidR="001F57FB" w:rsidRPr="002C1E2B">
        <w:rPr>
          <w:rFonts w:eastAsia="PMingLiU"/>
          <w:lang w:eastAsia="zh-MO"/>
        </w:rPr>
        <w:t>).</w:t>
      </w:r>
    </w:p>
    <w:p w14:paraId="47A7A214" w14:textId="77777777" w:rsidR="001F57FB" w:rsidRPr="002C1E2B" w:rsidRDefault="00D6489C" w:rsidP="008D2DD9">
      <w:pPr>
        <w:pStyle w:val="Caption"/>
        <w:spacing w:after="120"/>
      </w:pPr>
      <w:bookmarkStart w:id="39" w:name="_Ref475605089"/>
      <w:bookmarkStart w:id="40" w:name="_Ref474490339"/>
      <w:r w:rsidRPr="002C1E2B">
        <w:t xml:space="preserve">Figure </w:t>
      </w:r>
      <w:r w:rsidR="00C11D17">
        <w:fldChar w:fldCharType="begin"/>
      </w:r>
      <w:r w:rsidR="00C11D17">
        <w:instrText xml:space="preserve"> STYLEREF 1 \s </w:instrText>
      </w:r>
      <w:r w:rsidR="00C11D17">
        <w:fldChar w:fldCharType="separate"/>
      </w:r>
      <w:r w:rsidR="00BE6CE4">
        <w:rPr>
          <w:noProof/>
        </w:rPr>
        <w:t>1</w:t>
      </w:r>
      <w:r w:rsidR="00C11D17">
        <w:fldChar w:fldCharType="end"/>
      </w:r>
      <w:r w:rsidR="00C11D17">
        <w:t>.</w:t>
      </w:r>
      <w:r w:rsidR="00C11D17">
        <w:fldChar w:fldCharType="begin"/>
      </w:r>
      <w:r w:rsidR="00C11D17">
        <w:instrText xml:space="preserve"> SEQ Figure \* ARABIC \s 1 </w:instrText>
      </w:r>
      <w:r w:rsidR="00C11D17">
        <w:fldChar w:fldCharType="separate"/>
      </w:r>
      <w:r w:rsidR="00BE6CE4">
        <w:rPr>
          <w:noProof/>
        </w:rPr>
        <w:t>4</w:t>
      </w:r>
      <w:r w:rsidR="00C11D17">
        <w:fldChar w:fldCharType="end"/>
      </w:r>
      <w:bookmarkEnd w:id="39"/>
      <w:r w:rsidRPr="002C1E2B">
        <w:t xml:space="preserve"> –</w:t>
      </w:r>
      <w:r w:rsidRPr="002C1E2B" w:rsidDel="00D6489C">
        <w:t xml:space="preserve"> </w:t>
      </w:r>
      <w:bookmarkEnd w:id="40"/>
      <w:r w:rsidR="001F57FB" w:rsidRPr="002C1E2B">
        <w:t>Distribution of retirement villages by number of units</w:t>
      </w:r>
    </w:p>
    <w:p w14:paraId="0501B535" w14:textId="77777777" w:rsidR="00C044E6" w:rsidRDefault="00C044E6" w:rsidP="001F57FB">
      <w:pPr>
        <w:pStyle w:val="BodyText"/>
        <w:rPr>
          <w:sz w:val="20"/>
          <w:szCs w:val="20"/>
          <w:lang w:eastAsia="zh-MO"/>
        </w:rPr>
      </w:pPr>
      <w:r w:rsidRPr="00C044E6">
        <w:rPr>
          <w:noProof/>
          <w:lang w:eastAsia="en-AU"/>
        </w:rPr>
        <w:drawing>
          <wp:inline distT="0" distB="0" distL="0" distR="0" wp14:anchorId="10708DB7" wp14:editId="48F95F8D">
            <wp:extent cx="5732145" cy="314383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32145" cy="3143836"/>
                    </a:xfrm>
                    <a:prstGeom prst="rect">
                      <a:avLst/>
                    </a:prstGeom>
                    <a:noFill/>
                    <a:ln>
                      <a:noFill/>
                    </a:ln>
                  </pic:spPr>
                </pic:pic>
              </a:graphicData>
            </a:graphic>
          </wp:inline>
        </w:drawing>
      </w:r>
    </w:p>
    <w:p w14:paraId="2D9160DC" w14:textId="77777777" w:rsidR="001F57FB" w:rsidRPr="002C1E2B" w:rsidRDefault="001F57FB" w:rsidP="001F57FB">
      <w:pPr>
        <w:pStyle w:val="BodyText"/>
        <w:rPr>
          <w:rFonts w:eastAsia="PMingLiU"/>
          <w:sz w:val="20"/>
          <w:szCs w:val="20"/>
          <w:lang w:eastAsia="zh-MO"/>
        </w:rPr>
      </w:pPr>
      <w:r w:rsidRPr="002C1E2B">
        <w:rPr>
          <w:sz w:val="20"/>
          <w:szCs w:val="20"/>
          <w:lang w:eastAsia="zh-MO"/>
        </w:rPr>
        <w:t xml:space="preserve">Source: </w:t>
      </w:r>
      <w:r w:rsidR="00AC3672" w:rsidRPr="002C1E2B">
        <w:rPr>
          <w:sz w:val="20"/>
          <w:szCs w:val="20"/>
          <w:lang w:eastAsia="zh-MO"/>
        </w:rPr>
        <w:t>NERA analysis of r</w:t>
      </w:r>
      <w:r w:rsidRPr="002C1E2B">
        <w:rPr>
          <w:sz w:val="20"/>
          <w:szCs w:val="20"/>
          <w:lang w:eastAsia="zh-MO"/>
        </w:rPr>
        <w:t xml:space="preserve">etirement villages advertised on </w:t>
      </w:r>
      <w:hyperlink r:id="rId26" w:history="1">
        <w:r w:rsidRPr="002C1E2B">
          <w:rPr>
            <w:rStyle w:val="Hyperlink"/>
            <w:sz w:val="20"/>
            <w:szCs w:val="20"/>
            <w:lang w:val="en-AU" w:eastAsia="zh-MO"/>
          </w:rPr>
          <w:t>www.villages.com.au</w:t>
        </w:r>
      </w:hyperlink>
      <w:r w:rsidRPr="002C1E2B">
        <w:rPr>
          <w:sz w:val="20"/>
          <w:szCs w:val="20"/>
          <w:lang w:eastAsia="zh-MO"/>
        </w:rPr>
        <w:t xml:space="preserve"> in Victoria.</w:t>
      </w:r>
    </w:p>
    <w:p w14:paraId="3D3DB103" w14:textId="77777777" w:rsidR="003D236D" w:rsidRPr="002C1E2B" w:rsidRDefault="003D236D" w:rsidP="003D236D">
      <w:pPr>
        <w:pStyle w:val="BodyText"/>
        <w:rPr>
          <w:rFonts w:eastAsia="PMingLiU"/>
          <w:lang w:eastAsia="zh-MO"/>
        </w:rPr>
      </w:pPr>
      <w:r w:rsidRPr="002C1E2B">
        <w:rPr>
          <w:rFonts w:eastAsia="PMingLiU"/>
          <w:lang w:eastAsia="zh-MO"/>
        </w:rPr>
        <w:t>The majority of retirement villages in Victoria are located in and around the Melbourne metropolitan area.</w:t>
      </w:r>
    </w:p>
    <w:p w14:paraId="02BC98CF" w14:textId="77777777" w:rsidR="003D236D" w:rsidRPr="002C1E2B" w:rsidRDefault="003D236D" w:rsidP="003D236D">
      <w:pPr>
        <w:pStyle w:val="Heading2"/>
      </w:pPr>
      <w:bookmarkStart w:id="41" w:name="_Toc476739260"/>
      <w:bookmarkStart w:id="42" w:name="_Toc476585814"/>
      <w:r w:rsidRPr="002C1E2B">
        <w:lastRenderedPageBreak/>
        <w:t>Reform context</w:t>
      </w:r>
      <w:bookmarkEnd w:id="41"/>
      <w:bookmarkEnd w:id="42"/>
    </w:p>
    <w:p w14:paraId="183EF313" w14:textId="77777777" w:rsidR="003D236D" w:rsidRPr="002C1E2B" w:rsidRDefault="007A490B" w:rsidP="003D236D">
      <w:pPr>
        <w:pStyle w:val="Heading3"/>
      </w:pPr>
      <w:r w:rsidRPr="002C1E2B">
        <w:t>Recent reform to the contractual and information disclosure requirements</w:t>
      </w:r>
    </w:p>
    <w:p w14:paraId="41FFEA62" w14:textId="77777777" w:rsidR="006A65B2" w:rsidRPr="002C1E2B" w:rsidRDefault="00EC37A1" w:rsidP="00EC37A1">
      <w:pPr>
        <w:pStyle w:val="BodyText"/>
      </w:pPr>
      <w:r w:rsidRPr="002C1E2B">
        <w:t xml:space="preserve">In 2013 a RIS was developed by CAV to amend the Regulations and the </w:t>
      </w:r>
      <w:r w:rsidR="005F3A43" w:rsidRPr="002C1E2B">
        <w:t>RN</w:t>
      </w:r>
      <w:r w:rsidRPr="002C1E2B">
        <w:t xml:space="preserve"> Regulations. These amendments addressed concerns around consumer detriment resulting from a lack of information available for residents to make informed choices when considering entering retirement villages. As part of the development of the RIS, CAV consulted extensively with the sector between 2011 and 2013 to develop options and consult on the preferred option.  The RIS was finalised in April 2013, and after a period of further consultation both sets of regulations were updated. </w:t>
      </w:r>
    </w:p>
    <w:p w14:paraId="11CF9137" w14:textId="77777777" w:rsidR="00EC37A1" w:rsidRPr="002C1E2B" w:rsidRDefault="00EC37A1" w:rsidP="00EC37A1">
      <w:pPr>
        <w:pStyle w:val="BodyText"/>
      </w:pPr>
      <w:r w:rsidRPr="002C1E2B">
        <w:t>The Regulations were amended to insert r.8B to r.8H which set out a number of contractual requirements and provisions to standardise contracts, and the R</w:t>
      </w:r>
      <w:r w:rsidR="00227551" w:rsidRPr="002C1E2B">
        <w:t>N</w:t>
      </w:r>
      <w:r w:rsidRPr="002C1E2B">
        <w:t xml:space="preserve"> </w:t>
      </w:r>
      <w:r w:rsidR="00227551" w:rsidRPr="002C1E2B">
        <w:t>R</w:t>
      </w:r>
      <w:r w:rsidRPr="002C1E2B">
        <w:t>egulations were amended to require to improved pre-contractual information disclosure and introduce intermediate-stage</w:t>
      </w:r>
      <w:r w:rsidRPr="002C1E2B">
        <w:rPr>
          <w:rStyle w:val="FootnoteReference"/>
          <w:lang w:val="en-AU"/>
        </w:rPr>
        <w:footnoteReference w:id="20"/>
      </w:r>
      <w:r w:rsidRPr="002C1E2B">
        <w:t xml:space="preserve"> information disclosure.</w:t>
      </w:r>
    </w:p>
    <w:p w14:paraId="630295C3" w14:textId="77777777" w:rsidR="003D236D" w:rsidRPr="002C1E2B" w:rsidRDefault="003D236D" w:rsidP="003D236D">
      <w:pPr>
        <w:pStyle w:val="Heading3"/>
      </w:pPr>
      <w:r w:rsidRPr="002C1E2B">
        <w:t>Parliamentary inquiry</w:t>
      </w:r>
    </w:p>
    <w:p w14:paraId="75384F2D" w14:textId="77777777" w:rsidR="006A65B2" w:rsidRPr="002C1E2B" w:rsidRDefault="003D236D" w:rsidP="003D236D">
      <w:r w:rsidRPr="002C1E2B">
        <w:t>An Inquiry into the Retirement Housing Sector is currently being conducted by the Legal and Social Issues Committee of the Victorian Parliament. The Inquiry’s Terms of Reference include the operation and regulation of retirement villages (and other housing options) with the aim of identifying opportunities for improvement and reform. The Inquiry</w:t>
      </w:r>
      <w:r w:rsidR="00DA180D" w:rsidRPr="002C1E2B">
        <w:t>’s</w:t>
      </w:r>
      <w:r w:rsidRPr="002C1E2B">
        <w:t xml:space="preserve"> report </w:t>
      </w:r>
      <w:r w:rsidR="00DA180D" w:rsidRPr="002C1E2B">
        <w:t xml:space="preserve">was scheduled to be published </w:t>
      </w:r>
      <w:r w:rsidRPr="002C1E2B">
        <w:t xml:space="preserve">on 1 March 2017 and the Government must provide a response within six months of the report being tabled. </w:t>
      </w:r>
    </w:p>
    <w:p w14:paraId="0C425C6C" w14:textId="77777777" w:rsidR="00614FDF" w:rsidRPr="002C1E2B" w:rsidRDefault="003D236D" w:rsidP="003D236D">
      <w:r w:rsidRPr="002C1E2B">
        <w:t>If the Government’s Response to the Inquiry results in proposed changes to the Regulations, these will be considered after the Regulations are remade (as the Regulations must be remade prior to 31 July 2017) and will not be considered within this RIS process</w:t>
      </w:r>
      <w:r w:rsidR="00614FDF" w:rsidRPr="002C1E2B">
        <w:t xml:space="preserve">. </w:t>
      </w:r>
    </w:p>
    <w:p w14:paraId="68E06470" w14:textId="77777777" w:rsidR="00A45320" w:rsidRPr="002C1E2B" w:rsidRDefault="00A45320" w:rsidP="00A45320">
      <w:pPr>
        <w:pStyle w:val="Heading3"/>
      </w:pPr>
      <w:r w:rsidRPr="002C1E2B">
        <w:t>Inter-jurisdictional comparison</w:t>
      </w:r>
    </w:p>
    <w:p w14:paraId="037A084A" w14:textId="77777777" w:rsidR="005B7B55" w:rsidRPr="002C1E2B" w:rsidRDefault="005B7B55" w:rsidP="005B7B55">
      <w:pPr>
        <w:pStyle w:val="BodyText"/>
      </w:pPr>
      <w:r w:rsidRPr="002C1E2B">
        <w:t xml:space="preserve">Retirement villages are regulated in all Australian states and territories. However, only certain jurisdictions </w:t>
      </w:r>
      <w:r w:rsidR="00DA180D" w:rsidRPr="002C1E2B">
        <w:t xml:space="preserve">have </w:t>
      </w:r>
      <w:r w:rsidRPr="002C1E2B">
        <w:t xml:space="preserve">provisions that prescribe the timing of exit entitlement payments by operators to residents and/or have an equivalent of the aged care rule. </w:t>
      </w:r>
    </w:p>
    <w:p w14:paraId="7B9CAC10" w14:textId="77777777" w:rsidR="005B7B55" w:rsidRPr="002C1E2B" w:rsidRDefault="005B7B55" w:rsidP="005B7B55">
      <w:pPr>
        <w:pStyle w:val="BodyText"/>
      </w:pPr>
      <w:r w:rsidRPr="002C1E2B">
        <w:t xml:space="preserve">New South Wales (NSW) and Tasmania have a six month rule with no exemptions. However, </w:t>
      </w:r>
      <w:r w:rsidR="00DA180D" w:rsidRPr="002C1E2B">
        <w:t xml:space="preserve">they </w:t>
      </w:r>
      <w:r w:rsidRPr="002C1E2B">
        <w:t xml:space="preserve">provide operators with the ability to apply to the NSW Civil and Administrative Tribunal/Tasmanian Director of Consumer Affairs and Fair Trading to extend the payment timing based on financial hardship. South Australia (SA) has the same legislative arrangements but the timing is 18 months rather than </w:t>
      </w:r>
      <w:r w:rsidR="00880CAA" w:rsidRPr="002C1E2B">
        <w:t>six</w:t>
      </w:r>
      <w:r w:rsidRPr="002C1E2B">
        <w:t xml:space="preserve"> months. </w:t>
      </w:r>
    </w:p>
    <w:p w14:paraId="4481CFF5" w14:textId="77777777" w:rsidR="005B7B55" w:rsidRPr="002C1E2B" w:rsidRDefault="005B7B55" w:rsidP="005B7B55">
      <w:pPr>
        <w:pStyle w:val="BodyText"/>
      </w:pPr>
      <w:r w:rsidRPr="002C1E2B">
        <w:t xml:space="preserve">Both SA and Tasmania have a version of the aged care rule. Tasmania requires the resident to demonstrate that they do not have ready access to funds </w:t>
      </w:r>
      <w:r w:rsidR="00DA180D" w:rsidRPr="002C1E2B">
        <w:t xml:space="preserve">or </w:t>
      </w:r>
      <w:r w:rsidRPr="002C1E2B">
        <w:t xml:space="preserve">that paying for their own aged </w:t>
      </w:r>
      <w:r w:rsidRPr="002C1E2B">
        <w:lastRenderedPageBreak/>
        <w:t>care would seriously affect their personal finances and in 2016, SA commenced legislative amendment to introduce a similar obligation on residents.</w:t>
      </w:r>
    </w:p>
    <w:p w14:paraId="4313C44B" w14:textId="77777777" w:rsidR="005B7B55" w:rsidRPr="002C1E2B" w:rsidRDefault="005B7B55" w:rsidP="005B7B55">
      <w:pPr>
        <w:pStyle w:val="BodyText"/>
      </w:pPr>
      <w:r w:rsidRPr="002C1E2B">
        <w:t xml:space="preserve">The preferred option does not include a requirement that residents must demonstrate that they do not have ready access to their own funds or </w:t>
      </w:r>
      <w:r w:rsidR="00DA180D" w:rsidRPr="002C1E2B">
        <w:t xml:space="preserve">that their </w:t>
      </w:r>
      <w:r w:rsidRPr="002C1E2B">
        <w:t xml:space="preserve">personal finances would be seriously affected by their aged care payments as it has been determined that such a condition would place an onerous burden on residents to prove their case in VCAT if challenged by a village operator and no stakeholder group has supported this requirement. </w:t>
      </w:r>
    </w:p>
    <w:p w14:paraId="685E465D" w14:textId="77777777" w:rsidR="002364DA" w:rsidRPr="002C1E2B" w:rsidRDefault="005B7B55" w:rsidP="00AC3672">
      <w:pPr>
        <w:pStyle w:val="BodyText"/>
      </w:pPr>
      <w:r w:rsidRPr="002C1E2B">
        <w:t xml:space="preserve">A summary of various approaches that states and territories adopt is provided in Appendix </w:t>
      </w:r>
      <w:r w:rsidR="0094638B" w:rsidRPr="002C1E2B">
        <w:t>B</w:t>
      </w:r>
      <w:r w:rsidRPr="002C1E2B">
        <w:t>.</w:t>
      </w:r>
      <w:r w:rsidR="002364DA" w:rsidRPr="002C1E2B">
        <w:br w:type="page"/>
      </w:r>
    </w:p>
    <w:p w14:paraId="03BE44D1" w14:textId="77777777" w:rsidR="005705AE" w:rsidRPr="002C1E2B" w:rsidRDefault="005705AE" w:rsidP="005705AE">
      <w:pPr>
        <w:pStyle w:val="Heading1"/>
      </w:pPr>
      <w:bookmarkStart w:id="43" w:name="xxAppendix1"/>
      <w:bookmarkStart w:id="44" w:name="_Toc473032459"/>
      <w:bookmarkStart w:id="45" w:name="_Toc476739261"/>
      <w:bookmarkStart w:id="46" w:name="_Toc476585815"/>
      <w:bookmarkStart w:id="47" w:name="xxAppendices"/>
      <w:bookmarkEnd w:id="43"/>
      <w:r w:rsidRPr="002C1E2B">
        <w:lastRenderedPageBreak/>
        <w:t>Problem analysis</w:t>
      </w:r>
      <w:bookmarkEnd w:id="44"/>
      <w:bookmarkEnd w:id="45"/>
      <w:bookmarkEnd w:id="46"/>
    </w:p>
    <w:p w14:paraId="3562B009" w14:textId="77777777" w:rsidR="006549F5" w:rsidRPr="002C1E2B" w:rsidRDefault="006549F5" w:rsidP="006549F5">
      <w:pPr>
        <w:pStyle w:val="BodyText"/>
        <w:rPr>
          <w:i/>
        </w:rPr>
      </w:pPr>
      <w:r w:rsidRPr="002C1E2B">
        <w:rPr>
          <w:i/>
        </w:rPr>
        <w:t xml:space="preserve">This section articulates the nature and extent of the problem with contractual arrangements in the </w:t>
      </w:r>
      <w:r w:rsidR="00C871A4" w:rsidRPr="002C1E2B">
        <w:rPr>
          <w:i/>
        </w:rPr>
        <w:t xml:space="preserve">retirement village </w:t>
      </w:r>
      <w:r w:rsidRPr="002C1E2B">
        <w:rPr>
          <w:i/>
        </w:rPr>
        <w:t>sector that justifies the need for regulation.</w:t>
      </w:r>
    </w:p>
    <w:p w14:paraId="26082642" w14:textId="77777777" w:rsidR="006549F5" w:rsidRPr="002C1E2B" w:rsidRDefault="006549F5" w:rsidP="006549F5">
      <w:pPr>
        <w:pStyle w:val="Heading2"/>
      </w:pPr>
      <w:bookmarkStart w:id="48" w:name="_Toc473032460"/>
      <w:bookmarkStart w:id="49" w:name="_Toc476739262"/>
      <w:bookmarkStart w:id="50" w:name="_Toc476585816"/>
      <w:r w:rsidRPr="002C1E2B">
        <w:t>Context</w:t>
      </w:r>
      <w:bookmarkEnd w:id="48"/>
      <w:bookmarkEnd w:id="49"/>
      <w:bookmarkEnd w:id="50"/>
    </w:p>
    <w:p w14:paraId="21B0756A" w14:textId="77777777" w:rsidR="006549F5" w:rsidRPr="002C1E2B" w:rsidRDefault="006549F5" w:rsidP="006549F5">
      <w:pPr>
        <w:pStyle w:val="BodyText"/>
      </w:pPr>
      <w:r w:rsidRPr="002C1E2B">
        <w:t xml:space="preserve">When a resident enters a retirement village they will typically enter into a </w:t>
      </w:r>
      <w:r w:rsidR="00DA180D" w:rsidRPr="002C1E2B">
        <w:t xml:space="preserve">written </w:t>
      </w:r>
      <w:r w:rsidRPr="002C1E2B">
        <w:t>contractual arrangement with the village operator. These contracts set out the rights and obligations of each party. They vary across the sector, but usually involve at least the following:</w:t>
      </w:r>
    </w:p>
    <w:p w14:paraId="09952945" w14:textId="77777777" w:rsidR="006549F5" w:rsidRPr="002C1E2B" w:rsidRDefault="006549F5" w:rsidP="006549F5">
      <w:pPr>
        <w:pStyle w:val="ListBullet"/>
      </w:pPr>
      <w:r w:rsidRPr="002C1E2B">
        <w:t>The resident:</w:t>
      </w:r>
    </w:p>
    <w:p w14:paraId="3A5CF3AA" w14:textId="77777777" w:rsidR="006549F5" w:rsidRPr="002C1E2B" w:rsidRDefault="006549F5" w:rsidP="006549F5">
      <w:pPr>
        <w:pStyle w:val="ListBullet2"/>
      </w:pPr>
      <w:r w:rsidRPr="002C1E2B">
        <w:t>Makes a lump sum payment (in-going contribution) to the operator for the right to reside in the village</w:t>
      </w:r>
      <w:r w:rsidR="00DA180D" w:rsidRPr="002C1E2B">
        <w:t xml:space="preserve"> (mostly applicable only to non-owner residents)</w:t>
      </w:r>
      <w:r w:rsidRPr="002C1E2B">
        <w:t xml:space="preserve"> </w:t>
      </w:r>
    </w:p>
    <w:p w14:paraId="1AFC920F" w14:textId="77777777" w:rsidR="006549F5" w:rsidRPr="002C1E2B" w:rsidRDefault="006549F5" w:rsidP="006549F5">
      <w:pPr>
        <w:pStyle w:val="ListBullet2"/>
      </w:pPr>
      <w:r w:rsidRPr="002C1E2B">
        <w:t xml:space="preserve">Makes regular payments to cover the cost of </w:t>
      </w:r>
      <w:r w:rsidR="005F3A43" w:rsidRPr="002C1E2B">
        <w:t xml:space="preserve">general </w:t>
      </w:r>
      <w:r w:rsidRPr="002C1E2B">
        <w:t>services provided by the operator</w:t>
      </w:r>
    </w:p>
    <w:p w14:paraId="667BFFFF" w14:textId="77777777" w:rsidR="006549F5" w:rsidRPr="002C1E2B" w:rsidRDefault="006549F5" w:rsidP="006549F5">
      <w:pPr>
        <w:pStyle w:val="ListBullet2"/>
      </w:pPr>
      <w:r w:rsidRPr="002C1E2B">
        <w:t>May make additional, regular payments for the supply of any additional services by the operator (e.g. as in a serviced apartment)</w:t>
      </w:r>
    </w:p>
    <w:p w14:paraId="3E18BC78" w14:textId="77777777" w:rsidR="006549F5" w:rsidRPr="002C1E2B" w:rsidRDefault="006549F5" w:rsidP="00A815F0">
      <w:pPr>
        <w:pStyle w:val="ListBullet2"/>
        <w:spacing w:after="240"/>
      </w:pPr>
      <w:r w:rsidRPr="002C1E2B">
        <w:t>After exiting the village, is refunded  a proportion of</w:t>
      </w:r>
      <w:r w:rsidR="00DA180D" w:rsidRPr="002C1E2B">
        <w:t xml:space="preserve"> the</w:t>
      </w:r>
      <w:r w:rsidRPr="002C1E2B">
        <w:t xml:space="preserve"> in</w:t>
      </w:r>
      <w:r w:rsidR="00AF417E" w:rsidRPr="002C1E2B">
        <w:t>-</w:t>
      </w:r>
      <w:r w:rsidRPr="002C1E2B">
        <w:t>going contribution, usually</w:t>
      </w:r>
      <w:r w:rsidRPr="002C1E2B">
        <w:rPr>
          <w:rFonts w:cstheme="minorBidi"/>
          <w:szCs w:val="24"/>
        </w:rPr>
        <w:t xml:space="preserve"> </w:t>
      </w:r>
      <w:r w:rsidRPr="002C1E2B">
        <w:t>when the unit is sold to the next resident (</w:t>
      </w:r>
      <w:r w:rsidR="00DA180D" w:rsidRPr="002C1E2B">
        <w:t xml:space="preserve">which, after deductions, is </w:t>
      </w:r>
      <w:r w:rsidRPr="002C1E2B">
        <w:t>the</w:t>
      </w:r>
      <w:r w:rsidR="00DA180D" w:rsidRPr="002C1E2B">
        <w:t xml:space="preserve"> resident’s</w:t>
      </w:r>
      <w:r w:rsidRPr="002C1E2B">
        <w:t xml:space="preserve"> exit entitlement)</w:t>
      </w:r>
    </w:p>
    <w:p w14:paraId="56031179" w14:textId="77777777" w:rsidR="006549F5" w:rsidRPr="002C1E2B" w:rsidRDefault="006549F5" w:rsidP="006549F5">
      <w:pPr>
        <w:pStyle w:val="ListBullet"/>
      </w:pPr>
      <w:r w:rsidRPr="002C1E2B">
        <w:t>The village operator:</w:t>
      </w:r>
    </w:p>
    <w:p w14:paraId="4EC22C8B" w14:textId="77777777" w:rsidR="006549F5" w:rsidRPr="002C1E2B" w:rsidRDefault="006549F5" w:rsidP="006549F5">
      <w:pPr>
        <w:pStyle w:val="ListBullet2"/>
      </w:pPr>
      <w:r w:rsidRPr="002C1E2B">
        <w:t>Receives the in-going contribution for the residence right</w:t>
      </w:r>
    </w:p>
    <w:p w14:paraId="0A33A552" w14:textId="77777777" w:rsidR="006549F5" w:rsidRPr="002C1E2B" w:rsidRDefault="006549F5" w:rsidP="006549F5">
      <w:pPr>
        <w:pStyle w:val="ListBullet2"/>
      </w:pPr>
      <w:r w:rsidRPr="002C1E2B">
        <w:t>Maintains the village and provides any agreed services</w:t>
      </w:r>
    </w:p>
    <w:p w14:paraId="7A59DF93" w14:textId="77777777" w:rsidR="006549F5" w:rsidRPr="002C1E2B" w:rsidRDefault="006549F5" w:rsidP="00A815F0">
      <w:pPr>
        <w:pStyle w:val="ListBullet2"/>
        <w:spacing w:after="240"/>
      </w:pPr>
      <w:r w:rsidRPr="002C1E2B">
        <w:t xml:space="preserve">Usually retains a proportion of the in-going contribution </w:t>
      </w:r>
      <w:r w:rsidR="001B1F73" w:rsidRPr="002C1E2B">
        <w:t xml:space="preserve">from the resident </w:t>
      </w:r>
      <w:r w:rsidRPr="002C1E2B">
        <w:t xml:space="preserve">(known as </w:t>
      </w:r>
      <w:r w:rsidR="001B1F73" w:rsidRPr="002C1E2B">
        <w:t>a</w:t>
      </w:r>
      <w:r w:rsidRPr="002C1E2B">
        <w:t xml:space="preserve"> DMF).</w:t>
      </w:r>
    </w:p>
    <w:p w14:paraId="64E311B9" w14:textId="77777777" w:rsidR="006549F5" w:rsidRPr="002C1E2B" w:rsidRDefault="006549F5" w:rsidP="006549F5">
      <w:r w:rsidRPr="002C1E2B">
        <w:t xml:space="preserve">In-going contributions to enter a retirement village are </w:t>
      </w:r>
      <w:r w:rsidR="001B1F73" w:rsidRPr="002C1E2B">
        <w:t>substantial</w:t>
      </w:r>
      <w:r w:rsidRPr="002C1E2B">
        <w:t>. In 2016, the average in-going contribution for a two-bedroom unit was around $398,000.</w:t>
      </w:r>
      <w:r w:rsidRPr="002C1E2B">
        <w:rPr>
          <w:rStyle w:val="FootnoteReference"/>
          <w:lang w:val="en-AU"/>
        </w:rPr>
        <w:footnoteReference w:id="21"/>
      </w:r>
      <w:r w:rsidRPr="002C1E2B">
        <w:t xml:space="preserve"> Generally the cost of retirement village units is around 10 per cent less than the cost of comparable apartments.</w:t>
      </w:r>
      <w:r w:rsidRPr="002C1E2B">
        <w:rPr>
          <w:rStyle w:val="FootnoteReference"/>
          <w:lang w:val="en-AU"/>
        </w:rPr>
        <w:footnoteReference w:id="22"/>
      </w:r>
      <w:r w:rsidRPr="002C1E2B">
        <w:t xml:space="preserve"> Ongoing payments are usually around $409 per month.</w:t>
      </w:r>
      <w:r w:rsidRPr="002C1E2B">
        <w:rPr>
          <w:rStyle w:val="FootnoteReference"/>
          <w:lang w:val="en-AU"/>
        </w:rPr>
        <w:footnoteReference w:id="23"/>
      </w:r>
      <w:r w:rsidRPr="002C1E2B">
        <w:t xml:space="preserve"> Generally, the in-going contribution is refunded (minus fees and charges) after the resident vacates the retirement village – or, more usually, when the unit is re-sold. On average, the retirement village operator retains about 35 per cent of sale price of the unit as a </w:t>
      </w:r>
      <w:r w:rsidR="00AF417E" w:rsidRPr="002C1E2B">
        <w:t>DMF</w:t>
      </w:r>
      <w:r w:rsidRPr="002C1E2B">
        <w:t>.</w:t>
      </w:r>
      <w:r w:rsidRPr="002C1E2B">
        <w:rPr>
          <w:rStyle w:val="FootnoteReference"/>
          <w:lang w:val="en-AU"/>
        </w:rPr>
        <w:footnoteReference w:id="24"/>
      </w:r>
      <w:r w:rsidRPr="002C1E2B">
        <w:t xml:space="preserve"> </w:t>
      </w:r>
    </w:p>
    <w:p w14:paraId="762BC1B1" w14:textId="77777777" w:rsidR="006549F5" w:rsidRPr="002C1E2B" w:rsidRDefault="006549F5" w:rsidP="006549F5">
      <w:pPr>
        <w:pStyle w:val="Heading2"/>
      </w:pPr>
      <w:bookmarkStart w:id="51" w:name="_Toc473032461"/>
      <w:bookmarkStart w:id="52" w:name="_Toc476739263"/>
      <w:bookmarkStart w:id="53" w:name="_Toc476585817"/>
      <w:r w:rsidRPr="002C1E2B">
        <w:lastRenderedPageBreak/>
        <w:t>Problems identified</w:t>
      </w:r>
      <w:bookmarkEnd w:id="51"/>
      <w:bookmarkEnd w:id="52"/>
      <w:bookmarkEnd w:id="53"/>
    </w:p>
    <w:p w14:paraId="07B29B31" w14:textId="77777777" w:rsidR="006549F5" w:rsidRPr="002C1E2B" w:rsidRDefault="006549F5" w:rsidP="006549F5">
      <w:pPr>
        <w:pStyle w:val="BodyText"/>
      </w:pPr>
      <w:r w:rsidRPr="002C1E2B">
        <w:t>Problems can arise between residents of retirement villages and retirement village operators. Often these problems arise due to a lack of understanding of their respective rights and obligations at the time of entering into a contract. Problems can also arise between</w:t>
      </w:r>
      <w:r w:rsidR="001B1F73" w:rsidRPr="002C1E2B">
        <w:t xml:space="preserve"> non-owner</w:t>
      </w:r>
      <w:r w:rsidRPr="002C1E2B">
        <w:t xml:space="preserve"> residents and operators relating to the timely return of residents</w:t>
      </w:r>
      <w:r w:rsidR="001B1F73" w:rsidRPr="002C1E2B">
        <w:t>’</w:t>
      </w:r>
      <w:r w:rsidRPr="002C1E2B">
        <w:t xml:space="preserve"> exit entitlement</w:t>
      </w:r>
      <w:r w:rsidR="001B1F73" w:rsidRPr="002C1E2B">
        <w:t>s</w:t>
      </w:r>
      <w:r w:rsidRPr="002C1E2B">
        <w:t xml:space="preserve"> and, in particular the impact this can have on residents entering aged care. </w:t>
      </w:r>
    </w:p>
    <w:p w14:paraId="69F84BE3" w14:textId="77777777" w:rsidR="006433DF" w:rsidRPr="002C1E2B" w:rsidRDefault="006433DF" w:rsidP="006433DF">
      <w:pPr>
        <w:pStyle w:val="Heading3"/>
      </w:pPr>
      <w:r w:rsidRPr="002C1E2B">
        <w:t>Problems relating to the return of exit entitlements</w:t>
      </w:r>
    </w:p>
    <w:p w14:paraId="7584404B" w14:textId="77777777" w:rsidR="00F25943" w:rsidRPr="002C1E2B" w:rsidRDefault="00F25943" w:rsidP="00F25943">
      <w:r w:rsidRPr="002C1E2B">
        <w:t xml:space="preserve">Problems may arise between </w:t>
      </w:r>
      <w:r w:rsidR="001B1F73" w:rsidRPr="002C1E2B">
        <w:t xml:space="preserve">non-owner </w:t>
      </w:r>
      <w:r w:rsidRPr="002C1E2B">
        <w:t xml:space="preserve">residents and retirement village operators as a result of delays in returning residents’ exit entitlements, after they have vacated their unit in the retirement village. It often takes longer to sell units in retirement villages (on average 10.5 months) than privately owned property (one to two months) and unlike privately owned property it is difficult for </w:t>
      </w:r>
      <w:r w:rsidR="001B1F73" w:rsidRPr="002C1E2B">
        <w:t xml:space="preserve">non-owner </w:t>
      </w:r>
      <w:r w:rsidRPr="002C1E2B">
        <w:t xml:space="preserve">residents to borrow against the value of retirement village units. </w:t>
      </w:r>
      <w:r w:rsidR="001B1F73" w:rsidRPr="002C1E2B">
        <w:t>Non-owner r</w:t>
      </w:r>
      <w:r w:rsidRPr="002C1E2B">
        <w:t xml:space="preserve">esidents who have left retirement villages and are waiting for their unit to be sold may not be able to finance their other needs, which can result in significant hardship for </w:t>
      </w:r>
      <w:r w:rsidR="001B1F73" w:rsidRPr="002C1E2B">
        <w:t>them</w:t>
      </w:r>
      <w:r w:rsidRPr="002C1E2B">
        <w:t xml:space="preserve">, including sometimes interfering with their entry into aged care. </w:t>
      </w:r>
    </w:p>
    <w:p w14:paraId="6DA36E9C" w14:textId="77777777" w:rsidR="00F25943" w:rsidRPr="002C1E2B" w:rsidRDefault="00F25943" w:rsidP="00F25943">
      <w:r w:rsidRPr="002C1E2B">
        <w:t xml:space="preserve">Retirement village contracts usually entitle residents to their exit entitlement following the sale of their residence right to a new resident. The former resident is the primary beneficiary of the sale, but they are </w:t>
      </w:r>
      <w:r w:rsidR="001B1F73" w:rsidRPr="002C1E2B">
        <w:t xml:space="preserve">generally </w:t>
      </w:r>
      <w:r w:rsidRPr="002C1E2B">
        <w:t>on the actions of the retirement village operator to facilitate a smooth sale process. Even in cases where the former resident has control of the sale process, they often rely on the village operator for:</w:t>
      </w:r>
    </w:p>
    <w:p w14:paraId="31D75022" w14:textId="77777777" w:rsidR="00F25943" w:rsidRPr="002C1E2B" w:rsidRDefault="00F25943" w:rsidP="00F25943">
      <w:pPr>
        <w:pStyle w:val="ListBullet"/>
      </w:pPr>
      <w:r w:rsidRPr="002C1E2B">
        <w:t>Undertaking any refurbishment of the residence;</w:t>
      </w:r>
    </w:p>
    <w:p w14:paraId="2C29ECC3" w14:textId="77777777" w:rsidR="00F25943" w:rsidRPr="002C1E2B" w:rsidRDefault="00F25943" w:rsidP="00F25943">
      <w:pPr>
        <w:pStyle w:val="ListBullet"/>
      </w:pPr>
      <w:r w:rsidRPr="002C1E2B">
        <w:t>Making the residence available for inspection;</w:t>
      </w:r>
    </w:p>
    <w:p w14:paraId="5F6CC875" w14:textId="77777777" w:rsidR="00F25943" w:rsidRPr="002C1E2B" w:rsidRDefault="00F25943" w:rsidP="00A169E6">
      <w:pPr>
        <w:pStyle w:val="ListBullet"/>
        <w:spacing w:after="240"/>
      </w:pPr>
      <w:r w:rsidRPr="002C1E2B">
        <w:t>Maintaining the overall quality of the retirement village; and</w:t>
      </w:r>
    </w:p>
    <w:p w14:paraId="6B53259D" w14:textId="77777777" w:rsidR="00F25943" w:rsidRPr="002C1E2B" w:rsidRDefault="00F25943" w:rsidP="00D57D67">
      <w:pPr>
        <w:pStyle w:val="ListBullet"/>
        <w:spacing w:after="240"/>
      </w:pPr>
      <w:r w:rsidRPr="002C1E2B">
        <w:t>Answering enquiries from prospective new residents.</w:t>
      </w:r>
    </w:p>
    <w:p w14:paraId="6FD6F490" w14:textId="77777777" w:rsidR="00F25943" w:rsidRPr="002C1E2B" w:rsidRDefault="00F25943" w:rsidP="00F25943">
      <w:r w:rsidRPr="002C1E2B">
        <w:t xml:space="preserve">The RV Act’s </w:t>
      </w:r>
      <w:r w:rsidR="00C871A4" w:rsidRPr="002C1E2B">
        <w:t>six month</w:t>
      </w:r>
      <w:r w:rsidRPr="002C1E2B">
        <w:t xml:space="preserve"> rule partly addresses this issue</w:t>
      </w:r>
      <w:r w:rsidR="001B1F73" w:rsidRPr="002C1E2B">
        <w:t xml:space="preserve"> for non-owner residents</w:t>
      </w:r>
      <w:r w:rsidRPr="002C1E2B">
        <w:t xml:space="preserve"> by requiring retirement village operators to pay their exit entitlement within six months of leaving the village if their unit has not already been sold, or ‘in accordance with the regulations’. The Regulations provide for an exemption of the </w:t>
      </w:r>
      <w:r w:rsidR="00C871A4" w:rsidRPr="002C1E2B">
        <w:t>six month</w:t>
      </w:r>
      <w:r w:rsidRPr="002C1E2B">
        <w:t xml:space="preserve"> rule if prescribed conditions, giving the </w:t>
      </w:r>
      <w:r w:rsidR="001B1F73" w:rsidRPr="002C1E2B">
        <w:t xml:space="preserve">non-owner </w:t>
      </w:r>
      <w:r w:rsidRPr="002C1E2B">
        <w:t>resident control of the sale process, are included in the residence contract (the great majority of contracts include these conditions). However, even if the six month rule is avoided in this way, village operators are still subject to the application of the aged</w:t>
      </w:r>
      <w:r w:rsidR="00C871A4" w:rsidRPr="002C1E2B">
        <w:t xml:space="preserve"> </w:t>
      </w:r>
      <w:r w:rsidRPr="002C1E2B">
        <w:t xml:space="preserve">care rule (explained in </w:t>
      </w:r>
      <w:r w:rsidR="00AA2D56" w:rsidRPr="002C1E2B">
        <w:t>C</w:t>
      </w:r>
      <w:r w:rsidRPr="002C1E2B">
        <w:t xml:space="preserve">hapter 1). </w:t>
      </w:r>
    </w:p>
    <w:p w14:paraId="2471342C" w14:textId="77777777" w:rsidR="00F25943" w:rsidRPr="002C1E2B" w:rsidRDefault="00F25943" w:rsidP="00F25943">
      <w:r w:rsidRPr="002C1E2B">
        <w:t xml:space="preserve">In the absence of the </w:t>
      </w:r>
      <w:r w:rsidR="001B1F73" w:rsidRPr="002C1E2B">
        <w:t>Regulations</w:t>
      </w:r>
      <w:r w:rsidRPr="002C1E2B">
        <w:t xml:space="preserve">, there would be no exemptions </w:t>
      </w:r>
      <w:r w:rsidR="001B1F73" w:rsidRPr="002C1E2B">
        <w:t xml:space="preserve">from </w:t>
      </w:r>
      <w:r w:rsidRPr="002C1E2B">
        <w:t>the six month rule. This would be onerous for retirement village operators. The</w:t>
      </w:r>
      <w:r w:rsidR="001B1F73" w:rsidRPr="002C1E2B">
        <w:t>y</w:t>
      </w:r>
      <w:r w:rsidRPr="002C1E2B">
        <w:t xml:space="preserve"> may incur higher interest costs while they wait to receive the funds from the sale of the unit, or may be forced to delay other investments until the funds are available.  </w:t>
      </w:r>
    </w:p>
    <w:p w14:paraId="25EB3934" w14:textId="77777777" w:rsidR="006433DF" w:rsidRPr="002C1E2B" w:rsidRDefault="006433DF" w:rsidP="006433DF">
      <w:pPr>
        <w:rPr>
          <w:b/>
          <w:i/>
        </w:rPr>
      </w:pPr>
      <w:r w:rsidRPr="002C1E2B">
        <w:rPr>
          <w:b/>
          <w:i/>
        </w:rPr>
        <w:t>Interaction between the return of exit entitlements and entry into aged care</w:t>
      </w:r>
    </w:p>
    <w:p w14:paraId="4BFE42BA" w14:textId="77777777" w:rsidR="00F25943" w:rsidRPr="002C1E2B" w:rsidRDefault="00F25943" w:rsidP="00F25943">
      <w:r w:rsidRPr="002C1E2B">
        <w:t>Prior to the changes to the Aged Care Act</w:t>
      </w:r>
      <w:r w:rsidRPr="002C1E2B">
        <w:rPr>
          <w:i/>
        </w:rPr>
        <w:t xml:space="preserve"> </w:t>
      </w:r>
      <w:r w:rsidRPr="002C1E2B">
        <w:t xml:space="preserve">in 2014, it was common for aged care providers to require residents entering low-care to pay an accommodation bond (payable six months after </w:t>
      </w:r>
      <w:r w:rsidRPr="002C1E2B">
        <w:lastRenderedPageBreak/>
        <w:t xml:space="preserve">entering aged care). Former retirement village residents are often reliant on the return of their exit entitlement to pay the accommodation bond. </w:t>
      </w:r>
    </w:p>
    <w:p w14:paraId="7452B44E" w14:textId="77777777" w:rsidR="00F25943" w:rsidRPr="002C1E2B" w:rsidRDefault="00F25943" w:rsidP="00F25943">
      <w:pPr>
        <w:rPr>
          <w:rStyle w:val="BodyTextChar"/>
          <w:lang w:val="en-AU"/>
        </w:rPr>
      </w:pPr>
      <w:r w:rsidRPr="002C1E2B">
        <w:rPr>
          <w:rStyle w:val="BodyTextChar"/>
          <w:lang w:val="en-AU"/>
        </w:rPr>
        <w:t xml:space="preserve">The aged care rule sets out a process to ensure that contractual provisions for the return of </w:t>
      </w:r>
      <w:r w:rsidR="001B1F73" w:rsidRPr="002C1E2B">
        <w:rPr>
          <w:rStyle w:val="BodyTextChar"/>
          <w:lang w:val="en-AU"/>
        </w:rPr>
        <w:t xml:space="preserve">non-owner </w:t>
      </w:r>
      <w:r w:rsidRPr="002C1E2B">
        <w:rPr>
          <w:rStyle w:val="BodyTextChar"/>
          <w:lang w:val="en-AU"/>
        </w:rPr>
        <w:t xml:space="preserve">residents’ exit entitlements do not interfere with their entry into aged care. In certain circumstances, it requires retirement village operators to provide </w:t>
      </w:r>
      <w:r w:rsidR="001B1F73" w:rsidRPr="002C1E2B">
        <w:rPr>
          <w:rStyle w:val="BodyTextChar"/>
          <w:lang w:val="en-AU"/>
        </w:rPr>
        <w:t xml:space="preserve">non-owner </w:t>
      </w:r>
      <w:r w:rsidRPr="002C1E2B">
        <w:rPr>
          <w:rStyle w:val="BodyTextChar"/>
          <w:lang w:val="en-AU"/>
        </w:rPr>
        <w:t>residents who have entered aged care with</w:t>
      </w:r>
      <w:r w:rsidR="001B1F73" w:rsidRPr="002C1E2B">
        <w:rPr>
          <w:rStyle w:val="BodyTextChar"/>
          <w:lang w:val="en-AU"/>
        </w:rPr>
        <w:t xml:space="preserve"> the whole or part of</w:t>
      </w:r>
      <w:r w:rsidRPr="002C1E2B">
        <w:rPr>
          <w:rStyle w:val="BodyTextChar"/>
          <w:lang w:val="en-AU"/>
        </w:rPr>
        <w:t xml:space="preserve"> their </w:t>
      </w:r>
      <w:r w:rsidR="001B1F73" w:rsidRPr="002C1E2B">
        <w:rPr>
          <w:rStyle w:val="BodyTextChar"/>
          <w:lang w:val="en-AU"/>
        </w:rPr>
        <w:t xml:space="preserve">estimated </w:t>
      </w:r>
      <w:r w:rsidRPr="002C1E2B">
        <w:rPr>
          <w:rStyle w:val="BodyTextChar"/>
          <w:lang w:val="en-AU"/>
        </w:rPr>
        <w:t>exit entitlement after six months, or in other cases to pay the aged care provider interest on the unpaid</w:t>
      </w:r>
      <w:r w:rsidR="001B1F73" w:rsidRPr="002C1E2B">
        <w:rPr>
          <w:rStyle w:val="BodyTextChar"/>
          <w:lang w:val="en-AU"/>
        </w:rPr>
        <w:t xml:space="preserve"> accommodation bond.</w:t>
      </w:r>
      <w:r w:rsidRPr="002C1E2B">
        <w:rPr>
          <w:rStyle w:val="BodyTextChar"/>
          <w:lang w:val="en-AU"/>
        </w:rPr>
        <w:t xml:space="preserve"> In the absence of the </w:t>
      </w:r>
      <w:r w:rsidR="001B1F73" w:rsidRPr="002C1E2B">
        <w:rPr>
          <w:rStyle w:val="BodyTextChar"/>
          <w:lang w:val="en-AU"/>
        </w:rPr>
        <w:t>Regulations</w:t>
      </w:r>
      <w:r w:rsidRPr="002C1E2B">
        <w:rPr>
          <w:rStyle w:val="BodyTextChar"/>
          <w:lang w:val="en-AU"/>
        </w:rPr>
        <w:t xml:space="preserve">, </w:t>
      </w:r>
      <w:r w:rsidR="001B1F73" w:rsidRPr="002C1E2B">
        <w:rPr>
          <w:rStyle w:val="BodyTextChar"/>
          <w:lang w:val="en-AU"/>
        </w:rPr>
        <w:t xml:space="preserve">non-owner </w:t>
      </w:r>
      <w:r w:rsidRPr="002C1E2B">
        <w:rPr>
          <w:rStyle w:val="BodyTextChar"/>
          <w:lang w:val="en-AU"/>
        </w:rPr>
        <w:t xml:space="preserve">residents would incur these costs. As well as being financially onerous for </w:t>
      </w:r>
      <w:r w:rsidR="001B1F73" w:rsidRPr="002C1E2B">
        <w:rPr>
          <w:rStyle w:val="BodyTextChar"/>
          <w:lang w:val="en-AU"/>
        </w:rPr>
        <w:t xml:space="preserve">non-owner </w:t>
      </w:r>
      <w:r w:rsidRPr="002C1E2B">
        <w:rPr>
          <w:rStyle w:val="BodyTextChar"/>
          <w:lang w:val="en-AU"/>
        </w:rPr>
        <w:t xml:space="preserve">residents, it may delay their entry into aged care or reduce their choice of aged care provider (e.g. if they cannot afford their preferred provider). Most people who enter aged care are doing so because of ill-health. Delays in entry into aged care could exacerbate their health problems. </w:t>
      </w:r>
    </w:p>
    <w:p w14:paraId="23DC1344" w14:textId="77777777" w:rsidR="00F25943" w:rsidRPr="002C1E2B" w:rsidRDefault="00F25943" w:rsidP="00F25943">
      <w:pPr>
        <w:rPr>
          <w:rStyle w:val="BodyTextChar"/>
          <w:lang w:val="en-AU"/>
        </w:rPr>
      </w:pPr>
      <w:r w:rsidRPr="002C1E2B">
        <w:rPr>
          <w:rStyle w:val="BodyTextChar"/>
          <w:lang w:val="en-AU"/>
        </w:rPr>
        <w:t xml:space="preserve">There are also problems with the current operation of the aged care rule. As explained above, the rule refers to aspects of the Commonwealth’s aged care legislation, which have either changed substantially or no longer apply. It is not clear </w:t>
      </w:r>
      <w:r w:rsidR="001B1F73" w:rsidRPr="002C1E2B">
        <w:rPr>
          <w:rStyle w:val="BodyTextChar"/>
          <w:lang w:val="en-AU"/>
        </w:rPr>
        <w:t>how</w:t>
      </w:r>
      <w:r w:rsidRPr="002C1E2B">
        <w:rPr>
          <w:rStyle w:val="BodyTextChar"/>
          <w:lang w:val="en-AU"/>
        </w:rPr>
        <w:t xml:space="preserve"> the current regulations – as drafted –</w:t>
      </w:r>
      <w:r w:rsidR="001B1F73" w:rsidRPr="002C1E2B">
        <w:rPr>
          <w:rStyle w:val="BodyTextChar"/>
          <w:lang w:val="en-AU"/>
        </w:rPr>
        <w:t xml:space="preserve"> </w:t>
      </w:r>
      <w:r w:rsidRPr="002C1E2B">
        <w:rPr>
          <w:rStyle w:val="BodyTextChar"/>
          <w:lang w:val="en-AU"/>
        </w:rPr>
        <w:t xml:space="preserve">operate in light of the Commonwealth’s changes. Both residents and operators need clarity on this issue. </w:t>
      </w:r>
    </w:p>
    <w:p w14:paraId="4CDBE601" w14:textId="77777777" w:rsidR="00F25943" w:rsidRPr="002C1E2B" w:rsidRDefault="00F25943" w:rsidP="00F25943">
      <w:pPr>
        <w:rPr>
          <w:rStyle w:val="BodyTextChar"/>
          <w:lang w:val="en-AU"/>
        </w:rPr>
      </w:pPr>
      <w:r w:rsidRPr="002C1E2B">
        <w:rPr>
          <w:rStyle w:val="BodyTextChar"/>
          <w:lang w:val="en-AU"/>
        </w:rPr>
        <w:t xml:space="preserve">The Commonwealth Government’s changes give all aged care residents the choice of paying an up-front lump sum to enter aged care, making ongoing daily payments or a combination of the two. This gives more choice to aged care residents. Further, a change in the definition of aged care expands the application of Victoria’s aged care rule to a much broader set of </w:t>
      </w:r>
      <w:r w:rsidR="001B1F73" w:rsidRPr="002C1E2B">
        <w:rPr>
          <w:rStyle w:val="BodyTextChar"/>
          <w:lang w:val="en-AU"/>
        </w:rPr>
        <w:t xml:space="preserve">non-owner </w:t>
      </w:r>
      <w:r w:rsidRPr="002C1E2B">
        <w:rPr>
          <w:rStyle w:val="BodyTextChar"/>
          <w:lang w:val="en-AU"/>
        </w:rPr>
        <w:t>residents. There is a need to reconsider the rule in light of these matters.</w:t>
      </w:r>
    </w:p>
    <w:p w14:paraId="2B138716" w14:textId="77777777" w:rsidR="006549F5" w:rsidRPr="002C1E2B" w:rsidRDefault="006549F5" w:rsidP="006549F5">
      <w:pPr>
        <w:pStyle w:val="Heading3"/>
      </w:pPr>
      <w:r w:rsidRPr="002C1E2B">
        <w:t>Problems relating to contracts</w:t>
      </w:r>
    </w:p>
    <w:p w14:paraId="27321EDA" w14:textId="77777777" w:rsidR="00F25943" w:rsidRPr="002C1E2B" w:rsidRDefault="00F25943" w:rsidP="00F25943">
      <w:pPr>
        <w:pStyle w:val="BodyText"/>
      </w:pPr>
      <w:r w:rsidRPr="002C1E2B">
        <w:t xml:space="preserve">Buying a unit in a retirement village is a major expense for most people. The average unit costs nearly $400,000 and residents will typically live in the unit for between eight and 15 years. It is important </w:t>
      </w:r>
      <w:r w:rsidR="001B1F73" w:rsidRPr="002C1E2B">
        <w:t xml:space="preserve">therefore </w:t>
      </w:r>
      <w:r w:rsidRPr="002C1E2B">
        <w:t>that residents of retirement villages</w:t>
      </w:r>
      <w:r w:rsidR="001B1F73" w:rsidRPr="002C1E2B">
        <w:t xml:space="preserve"> (owner and non-owner)</w:t>
      </w:r>
      <w:r w:rsidRPr="002C1E2B">
        <w:t xml:space="preserve"> understand the terms and conditions of the contract they enter into with the retirement village operator. However, there are a number of factors that can contribute to a lack of understanding of retirement village contracts are inherent to the sector. These include:</w:t>
      </w:r>
    </w:p>
    <w:p w14:paraId="48D64C17" w14:textId="77777777" w:rsidR="00F25943" w:rsidRPr="002C1E2B" w:rsidRDefault="00F25943" w:rsidP="00F25943">
      <w:pPr>
        <w:pStyle w:val="ListBullet"/>
      </w:pPr>
      <w:r w:rsidRPr="002C1E2B">
        <w:t xml:space="preserve">The complexity of the service offering – retirement villages provide a combination of property rights and services. Contracts can be long, complex and difficult for prospective residents to understand. </w:t>
      </w:r>
    </w:p>
    <w:p w14:paraId="6031DF5A" w14:textId="77777777" w:rsidR="00F25943" w:rsidRPr="002C1E2B" w:rsidRDefault="00F25943" w:rsidP="00F25943">
      <w:pPr>
        <w:pStyle w:val="ListBullet"/>
      </w:pPr>
      <w:r w:rsidRPr="002C1E2B">
        <w:t>A one-off purchase with long term consequences – residents typically stay in retirement villages for between eight and 15 years.</w:t>
      </w:r>
      <w:r w:rsidRPr="002C1E2B">
        <w:rPr>
          <w:rStyle w:val="FootnoteReference"/>
          <w:lang w:val="en-AU"/>
        </w:rPr>
        <w:footnoteReference w:id="25"/>
      </w:r>
      <w:r w:rsidRPr="002C1E2B">
        <w:t xml:space="preserve"> The costs associated with leaving retirement villages are significant. DMFs are typically 30 to 40 per cent of the value of units</w:t>
      </w:r>
      <w:r w:rsidRPr="002C1E2B">
        <w:rPr>
          <w:rStyle w:val="FootnoteReference"/>
          <w:lang w:val="en-AU"/>
        </w:rPr>
        <w:footnoteReference w:id="26"/>
      </w:r>
      <w:r w:rsidRPr="002C1E2B">
        <w:t xml:space="preserve"> and in some cases residents may also be responsible for undertaking refurbishments of their units. Consequently, if residents are unhappy with their living arrangements or with the </w:t>
      </w:r>
      <w:r w:rsidRPr="002C1E2B">
        <w:lastRenderedPageBreak/>
        <w:t xml:space="preserve">level of service provided by the operator there can be significant financial and lifestyle implications. At the time of entering their contract, residents may not fully consider the implications of clauses relating to leaving the village. </w:t>
      </w:r>
    </w:p>
    <w:p w14:paraId="74526718" w14:textId="77777777" w:rsidR="00F25943" w:rsidRPr="002C1E2B" w:rsidRDefault="00F25943" w:rsidP="00F25943">
      <w:pPr>
        <w:pStyle w:val="ListBullet"/>
      </w:pPr>
      <w:r w:rsidRPr="002C1E2B">
        <w:t>Absence of experience in the specific contractual arrangements – most residents entering into a contract to enter a retirement village are doing so for the first time, so they do not have direct experience in contracting arrangements that are typical to the sector. This can impede their ability to scrutinise contractual provisions.</w:t>
      </w:r>
    </w:p>
    <w:p w14:paraId="1849F709" w14:textId="77777777" w:rsidR="00F25943" w:rsidRPr="002C1E2B" w:rsidRDefault="00F25943" w:rsidP="00F25943">
      <w:pPr>
        <w:pStyle w:val="ListBullet"/>
      </w:pPr>
      <w:r w:rsidRPr="002C1E2B">
        <w:t>Lack of knowledge and advice – the retirement village sector is growing, but is still a relatively small sector of the overall accommodation market for older people – just five per</w:t>
      </w:r>
      <w:r w:rsidR="00EF6C0A" w:rsidRPr="002C1E2B">
        <w:t xml:space="preserve"> </w:t>
      </w:r>
      <w:r w:rsidRPr="002C1E2B">
        <w:t>cent of over 65s live in a retirement village.</w:t>
      </w:r>
      <w:r w:rsidRPr="002C1E2B">
        <w:rPr>
          <w:rStyle w:val="FootnoteReference"/>
          <w:lang w:val="en-AU"/>
        </w:rPr>
        <w:footnoteReference w:id="27"/>
      </w:r>
      <w:r w:rsidRPr="002C1E2B">
        <w:t xml:space="preserve"> As a result, there are still relatively few specialist legal advisors providing advice on retirement village contractual arrangements. There is also a general lack of understanding in the community of how the sector operates, which limits the prospective resident’s capacity to seek advice through informal networks.</w:t>
      </w:r>
    </w:p>
    <w:p w14:paraId="6896DCB9" w14:textId="77777777" w:rsidR="00F25943" w:rsidRPr="002C1E2B" w:rsidRDefault="00F25943" w:rsidP="00A169E6">
      <w:pPr>
        <w:pStyle w:val="ListBullet"/>
        <w:spacing w:after="240"/>
      </w:pPr>
      <w:r w:rsidRPr="002C1E2B">
        <w:t>Reliance on information from the operator – prospective residents usually choose a retirement village before they have experienced living there. Generally, this decision is based on information about the village provided by the operator, which the prospective resident has limited to capacity to verify.</w:t>
      </w:r>
    </w:p>
    <w:p w14:paraId="7E9E97D8" w14:textId="77777777" w:rsidR="00F25943" w:rsidRPr="002C1E2B" w:rsidRDefault="00F25943" w:rsidP="00F25943">
      <w:pPr>
        <w:pStyle w:val="ListBullet"/>
        <w:numPr>
          <w:ilvl w:val="0"/>
          <w:numId w:val="0"/>
        </w:numPr>
      </w:pPr>
      <w:r w:rsidRPr="002C1E2B">
        <w:t xml:space="preserve">Other factors, which can contribute to a lack of understanding of the implications of retirement village contracts relate to particular vulnerabilities of prospective residents of retirement </w:t>
      </w:r>
      <w:r w:rsidR="001B1F73" w:rsidRPr="002C1E2B">
        <w:t>villages</w:t>
      </w:r>
      <w:r w:rsidRPr="002C1E2B">
        <w:t>. These can include:</w:t>
      </w:r>
    </w:p>
    <w:p w14:paraId="2534363A" w14:textId="77777777" w:rsidR="00F25943" w:rsidRPr="002C1E2B" w:rsidRDefault="00F25943" w:rsidP="00F25943">
      <w:pPr>
        <w:pStyle w:val="ListBullet"/>
        <w:ind w:left="357" w:hanging="357"/>
      </w:pPr>
      <w:r w:rsidRPr="002C1E2B">
        <w:t>The advanced age of the resident – the average age of a resident entering a retirement village in 2016 is 76.</w:t>
      </w:r>
      <w:r w:rsidRPr="002C1E2B">
        <w:rPr>
          <w:rStyle w:val="FootnoteReference"/>
          <w:lang w:val="en-AU"/>
        </w:rPr>
        <w:footnoteReference w:id="28"/>
      </w:r>
      <w:r w:rsidRPr="002C1E2B">
        <w:t xml:space="preserve"> Research shows there are significant differences between the younger and older mind, which affect decision making.</w:t>
      </w:r>
      <w:r w:rsidRPr="002C1E2B">
        <w:rPr>
          <w:rStyle w:val="FootnoteReference"/>
          <w:lang w:val="en-AU"/>
        </w:rPr>
        <w:footnoteReference w:id="29"/>
      </w:r>
    </w:p>
    <w:p w14:paraId="5F11132E" w14:textId="77777777" w:rsidR="00F25943" w:rsidRPr="002C1E2B" w:rsidRDefault="00F25943" w:rsidP="00A169E6">
      <w:pPr>
        <w:pStyle w:val="ListBullet"/>
        <w:spacing w:after="240"/>
        <w:ind w:left="357" w:hanging="357"/>
      </w:pPr>
      <w:r w:rsidRPr="002C1E2B">
        <w:t>Personal circumstances precipitating entry to a retirement village – residents often enter a retirement village following traumatic circumstances, for example the loss of a partner.</w:t>
      </w:r>
    </w:p>
    <w:p w14:paraId="2D19A9D3" w14:textId="77777777" w:rsidR="00F25943" w:rsidRPr="002C1E2B" w:rsidRDefault="00F25943" w:rsidP="00F25943">
      <w:pPr>
        <w:rPr>
          <w:rFonts w:ascii="Times New Roman" w:hAnsi="Times New Roman"/>
        </w:rPr>
      </w:pPr>
      <w:r w:rsidRPr="002C1E2B">
        <w:t xml:space="preserve">If a resident doesn't understand the contract they are entering into they may experience some future detriment, either financial or through loss of lifestyle. In submissions to the </w:t>
      </w:r>
      <w:r w:rsidRPr="002C1E2B">
        <w:rPr>
          <w:rFonts w:ascii="Times New Roman" w:hAnsi="Times New Roman"/>
          <w:i/>
          <w:iCs/>
        </w:rPr>
        <w:t>Parliamentary Inquiry into the Retirement Housing</w:t>
      </w:r>
      <w:r w:rsidRPr="002C1E2B">
        <w:rPr>
          <w:rFonts w:ascii="Times New Roman" w:hAnsi="Times New Roman"/>
        </w:rPr>
        <w:t xml:space="preserve"> </w:t>
      </w:r>
      <w:r w:rsidRPr="002C1E2B">
        <w:rPr>
          <w:rFonts w:ascii="Times New Roman" w:hAnsi="Times New Roman"/>
          <w:i/>
        </w:rPr>
        <w:t>Sector</w:t>
      </w:r>
      <w:r w:rsidRPr="002C1E2B">
        <w:rPr>
          <w:rFonts w:ascii="Times New Roman" w:hAnsi="Times New Roman"/>
        </w:rPr>
        <w:t>, a number of residents raised concerns about the complexity of their contracts and a lack of availability of legal advice in the sector. Residents’ submissions also</w:t>
      </w:r>
      <w:r w:rsidRPr="002C1E2B">
        <w:rPr>
          <w:rFonts w:ascii="Times New Roman" w:hAnsi="Times New Roman"/>
          <w:i/>
        </w:rPr>
        <w:t xml:space="preserve"> </w:t>
      </w:r>
      <w:r w:rsidRPr="002C1E2B">
        <w:rPr>
          <w:rFonts w:ascii="Times New Roman" w:hAnsi="Times New Roman"/>
        </w:rPr>
        <w:t>frequently raised issues that they were having with their retirement village</w:t>
      </w:r>
      <w:r w:rsidR="00067565" w:rsidRPr="002C1E2B">
        <w:rPr>
          <w:rFonts w:ascii="Times New Roman" w:hAnsi="Times New Roman"/>
        </w:rPr>
        <w:t xml:space="preserve"> operator</w:t>
      </w:r>
      <w:r w:rsidRPr="002C1E2B">
        <w:rPr>
          <w:rFonts w:ascii="Times New Roman" w:hAnsi="Times New Roman"/>
        </w:rPr>
        <w:t xml:space="preserve">, which could be the result of a lack of understanding of the terms of their contracts. These included: </w:t>
      </w:r>
    </w:p>
    <w:p w14:paraId="4C94BC86" w14:textId="77777777" w:rsidR="00F25943" w:rsidRPr="002C1E2B" w:rsidRDefault="00F25943" w:rsidP="00F25943">
      <w:pPr>
        <w:pStyle w:val="ListBullet"/>
        <w:rPr>
          <w:rFonts w:ascii="Times New Roman" w:hAnsi="Times New Roman"/>
        </w:rPr>
      </w:pPr>
      <w:r w:rsidRPr="002C1E2B">
        <w:rPr>
          <w:rFonts w:ascii="Times New Roman" w:hAnsi="Times New Roman"/>
        </w:rPr>
        <w:t xml:space="preserve">Concerns about the level of fee increases allowed under their contracts and the impact these were having on </w:t>
      </w:r>
      <w:r w:rsidR="00067565" w:rsidRPr="002C1E2B">
        <w:rPr>
          <w:rFonts w:ascii="Times New Roman" w:hAnsi="Times New Roman"/>
        </w:rPr>
        <w:t xml:space="preserve">their </w:t>
      </w:r>
      <w:r w:rsidRPr="002C1E2B">
        <w:rPr>
          <w:rFonts w:ascii="Times New Roman" w:hAnsi="Times New Roman"/>
        </w:rPr>
        <w:t xml:space="preserve">financial situation;  </w:t>
      </w:r>
    </w:p>
    <w:p w14:paraId="0111355A" w14:textId="77777777" w:rsidR="00F25943" w:rsidRPr="002C1E2B" w:rsidRDefault="00F25943" w:rsidP="00F25943">
      <w:pPr>
        <w:pStyle w:val="ListBullet"/>
        <w:rPr>
          <w:rFonts w:ascii="Times New Roman" w:hAnsi="Times New Roman"/>
        </w:rPr>
      </w:pPr>
      <w:r w:rsidRPr="002C1E2B">
        <w:lastRenderedPageBreak/>
        <w:t xml:space="preserve">Concerns about the sale process of units, including the level of fees deducted by village operators from </w:t>
      </w:r>
      <w:r w:rsidR="00067565" w:rsidRPr="002C1E2B">
        <w:t xml:space="preserve">their </w:t>
      </w:r>
      <w:r w:rsidRPr="002C1E2B">
        <w:t xml:space="preserve">exit entitlements; </w:t>
      </w:r>
    </w:p>
    <w:p w14:paraId="0C387AEA" w14:textId="77777777" w:rsidR="00F25943" w:rsidRPr="002C1E2B" w:rsidRDefault="00F25943" w:rsidP="00F25943">
      <w:pPr>
        <w:pStyle w:val="ListBullet"/>
      </w:pPr>
      <w:r w:rsidRPr="002C1E2B">
        <w:t xml:space="preserve">Conflicts </w:t>
      </w:r>
      <w:r w:rsidR="00067565" w:rsidRPr="002C1E2B">
        <w:t>with</w:t>
      </w:r>
      <w:r w:rsidRPr="002C1E2B">
        <w:t xml:space="preserve"> village operators regarding contractual terms, which were contributing to residents’ health issues; and</w:t>
      </w:r>
    </w:p>
    <w:p w14:paraId="6DD025D8" w14:textId="77777777" w:rsidR="00F25943" w:rsidRPr="002C1E2B" w:rsidRDefault="00F25943" w:rsidP="00CF78F3">
      <w:pPr>
        <w:pStyle w:val="ListBullet"/>
        <w:spacing w:after="240"/>
      </w:pPr>
      <w:r w:rsidRPr="002C1E2B">
        <w:t xml:space="preserve">Conflicts </w:t>
      </w:r>
      <w:r w:rsidR="00067565" w:rsidRPr="002C1E2B">
        <w:t>with</w:t>
      </w:r>
      <w:r w:rsidRPr="002C1E2B">
        <w:t xml:space="preserve"> village operators regarding unfulfilled commitments about services provi</w:t>
      </w:r>
      <w:r w:rsidR="00067565" w:rsidRPr="002C1E2B">
        <w:t>sions or about</w:t>
      </w:r>
      <w:r w:rsidRPr="002C1E2B">
        <w:t xml:space="preserve"> the village</w:t>
      </w:r>
      <w:r w:rsidR="00067565" w:rsidRPr="002C1E2B">
        <w:t>’s</w:t>
      </w:r>
      <w:r w:rsidRPr="002C1E2B">
        <w:t xml:space="preserve"> overall amenity, which led </w:t>
      </w:r>
      <w:r w:rsidR="00067565" w:rsidRPr="002C1E2B">
        <w:t xml:space="preserve">them </w:t>
      </w:r>
      <w:r w:rsidRPr="002C1E2B">
        <w:t>to be dissatisfied with the village.</w:t>
      </w:r>
    </w:p>
    <w:p w14:paraId="6548B5B5" w14:textId="77777777" w:rsidR="00F25943" w:rsidRPr="002C1E2B" w:rsidRDefault="00F25943" w:rsidP="00F25943">
      <w:pPr>
        <w:pStyle w:val="BodyText"/>
      </w:pPr>
      <w:r w:rsidRPr="002C1E2B">
        <w:t xml:space="preserve">The </w:t>
      </w:r>
      <w:r w:rsidR="00067565" w:rsidRPr="002C1E2B">
        <w:t xml:space="preserve">Regulations </w:t>
      </w:r>
      <w:r w:rsidRPr="002C1E2B">
        <w:t>currently include provisions</w:t>
      </w:r>
      <w:r w:rsidRPr="002C1E2B">
        <w:rPr>
          <w:rFonts w:eastAsia="PMingLiU"/>
          <w:lang w:eastAsia="zh-MO"/>
        </w:rPr>
        <w:t xml:space="preserve"> for some standardisation of the structure and content of contracts. These are intended t</w:t>
      </w:r>
      <w:r w:rsidRPr="002C1E2B">
        <w:t xml:space="preserve">o increase residents understanding of their contracts and reduce conflicts between residents and village operators. In the absence of the </w:t>
      </w:r>
      <w:r w:rsidR="00067565" w:rsidRPr="002C1E2B">
        <w:t>Regulations</w:t>
      </w:r>
      <w:r w:rsidRPr="002C1E2B">
        <w:t xml:space="preserve">, these provisions would not exist, which would exacerbate these issues. </w:t>
      </w:r>
    </w:p>
    <w:p w14:paraId="316FC7EE" w14:textId="77777777" w:rsidR="006549F5" w:rsidRPr="002C1E2B" w:rsidRDefault="006549F5" w:rsidP="006549F5">
      <w:pPr>
        <w:pStyle w:val="Heading2"/>
      </w:pPr>
      <w:bookmarkStart w:id="54" w:name="_Toc473032462"/>
      <w:bookmarkStart w:id="55" w:name="_Toc476739264"/>
      <w:bookmarkStart w:id="56" w:name="_Toc476585818"/>
      <w:r w:rsidRPr="002C1E2B">
        <w:t>Evidence of the problem</w:t>
      </w:r>
      <w:bookmarkEnd w:id="54"/>
      <w:bookmarkEnd w:id="55"/>
      <w:bookmarkEnd w:id="56"/>
    </w:p>
    <w:p w14:paraId="2855D3DF" w14:textId="77777777" w:rsidR="006549F5" w:rsidRPr="002C1E2B" w:rsidRDefault="006549F5" w:rsidP="006549F5">
      <w:r w:rsidRPr="002C1E2B">
        <w:t xml:space="preserve">The following section set out the evidence related to problems with contracts and with the return of residents’ exit entitlements. </w:t>
      </w:r>
    </w:p>
    <w:p w14:paraId="7FADE6C1" w14:textId="77777777" w:rsidR="00F25943" w:rsidRPr="002C1E2B" w:rsidRDefault="00F25943" w:rsidP="00F25943">
      <w:pPr>
        <w:pStyle w:val="Heading3"/>
      </w:pPr>
      <w:r w:rsidRPr="002C1E2B">
        <w:t>Evidence relating to problems with the return of exit entitlements</w:t>
      </w:r>
    </w:p>
    <w:p w14:paraId="4D7A64A9" w14:textId="77777777" w:rsidR="00F25943" w:rsidRPr="002C1E2B" w:rsidRDefault="00F25943" w:rsidP="00F25943">
      <w:pPr>
        <w:pStyle w:val="BodyText"/>
      </w:pPr>
      <w:r w:rsidRPr="002C1E2B">
        <w:t>In 2015-16, CAV received 16 enquiries and five complaints related to the sale of retirement village units. There were also 39 enquiries and eight complaints about exit fees.</w:t>
      </w:r>
      <w:r w:rsidRPr="002C1E2B">
        <w:rPr>
          <w:rStyle w:val="FootnoteReference"/>
          <w:lang w:val="en-AU"/>
        </w:rPr>
        <w:footnoteReference w:id="30"/>
      </w:r>
      <w:r w:rsidRPr="002C1E2B">
        <w:t xml:space="preserve"> A common cause of complaint is the time taken to sell retirement village units and the impact this has on the return of residents’ exit entitlements. It often takes much longer to sell units in retirement villages than other forms of residential property. The average time it takes to sell a unit in a retirement village is approximately 10.5 months,</w:t>
      </w:r>
      <w:r w:rsidRPr="002C1E2B">
        <w:rPr>
          <w:rStyle w:val="FootnoteReference"/>
          <w:lang w:val="en-AU"/>
        </w:rPr>
        <w:footnoteReference w:id="31"/>
      </w:r>
      <w:r w:rsidRPr="002C1E2B">
        <w:t xml:space="preserve"> compared to around one month for other forms of residential real-estate in Melbourne and two months in regional Victoria (private sales).</w:t>
      </w:r>
      <w:r w:rsidRPr="002C1E2B">
        <w:rPr>
          <w:rStyle w:val="FootnoteReference"/>
          <w:lang w:val="en-AU"/>
        </w:rPr>
        <w:footnoteReference w:id="32"/>
      </w:r>
      <w:r w:rsidRPr="002C1E2B">
        <w:t xml:space="preserve"> This time lapse and the significant sums of money involved can result in significant impacts for retirement village residents and operators</w:t>
      </w:r>
      <w:r w:rsidR="00C871A4" w:rsidRPr="002C1E2B">
        <w:t>.</w:t>
      </w:r>
    </w:p>
    <w:p w14:paraId="6B748C78" w14:textId="77777777" w:rsidR="00F25943" w:rsidRPr="002C1E2B" w:rsidRDefault="00F25943" w:rsidP="00CF78F3">
      <w:pPr>
        <w:pStyle w:val="Caption"/>
        <w:spacing w:after="120"/>
      </w:pPr>
      <w:r w:rsidRPr="002C1E2B">
        <w:lastRenderedPageBreak/>
        <w:t xml:space="preserve">Figure </w:t>
      </w:r>
      <w:r w:rsidR="00C11D17">
        <w:fldChar w:fldCharType="begin"/>
      </w:r>
      <w:r w:rsidR="00C11D17">
        <w:instrText xml:space="preserve"> STYLEREF 1 \s </w:instrText>
      </w:r>
      <w:r w:rsidR="00C11D17">
        <w:fldChar w:fldCharType="separate"/>
      </w:r>
      <w:r w:rsidR="00BE6CE4">
        <w:rPr>
          <w:noProof/>
        </w:rPr>
        <w:t>2</w:t>
      </w:r>
      <w:r w:rsidR="00C11D17">
        <w:fldChar w:fldCharType="end"/>
      </w:r>
      <w:r w:rsidR="00C11D17">
        <w:t>.</w:t>
      </w:r>
      <w:r w:rsidR="00C11D17">
        <w:fldChar w:fldCharType="begin"/>
      </w:r>
      <w:r w:rsidR="00C11D17">
        <w:instrText xml:space="preserve"> SEQ Figure \* ARABIC \s 1 </w:instrText>
      </w:r>
      <w:r w:rsidR="00C11D17">
        <w:fldChar w:fldCharType="separate"/>
      </w:r>
      <w:r w:rsidR="00BE6CE4">
        <w:rPr>
          <w:noProof/>
        </w:rPr>
        <w:t>1</w:t>
      </w:r>
      <w:r w:rsidR="00C11D17">
        <w:fldChar w:fldCharType="end"/>
      </w:r>
      <w:r w:rsidRPr="002C1E2B">
        <w:t xml:space="preserve"> – Retirement village enquiries and disputes about sales of premises handled by Consumer Affairs Victoria, 2012-13 to 2015-16</w:t>
      </w:r>
    </w:p>
    <w:p w14:paraId="713DD911" w14:textId="77777777" w:rsidR="00F25943" w:rsidRPr="002C1E2B" w:rsidRDefault="00F25943" w:rsidP="00F25943">
      <w:pPr>
        <w:pStyle w:val="BodyText"/>
        <w:spacing w:after="0"/>
      </w:pPr>
      <w:r w:rsidRPr="002C1E2B">
        <w:rPr>
          <w:noProof/>
          <w:lang w:eastAsia="en-AU"/>
        </w:rPr>
        <w:drawing>
          <wp:inline distT="0" distB="0" distL="0" distR="0" wp14:anchorId="21D3754C" wp14:editId="4847AC9E">
            <wp:extent cx="5732145" cy="2745029"/>
            <wp:effectExtent l="0" t="0" r="190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2145" cy="2745029"/>
                    </a:xfrm>
                    <a:prstGeom prst="rect">
                      <a:avLst/>
                    </a:prstGeom>
                    <a:noFill/>
                    <a:ln>
                      <a:noFill/>
                    </a:ln>
                  </pic:spPr>
                </pic:pic>
              </a:graphicData>
            </a:graphic>
          </wp:inline>
        </w:drawing>
      </w:r>
    </w:p>
    <w:p w14:paraId="6CBD5C95" w14:textId="77777777" w:rsidR="00F25943" w:rsidRPr="002C1E2B" w:rsidRDefault="00F25943" w:rsidP="00F25943">
      <w:pPr>
        <w:pStyle w:val="BodyText"/>
        <w:rPr>
          <w:sz w:val="20"/>
        </w:rPr>
      </w:pPr>
      <w:r w:rsidRPr="002C1E2B">
        <w:rPr>
          <w:sz w:val="20"/>
        </w:rPr>
        <w:t xml:space="preserve">Source: Consumer Affairs Victoria. </w:t>
      </w:r>
    </w:p>
    <w:p w14:paraId="3795A043" w14:textId="77777777" w:rsidR="00F25943" w:rsidRPr="002C1E2B" w:rsidRDefault="00F25943" w:rsidP="00F25943">
      <w:pPr>
        <w:pStyle w:val="BodyText"/>
        <w:keepNext/>
        <w:rPr>
          <w:b/>
          <w:i/>
        </w:rPr>
      </w:pPr>
      <w:r w:rsidRPr="002C1E2B">
        <w:rPr>
          <w:b/>
          <w:i/>
        </w:rPr>
        <w:t xml:space="preserve">Impacts of the six month rule on retirement village operators </w:t>
      </w:r>
    </w:p>
    <w:p w14:paraId="023205FB" w14:textId="77777777" w:rsidR="00F25943" w:rsidRPr="002C1E2B" w:rsidRDefault="00F25943" w:rsidP="00F25943">
      <w:pPr>
        <w:pStyle w:val="BodyText"/>
      </w:pPr>
      <w:r w:rsidRPr="002C1E2B">
        <w:t xml:space="preserve">In the absence of the </w:t>
      </w:r>
      <w:r w:rsidR="00067565" w:rsidRPr="002C1E2B">
        <w:t>Regulations</w:t>
      </w:r>
      <w:r w:rsidRPr="002C1E2B">
        <w:t>, the RV Act’s six month rule would apply to all</w:t>
      </w:r>
      <w:r w:rsidR="00067565" w:rsidRPr="002C1E2B">
        <w:t xml:space="preserve"> new non-owner</w:t>
      </w:r>
      <w:r w:rsidRPr="002C1E2B">
        <w:t xml:space="preserve"> retirement village residents. This would have a significant impact on retirement village operators in terms of cash-flow and financing costs:</w:t>
      </w:r>
    </w:p>
    <w:p w14:paraId="541C2747" w14:textId="77777777" w:rsidR="00F25943" w:rsidRPr="002C1E2B" w:rsidRDefault="00F25943" w:rsidP="00067565">
      <w:pPr>
        <w:pStyle w:val="ListBullet"/>
      </w:pPr>
      <w:r w:rsidRPr="002C1E2B">
        <w:rPr>
          <w:b/>
          <w:i/>
        </w:rPr>
        <w:t>Cash flow</w:t>
      </w:r>
      <w:r w:rsidRPr="002C1E2B">
        <w:t xml:space="preserve"> – </w:t>
      </w:r>
      <w:r w:rsidR="00067565" w:rsidRPr="002C1E2B">
        <w:t>the average exit entitlement is $258,700 per unit; assuming that to be the average estimated exit entitlement, the village operator would have to pay that amount to the exiting resident (after six months), before receiving the next in-going contribution from the sale of the unit (on average after 10.5 months)</w:t>
      </w:r>
      <w:r w:rsidRPr="002C1E2B">
        <w:t xml:space="preserve">; and </w:t>
      </w:r>
    </w:p>
    <w:p w14:paraId="571BB85E" w14:textId="77777777" w:rsidR="00F25943" w:rsidRPr="002C1E2B" w:rsidRDefault="00F25943" w:rsidP="000215D1">
      <w:pPr>
        <w:pStyle w:val="ListBullet"/>
        <w:spacing w:after="240"/>
      </w:pPr>
      <w:r w:rsidRPr="002C1E2B">
        <w:rPr>
          <w:b/>
          <w:i/>
        </w:rPr>
        <w:t>Financing costs</w:t>
      </w:r>
      <w:r w:rsidRPr="002C1E2B">
        <w:t xml:space="preserve"> – </w:t>
      </w:r>
      <w:r w:rsidR="00067565" w:rsidRPr="002C1E2B">
        <w:rPr>
          <w:rFonts w:ascii="Times New Roman" w:eastAsia="MS PMincho" w:hAnsi="Times New Roman"/>
        </w:rPr>
        <w:t>assuming an interest rate of 5 per cent and 4.5 months between the payment of the estimated exit entitlement and the sale of the unit, the average interest cost borne by the retirement village operator would be $4,866</w:t>
      </w:r>
      <w:r w:rsidRPr="002C1E2B">
        <w:t>.</w:t>
      </w:r>
    </w:p>
    <w:p w14:paraId="5D7CDC5E" w14:textId="77777777" w:rsidR="00F25943" w:rsidRPr="002C1E2B" w:rsidRDefault="00F25943" w:rsidP="00F25943">
      <w:pPr>
        <w:pStyle w:val="BodyText"/>
      </w:pPr>
      <w:r w:rsidRPr="002C1E2B">
        <w:t>Presently, an estimated 3,400 residents exit retirement villages each year.</w:t>
      </w:r>
      <w:r w:rsidRPr="002C1E2B">
        <w:rPr>
          <w:rStyle w:val="FootnoteReference"/>
          <w:lang w:val="en-AU"/>
        </w:rPr>
        <w:footnoteReference w:id="33"/>
      </w:r>
      <w:r w:rsidRPr="002C1E2B">
        <w:t xml:space="preserve"> This means that, at any one time, the sector potentially needs to fund about $330 million worth of exit entitlements ahead of receiving the proceeds from the sale of these units. The interest cost on these borrowings, which would be incurred by village operators is estimated to be around $16.5 million per annum. The </w:t>
      </w:r>
      <w:r w:rsidR="00067565" w:rsidRPr="002C1E2B">
        <w:t xml:space="preserve">Regulations </w:t>
      </w:r>
      <w:r w:rsidRPr="002C1E2B">
        <w:t xml:space="preserve">currently provide an exemption </w:t>
      </w:r>
      <w:r w:rsidR="00067565" w:rsidRPr="002C1E2B">
        <w:t xml:space="preserve">from </w:t>
      </w:r>
      <w:r w:rsidRPr="002C1E2B">
        <w:t>the rule (subject to the inserting of certain terms in the residence contract, including giving control of the sale of the unit to the resident). The exemption is widely used, appearing in almost all retirement village residence contracts</w:t>
      </w:r>
      <w:r w:rsidR="00067565" w:rsidRPr="002C1E2B">
        <w:t xml:space="preserve"> of non-owner residents</w:t>
      </w:r>
      <w:r w:rsidRPr="002C1E2B">
        <w:t>.</w:t>
      </w:r>
    </w:p>
    <w:p w14:paraId="1A1EE368" w14:textId="77777777" w:rsidR="00F25943" w:rsidRPr="002C1E2B" w:rsidRDefault="00F25943" w:rsidP="00F25943">
      <w:pPr>
        <w:pStyle w:val="BodyText"/>
        <w:keepNext/>
        <w:rPr>
          <w:b/>
          <w:i/>
        </w:rPr>
      </w:pPr>
      <w:r w:rsidRPr="002C1E2B">
        <w:rPr>
          <w:b/>
          <w:i/>
        </w:rPr>
        <w:lastRenderedPageBreak/>
        <w:t xml:space="preserve">Impacts of the aged care rule on retirement village operators and residents </w:t>
      </w:r>
    </w:p>
    <w:p w14:paraId="2E06DDC8" w14:textId="77777777" w:rsidR="00F25943" w:rsidRPr="002C1E2B" w:rsidRDefault="00F25943" w:rsidP="00F25943">
      <w:pPr>
        <w:pStyle w:val="BodyText"/>
      </w:pPr>
      <w:r w:rsidRPr="002C1E2B">
        <w:t>Residents entering aged care from retirement villages are required to pay the aged care provider DAPs, a RAD (previously known as an accommodation bond) or a combination of the two. Most residents prefer to pay a RAD (65 per cent), which on average is $361,000 and is due six months after entering aged care.</w:t>
      </w:r>
      <w:r w:rsidRPr="002C1E2B">
        <w:rPr>
          <w:rStyle w:val="FootnoteReference"/>
          <w:lang w:val="en-AU"/>
        </w:rPr>
        <w:footnoteReference w:id="34"/>
      </w:r>
      <w:r w:rsidRPr="002C1E2B">
        <w:t xml:space="preserve"> </w:t>
      </w:r>
    </w:p>
    <w:p w14:paraId="587702B1" w14:textId="77777777" w:rsidR="00F25943" w:rsidRPr="002C1E2B" w:rsidRDefault="00F25943" w:rsidP="00F25943">
      <w:pPr>
        <w:pStyle w:val="BodyText"/>
      </w:pPr>
      <w:r w:rsidRPr="002C1E2B">
        <w:t xml:space="preserve">Most residents have limited access to capital and rely on the funds from their exit entitlement to pay part or all of their RAD. The aged care rule requires retirement village operators to refund </w:t>
      </w:r>
      <w:r w:rsidR="00067565" w:rsidRPr="002C1E2B">
        <w:t xml:space="preserve">non-owner </w:t>
      </w:r>
      <w:r w:rsidRPr="002C1E2B">
        <w:t>residents the amount of their</w:t>
      </w:r>
      <w:r w:rsidR="00067565" w:rsidRPr="002C1E2B">
        <w:t xml:space="preserve"> estimated</w:t>
      </w:r>
      <w:r w:rsidRPr="002C1E2B">
        <w:t xml:space="preserve"> exit entitlement up to the level of their accommodation bond within six months of the resident exiting the retirement village and entering aged care. It also requires the village operator to pay any interest that accrues on the accommodation bond in the first six months.</w:t>
      </w:r>
    </w:p>
    <w:p w14:paraId="68AF339D" w14:textId="77777777" w:rsidR="00F25943" w:rsidRPr="002C1E2B" w:rsidRDefault="00F25943" w:rsidP="00F25943">
      <w:pPr>
        <w:pStyle w:val="BodyText"/>
      </w:pPr>
      <w:r w:rsidRPr="002C1E2B">
        <w:t xml:space="preserve">In the absence of the rule, </w:t>
      </w:r>
      <w:r w:rsidR="00067565" w:rsidRPr="002C1E2B">
        <w:t xml:space="preserve">non-owner </w:t>
      </w:r>
      <w:r w:rsidRPr="002C1E2B">
        <w:t>residents would be required to fund their own aged care costs while they wait for their exit entitlement to be paid by the retirement village, either as DAPs, a RAD or a combination of the two. This would be a significant cost to most</w:t>
      </w:r>
      <w:r w:rsidR="00067565" w:rsidRPr="002C1E2B">
        <w:t xml:space="preserve"> non-owner</w:t>
      </w:r>
      <w:r w:rsidRPr="002C1E2B">
        <w:t xml:space="preserve"> retirement village residents: </w:t>
      </w:r>
    </w:p>
    <w:p w14:paraId="245BFCC8" w14:textId="77777777" w:rsidR="00F25943" w:rsidRPr="002C1E2B" w:rsidRDefault="00F25943" w:rsidP="00F25943">
      <w:pPr>
        <w:pStyle w:val="ListBullet"/>
      </w:pPr>
      <w:r w:rsidRPr="002C1E2B">
        <w:t xml:space="preserve">If the </w:t>
      </w:r>
      <w:r w:rsidR="00654CD9" w:rsidRPr="002C1E2B">
        <w:t xml:space="preserve">non-owner </w:t>
      </w:r>
      <w:r w:rsidRPr="002C1E2B">
        <w:t>resident chooses to pay for their aged care with DAPs for the first six months after entering aged care – on average, DAPs are $57 per day – or $10,400 for six months. However, if a</w:t>
      </w:r>
      <w:r w:rsidR="00654CD9" w:rsidRPr="002C1E2B">
        <w:t xml:space="preserve"> non-owner</w:t>
      </w:r>
      <w:r w:rsidRPr="002C1E2B">
        <w:t xml:space="preserve"> resident paid their exit entitlement (on average $258,700) as a RAD, their DAP would be reduced by $41 per day to approximately $16 per day – a saving of $7,430 over six months; and </w:t>
      </w:r>
    </w:p>
    <w:p w14:paraId="77FD49F6" w14:textId="77777777" w:rsidR="00F25943" w:rsidRPr="002C1E2B" w:rsidRDefault="00F25943" w:rsidP="00F25943">
      <w:pPr>
        <w:pStyle w:val="ListBullet"/>
        <w:spacing w:after="240"/>
        <w:ind w:left="357" w:hanging="357"/>
      </w:pPr>
      <w:r w:rsidRPr="002C1E2B">
        <w:t xml:space="preserve">If the </w:t>
      </w:r>
      <w:r w:rsidR="00654CD9" w:rsidRPr="002C1E2B">
        <w:t xml:space="preserve">non-owner </w:t>
      </w:r>
      <w:r w:rsidRPr="002C1E2B">
        <w:t>resident pays a RAD upfront (i.e. out of funds other than their exit entitlement) – they miss out on interest they could earn on these funds. Assuming an interest rate of 3.25 per cent, accrued for six months, this is equivalent to $5,866.</w:t>
      </w:r>
    </w:p>
    <w:p w14:paraId="4B0B633E" w14:textId="77777777" w:rsidR="00F25943" w:rsidRPr="002C1E2B" w:rsidRDefault="00F25943" w:rsidP="00F25943">
      <w:pPr>
        <w:pStyle w:val="BodyText"/>
        <w:keepNext/>
      </w:pPr>
      <w:r w:rsidRPr="002C1E2B">
        <w:t>In the absence of the aged care rule, a lengthy wait for the return of</w:t>
      </w:r>
      <w:r w:rsidR="00654CD9" w:rsidRPr="002C1E2B">
        <w:t xml:space="preserve"> non-owner</w:t>
      </w:r>
      <w:r w:rsidRPr="002C1E2B">
        <w:t xml:space="preserve"> residents’ exit entitlements can interfere with their entry into aged care. For example, if the resident cannot afford the DAPs of their preferred aged care facility while they are waiting for their unit to be sold, they may need to choose a less suitable facility or delay their entry into aged care. </w:t>
      </w:r>
      <w:r w:rsidRPr="002C1E2B">
        <w:rPr>
          <w:rFonts w:ascii="Times New Roman" w:hAnsi="Times New Roman"/>
        </w:rPr>
        <w:t xml:space="preserve">Residents writing to the </w:t>
      </w:r>
      <w:r w:rsidRPr="002C1E2B">
        <w:rPr>
          <w:rFonts w:ascii="Times New Roman" w:hAnsi="Times New Roman"/>
          <w:i/>
          <w:iCs/>
        </w:rPr>
        <w:t>Parliamentary Inquiry into the Retirement Housing</w:t>
      </w:r>
      <w:r w:rsidRPr="002C1E2B">
        <w:rPr>
          <w:rFonts w:ascii="Times New Roman" w:hAnsi="Times New Roman"/>
        </w:rPr>
        <w:t xml:space="preserve"> </w:t>
      </w:r>
      <w:r w:rsidRPr="002C1E2B">
        <w:rPr>
          <w:rFonts w:ascii="Times New Roman" w:hAnsi="Times New Roman"/>
          <w:i/>
        </w:rPr>
        <w:t>Sector</w:t>
      </w:r>
      <w:r w:rsidRPr="002C1E2B">
        <w:rPr>
          <w:rFonts w:ascii="Times New Roman" w:hAnsi="Times New Roman"/>
        </w:rPr>
        <w:t xml:space="preserve"> raised issues with the length of the sale processes. This included a</w:t>
      </w:r>
      <w:r w:rsidRPr="002C1E2B">
        <w:t xml:space="preserve"> resident who moved into aged care from a retirement village because of illness, but whose unit remained unsold after 11 months, another where the sale process took over 20 months and a retirement village with four unsold units, which had been on the market for more than 12 months. </w:t>
      </w:r>
    </w:p>
    <w:p w14:paraId="0EEB2B8D" w14:textId="77777777" w:rsidR="00F25943" w:rsidRPr="002C1E2B" w:rsidRDefault="00F25943" w:rsidP="00F25943">
      <w:pPr>
        <w:pStyle w:val="BodyText"/>
        <w:keepNext/>
        <w:rPr>
          <w:b/>
          <w:i/>
        </w:rPr>
      </w:pPr>
      <w:r w:rsidRPr="002C1E2B">
        <w:rPr>
          <w:b/>
          <w:i/>
        </w:rPr>
        <w:t xml:space="preserve">Potential for disputes about the amount of an exit entitlement </w:t>
      </w:r>
    </w:p>
    <w:p w14:paraId="6EF27485" w14:textId="77777777" w:rsidR="00F25943" w:rsidRPr="002C1E2B" w:rsidRDefault="00F25943" w:rsidP="00F25943">
      <w:pPr>
        <w:pStyle w:val="BodyText"/>
      </w:pPr>
      <w:r w:rsidRPr="002C1E2B">
        <w:t xml:space="preserve">When a unit is sold to another incoming resident the market value is apparent from the sale price and the departing resident’s exit entitlement can be determined from the sale price. However, if the exit entitlement is required to be paid by the village operator, before the unit is sold, the market value must be estimated. This creates the potential for disputes between village operators and residents about the calculation. Disputes between residents and village </w:t>
      </w:r>
      <w:r w:rsidRPr="002C1E2B">
        <w:lastRenderedPageBreak/>
        <w:t xml:space="preserve">operators can result in significant legal costs for both parties. A number of </w:t>
      </w:r>
      <w:r w:rsidRPr="002C1E2B">
        <w:rPr>
          <w:rFonts w:ascii="Times New Roman" w:hAnsi="Times New Roman"/>
        </w:rPr>
        <w:t xml:space="preserve">residents writing to the </w:t>
      </w:r>
      <w:r w:rsidRPr="002C1E2B">
        <w:rPr>
          <w:rFonts w:ascii="Times New Roman" w:hAnsi="Times New Roman"/>
          <w:i/>
          <w:iCs/>
        </w:rPr>
        <w:t>Parliamentary Inquiry into the Retirement Housing</w:t>
      </w:r>
      <w:r w:rsidRPr="002C1E2B">
        <w:rPr>
          <w:rFonts w:ascii="Times New Roman" w:hAnsi="Times New Roman"/>
        </w:rPr>
        <w:t xml:space="preserve"> Sector also reported that the stress of disputes with village operators was detracting from their quality of life or exacerbating health conditions. </w:t>
      </w:r>
    </w:p>
    <w:p w14:paraId="666D0A46" w14:textId="77777777" w:rsidR="00F25943" w:rsidRPr="002C1E2B" w:rsidRDefault="00F25943" w:rsidP="00F25943">
      <w:pPr>
        <w:pStyle w:val="BodyText"/>
      </w:pPr>
      <w:r w:rsidRPr="002C1E2B">
        <w:t xml:space="preserve">To enable the six month rule and the aged care rule to operate effectively, the Regulations set out a process for determining a </w:t>
      </w:r>
      <w:r w:rsidR="00654CD9" w:rsidRPr="002C1E2B">
        <w:t xml:space="preserve">non-owner </w:t>
      </w:r>
      <w:r w:rsidRPr="002C1E2B">
        <w:t>resident’s exit entitlement based on an independent estimate of market value.</w:t>
      </w:r>
      <w:r w:rsidRPr="002C1E2B">
        <w:rPr>
          <w:rStyle w:val="FootnoteReference"/>
          <w:lang w:val="en-AU"/>
        </w:rPr>
        <w:footnoteReference w:id="35"/>
      </w:r>
      <w:r w:rsidRPr="002C1E2B">
        <w:t xml:space="preserve"> In cases where a resident’s exit entitlement is based on factors other than market value (e.g. residents who have paid less than market value to enter the retirement village), the </w:t>
      </w:r>
      <w:r w:rsidR="00CF78F3">
        <w:t>R</w:t>
      </w:r>
      <w:r w:rsidRPr="002C1E2B">
        <w:t>egulations specify a formula for calculating the resident’s exit entitlement, which references the increase in the Consumer Price Index (</w:t>
      </w:r>
      <w:r w:rsidR="00783531" w:rsidRPr="002C1E2B">
        <w:t>CPI</w:t>
      </w:r>
      <w:r w:rsidRPr="002C1E2B">
        <w:t>).</w:t>
      </w:r>
      <w:r w:rsidRPr="002C1E2B">
        <w:rPr>
          <w:rStyle w:val="FootnoteReference"/>
          <w:lang w:val="en-AU"/>
        </w:rPr>
        <w:footnoteReference w:id="36"/>
      </w:r>
      <w:r w:rsidR="007E7532" w:rsidRPr="002C1E2B">
        <w:rPr>
          <w:vertAlign w:val="superscript"/>
        </w:rPr>
        <w:t xml:space="preserve">, </w:t>
      </w:r>
      <w:r w:rsidR="007E7532" w:rsidRPr="002C1E2B">
        <w:rPr>
          <w:rStyle w:val="FootnoteReference"/>
          <w:lang w:val="en-AU"/>
        </w:rPr>
        <w:footnoteReference w:id="37"/>
      </w:r>
      <w:r w:rsidR="00B65C6C" w:rsidRPr="002C1E2B">
        <w:rPr>
          <w:highlight w:val="yellow"/>
        </w:rPr>
        <w:t xml:space="preserve"> </w:t>
      </w:r>
    </w:p>
    <w:p w14:paraId="0030184B" w14:textId="77777777" w:rsidR="006549F5" w:rsidRPr="002C1E2B" w:rsidRDefault="006549F5" w:rsidP="006549F5">
      <w:pPr>
        <w:pStyle w:val="Heading3"/>
      </w:pPr>
      <w:r w:rsidRPr="002C1E2B">
        <w:t xml:space="preserve">Evidence of problems relating to contracts </w:t>
      </w:r>
    </w:p>
    <w:p w14:paraId="5020A832" w14:textId="77777777" w:rsidR="006549F5" w:rsidRPr="002C1E2B" w:rsidRDefault="006549F5" w:rsidP="006549F5">
      <w:pPr>
        <w:pStyle w:val="BodyText"/>
      </w:pPr>
      <w:r w:rsidRPr="002C1E2B">
        <w:t xml:space="preserve">In total, CAV received 622 enquiries and 42 complaints related to retirement villages in 2015-16. Overall, the total number of enquiries about retirement villages has been steady in recent years, while the number of complaints has been decreasing.  </w:t>
      </w:r>
    </w:p>
    <w:p w14:paraId="0FE173CA" w14:textId="77777777" w:rsidR="006549F5" w:rsidRPr="002C1E2B" w:rsidRDefault="006549F5" w:rsidP="00CF78F3">
      <w:pPr>
        <w:pStyle w:val="Caption"/>
        <w:spacing w:after="120"/>
      </w:pPr>
      <w:r w:rsidRPr="002C1E2B">
        <w:t xml:space="preserve">Figure </w:t>
      </w:r>
      <w:r w:rsidR="00C11D17">
        <w:fldChar w:fldCharType="begin"/>
      </w:r>
      <w:r w:rsidR="00C11D17">
        <w:instrText xml:space="preserve"> STYLEREF 1 \s </w:instrText>
      </w:r>
      <w:r w:rsidR="00C11D17">
        <w:fldChar w:fldCharType="separate"/>
      </w:r>
      <w:r w:rsidR="00BE6CE4">
        <w:rPr>
          <w:noProof/>
        </w:rPr>
        <w:t>2</w:t>
      </w:r>
      <w:r w:rsidR="00C11D17">
        <w:fldChar w:fldCharType="end"/>
      </w:r>
      <w:r w:rsidR="00C11D17">
        <w:t>.</w:t>
      </w:r>
      <w:r w:rsidR="00C11D17">
        <w:fldChar w:fldCharType="begin"/>
      </w:r>
      <w:r w:rsidR="00C11D17">
        <w:instrText xml:space="preserve"> SEQ Figure \* ARABIC \s 1 </w:instrText>
      </w:r>
      <w:r w:rsidR="00C11D17">
        <w:fldChar w:fldCharType="separate"/>
      </w:r>
      <w:r w:rsidR="00BE6CE4">
        <w:rPr>
          <w:noProof/>
        </w:rPr>
        <w:t>2</w:t>
      </w:r>
      <w:r w:rsidR="00C11D17">
        <w:fldChar w:fldCharType="end"/>
      </w:r>
      <w:r w:rsidRPr="002C1E2B">
        <w:t xml:space="preserve"> – Retirement village enquiries and disputes handled by Consumer Affairs Victoria, 2012-13 to 2015-16</w:t>
      </w:r>
    </w:p>
    <w:p w14:paraId="5723C447" w14:textId="77777777" w:rsidR="006549F5" w:rsidRPr="002C1E2B" w:rsidRDefault="006549F5" w:rsidP="006549F5">
      <w:pPr>
        <w:pStyle w:val="BodyText"/>
      </w:pPr>
      <w:r w:rsidRPr="002C1E2B">
        <w:rPr>
          <w:noProof/>
          <w:lang w:eastAsia="en-AU"/>
        </w:rPr>
        <w:drawing>
          <wp:inline distT="0" distB="0" distL="0" distR="0" wp14:anchorId="00B5F23C" wp14:editId="5F1A8A30">
            <wp:extent cx="5732145" cy="2776796"/>
            <wp:effectExtent l="0" t="0" r="190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32145" cy="2776796"/>
                    </a:xfrm>
                    <a:prstGeom prst="rect">
                      <a:avLst/>
                    </a:prstGeom>
                    <a:noFill/>
                    <a:ln>
                      <a:noFill/>
                    </a:ln>
                  </pic:spPr>
                </pic:pic>
              </a:graphicData>
            </a:graphic>
          </wp:inline>
        </w:drawing>
      </w:r>
      <w:r w:rsidRPr="002C1E2B">
        <w:rPr>
          <w:sz w:val="20"/>
        </w:rPr>
        <w:t xml:space="preserve">Source: Consumer Affairs Victoria. </w:t>
      </w:r>
    </w:p>
    <w:p w14:paraId="122DC4F7" w14:textId="77777777" w:rsidR="006549F5" w:rsidRPr="002C1E2B" w:rsidRDefault="006549F5" w:rsidP="006549F5">
      <w:pPr>
        <w:pStyle w:val="BodyText"/>
      </w:pPr>
      <w:r w:rsidRPr="002C1E2B">
        <w:t xml:space="preserve">In 2015-16, there were 23 enquiries and one complaint to CAV relating specifically to residence contracts. In addition, there were a significant number of enquiries and complaints, </w:t>
      </w:r>
      <w:r w:rsidRPr="002C1E2B">
        <w:lastRenderedPageBreak/>
        <w:t xml:space="preserve">which may originate from a lack of understanding about the contractual provisions of residence contracts. For example, issues with ongoing fees, service quality, by-laws and disputes between owners and managers. </w:t>
      </w:r>
    </w:p>
    <w:p w14:paraId="00EA0429" w14:textId="77777777" w:rsidR="006549F5" w:rsidRPr="002C1E2B" w:rsidRDefault="006549F5" w:rsidP="00F25943">
      <w:pPr>
        <w:pStyle w:val="BodyText"/>
      </w:pPr>
      <w:r w:rsidRPr="002C1E2B">
        <w:t>In addition to the complaints and enquiries made to CAV, residents may also raise issues with the Housing for the Aged Action Group</w:t>
      </w:r>
      <w:r w:rsidR="00C871A4" w:rsidRPr="002C1E2B">
        <w:t xml:space="preserve"> (HAAG)</w:t>
      </w:r>
      <w:r w:rsidRPr="002C1E2B">
        <w:t>, Residents of Retirement Villages Victoria</w:t>
      </w:r>
      <w:r w:rsidR="00C871A4" w:rsidRPr="002C1E2B">
        <w:t xml:space="preserve"> (RRVV)</w:t>
      </w:r>
      <w:r w:rsidRPr="002C1E2B">
        <w:t>, or the Consumer Action Law Centre</w:t>
      </w:r>
      <w:r w:rsidR="00C871A4" w:rsidRPr="002C1E2B">
        <w:t xml:space="preserve"> (CALC)</w:t>
      </w:r>
      <w:r w:rsidRPr="002C1E2B">
        <w:t>. The 2013 RIS for Retirement Village Contract Disclosure and Contract Regulations</w:t>
      </w:r>
      <w:r w:rsidR="00654CD9" w:rsidRPr="002C1E2B">
        <w:t xml:space="preserve"> </w:t>
      </w:r>
      <w:r w:rsidR="00654CD9" w:rsidRPr="002C1E2B">
        <w:rPr>
          <w:rFonts w:ascii="Times New Roman" w:eastAsia="MS PMincho" w:hAnsi="Times New Roman"/>
        </w:rPr>
        <w:t xml:space="preserve">(described in the next section) </w:t>
      </w:r>
      <w:r w:rsidRPr="002C1E2B">
        <w:t>provided data on the number of enquiries and complaints recorded by these organisations, in relation to retirement villages. However, no more recent updates to this data were available to include in this analysis</w:t>
      </w:r>
      <w:r w:rsidR="00CF78F3">
        <w:t>.</w:t>
      </w:r>
      <w:r w:rsidRPr="002C1E2B">
        <w:t xml:space="preserve"> </w:t>
      </w:r>
    </w:p>
    <w:p w14:paraId="2CAE56DD" w14:textId="77777777" w:rsidR="006549F5" w:rsidRPr="002C1E2B" w:rsidRDefault="006549F5" w:rsidP="006549F5">
      <w:pPr>
        <w:pStyle w:val="BodyText"/>
        <w:rPr>
          <w:b/>
          <w:i/>
        </w:rPr>
      </w:pPr>
      <w:r w:rsidRPr="002C1E2B">
        <w:rPr>
          <w:b/>
          <w:i/>
        </w:rPr>
        <w:t>Changes made to the Regulations in 2014</w:t>
      </w:r>
    </w:p>
    <w:p w14:paraId="37471814" w14:textId="77777777" w:rsidR="006549F5" w:rsidRPr="002C1E2B" w:rsidRDefault="006549F5" w:rsidP="006549F5">
      <w:pPr>
        <w:pStyle w:val="BodyText"/>
      </w:pPr>
      <w:r w:rsidRPr="002C1E2B">
        <w:t>In 2014, following extensive consultation, changes were made to the Regulations to:</w:t>
      </w:r>
    </w:p>
    <w:p w14:paraId="3D739AA9" w14:textId="77777777" w:rsidR="006549F5" w:rsidRPr="002C1E2B" w:rsidRDefault="006549F5" w:rsidP="006549F5">
      <w:pPr>
        <w:pStyle w:val="ListBullet"/>
      </w:pPr>
      <w:r w:rsidRPr="002C1E2B">
        <w:t>Prescribe the matters that must be included in contracts; that may be included in contracts and that mu</w:t>
      </w:r>
      <w:r w:rsidR="00CF78F3">
        <w:t>st not be included in contracts;</w:t>
      </w:r>
    </w:p>
    <w:p w14:paraId="17010A08" w14:textId="77777777" w:rsidR="006549F5" w:rsidRPr="002C1E2B" w:rsidRDefault="006549F5" w:rsidP="006549F5">
      <w:pPr>
        <w:pStyle w:val="ListBullet"/>
      </w:pPr>
      <w:r w:rsidRPr="002C1E2B">
        <w:t>Prescribe a basic set of mandatory rights and obligations of operators and residents; and</w:t>
      </w:r>
    </w:p>
    <w:p w14:paraId="1DEA9712" w14:textId="77777777" w:rsidR="006549F5" w:rsidRPr="002C1E2B" w:rsidRDefault="006549F5" w:rsidP="00154BF1">
      <w:pPr>
        <w:pStyle w:val="ListBullet"/>
        <w:spacing w:after="240"/>
        <w:rPr>
          <w:rFonts w:cstheme="minorBidi"/>
          <w:szCs w:val="24"/>
        </w:rPr>
      </w:pPr>
      <w:r w:rsidRPr="002C1E2B">
        <w:t xml:space="preserve">Prescribe the layout of residence and management </w:t>
      </w:r>
      <w:r w:rsidRPr="002C1E2B">
        <w:rPr>
          <w:rFonts w:cstheme="minorBidi"/>
          <w:szCs w:val="24"/>
        </w:rPr>
        <w:t>contracts including the order of matters.</w:t>
      </w:r>
    </w:p>
    <w:p w14:paraId="4BB24FED" w14:textId="77777777" w:rsidR="006549F5" w:rsidRPr="002C1E2B" w:rsidRDefault="006549F5" w:rsidP="006549F5">
      <w:pPr>
        <w:pStyle w:val="BodyText"/>
      </w:pPr>
      <w:r w:rsidRPr="002C1E2B">
        <w:t>The changes were made to better ensure incoming residents understood their financial commitments and con</w:t>
      </w:r>
      <w:r w:rsidR="00CF78F3">
        <w:t xml:space="preserve">tractual rights and obligations, and </w:t>
      </w:r>
      <w:r w:rsidRPr="002C1E2B">
        <w:t xml:space="preserve">also to ensure residents could choose the village that meets their personal and social needs. </w:t>
      </w:r>
    </w:p>
    <w:p w14:paraId="12B10E64" w14:textId="77777777" w:rsidR="006549F5" w:rsidRPr="002C1E2B" w:rsidRDefault="00783531">
      <w:pPr>
        <w:pStyle w:val="BodyText"/>
      </w:pPr>
      <w:r w:rsidRPr="002C1E2B">
        <w:t>The changes to contract requirements in 2014 were not retrospective, which means they only affect contracts entered into after the Regulations were enacted (probably less than one-quarter of contracts in place in 2017).  Since the changes, CAV has received fewer complaints about unfair contracts, which may be an early indication that the changes have been effective at meeting their objectives. However, more time is required to be certain of their impact.</w:t>
      </w:r>
    </w:p>
    <w:tbl>
      <w:tblPr>
        <w:tblStyle w:val="TableGrid"/>
        <w:tblW w:w="0" w:type="auto"/>
        <w:tblLook w:val="04A0" w:firstRow="1" w:lastRow="0" w:firstColumn="1" w:lastColumn="0" w:noHBand="0" w:noVBand="1"/>
      </w:tblPr>
      <w:tblGrid>
        <w:gridCol w:w="9017"/>
      </w:tblGrid>
      <w:tr w:rsidR="00D22642" w:rsidRPr="002C1E2B" w14:paraId="6A11F907" w14:textId="77777777" w:rsidTr="00FD0C7D">
        <w:tc>
          <w:tcPr>
            <w:tcW w:w="9243" w:type="dxa"/>
            <w:shd w:val="clear" w:color="auto" w:fill="DBE5F1" w:themeFill="accent1" w:themeFillTint="33"/>
          </w:tcPr>
          <w:p w14:paraId="2D81DD42" w14:textId="77777777" w:rsidR="00D22642" w:rsidRPr="002C1E2B" w:rsidRDefault="00B546D3" w:rsidP="00FD0C7D">
            <w:pPr>
              <w:pStyle w:val="BodyText"/>
              <w:spacing w:before="120"/>
            </w:pPr>
            <w:r w:rsidRPr="002C1E2B">
              <w:t xml:space="preserve">Question: </w:t>
            </w:r>
            <w:r w:rsidR="00D22642" w:rsidRPr="002C1E2B">
              <w:t>Have the changes to contract requirements in 2014 been effective in improving</w:t>
            </w:r>
            <w:r w:rsidRPr="002C1E2B">
              <w:t xml:space="preserve"> the fairness of contracts</w:t>
            </w:r>
            <w:r w:rsidR="00FD0C7D" w:rsidRPr="002C1E2B">
              <w:t xml:space="preserve"> for residents (i.e. residents’ understanding of their financial commitments and contractual rights and obligations)</w:t>
            </w:r>
            <w:r w:rsidRPr="002C1E2B">
              <w:t>?</w:t>
            </w:r>
          </w:p>
        </w:tc>
      </w:tr>
    </w:tbl>
    <w:p w14:paraId="4E8B6965" w14:textId="77777777" w:rsidR="006549F5" w:rsidRPr="002C1E2B" w:rsidRDefault="009D6215" w:rsidP="00F25943">
      <w:pPr>
        <w:pStyle w:val="BodyText"/>
        <w:keepNext/>
        <w:keepLines/>
        <w:spacing w:after="120"/>
      </w:pPr>
      <w:r w:rsidRPr="002C1E2B">
        <w:rPr>
          <w:b/>
        </w:rPr>
        <w:lastRenderedPageBreak/>
        <w:br/>
      </w:r>
      <w:r w:rsidR="006549F5" w:rsidRPr="002C1E2B">
        <w:rPr>
          <w:b/>
        </w:rPr>
        <w:t xml:space="preserve">Figure </w:t>
      </w:r>
      <w:r w:rsidR="00C11D17">
        <w:rPr>
          <w:b/>
        </w:rPr>
        <w:fldChar w:fldCharType="begin"/>
      </w:r>
      <w:r w:rsidR="00C11D17">
        <w:rPr>
          <w:b/>
        </w:rPr>
        <w:instrText xml:space="preserve"> STYLEREF 1 \s </w:instrText>
      </w:r>
      <w:r w:rsidR="00C11D17">
        <w:rPr>
          <w:b/>
        </w:rPr>
        <w:fldChar w:fldCharType="separate"/>
      </w:r>
      <w:r w:rsidR="00BE6CE4">
        <w:rPr>
          <w:b/>
          <w:noProof/>
        </w:rPr>
        <w:t>2</w:t>
      </w:r>
      <w:r w:rsidR="00C11D17">
        <w:rPr>
          <w:b/>
        </w:rPr>
        <w:fldChar w:fldCharType="end"/>
      </w:r>
      <w:r w:rsidR="00C11D17">
        <w:rPr>
          <w:b/>
        </w:rPr>
        <w:t>.</w:t>
      </w:r>
      <w:r w:rsidR="00C11D17">
        <w:rPr>
          <w:b/>
        </w:rPr>
        <w:fldChar w:fldCharType="begin"/>
      </w:r>
      <w:r w:rsidR="00C11D17">
        <w:rPr>
          <w:b/>
        </w:rPr>
        <w:instrText xml:space="preserve"> SEQ Figure \* ARABIC \s 1 </w:instrText>
      </w:r>
      <w:r w:rsidR="00C11D17">
        <w:rPr>
          <w:b/>
        </w:rPr>
        <w:fldChar w:fldCharType="separate"/>
      </w:r>
      <w:r w:rsidR="00BE6CE4">
        <w:rPr>
          <w:b/>
          <w:noProof/>
        </w:rPr>
        <w:t>3</w:t>
      </w:r>
      <w:r w:rsidR="00C11D17">
        <w:rPr>
          <w:b/>
        </w:rPr>
        <w:fldChar w:fldCharType="end"/>
      </w:r>
      <w:r w:rsidR="006549F5" w:rsidRPr="002C1E2B">
        <w:rPr>
          <w:b/>
        </w:rPr>
        <w:t xml:space="preserve"> –</w:t>
      </w:r>
      <w:r w:rsidR="006549F5" w:rsidRPr="00C36ED1">
        <w:rPr>
          <w:b/>
          <w:i/>
        </w:rPr>
        <w:t xml:space="preserve"> </w:t>
      </w:r>
      <w:r w:rsidR="006549F5" w:rsidRPr="002C1E2B">
        <w:rPr>
          <w:b/>
        </w:rPr>
        <w:t>Retirement village enquiries and disputes about contracts handled by Consumer Affairs Victoria, 2012-13 to 2015-16</w:t>
      </w:r>
      <w:r w:rsidR="006549F5" w:rsidRPr="002C1E2B">
        <w:rPr>
          <w:noProof/>
          <w:lang w:eastAsia="en-AU"/>
        </w:rPr>
        <w:drawing>
          <wp:inline distT="0" distB="0" distL="0" distR="0" wp14:anchorId="18343B97" wp14:editId="26DEE13B">
            <wp:extent cx="5324448" cy="257929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50424" cy="2591881"/>
                    </a:xfrm>
                    <a:prstGeom prst="rect">
                      <a:avLst/>
                    </a:prstGeom>
                    <a:noFill/>
                    <a:ln>
                      <a:noFill/>
                    </a:ln>
                  </pic:spPr>
                </pic:pic>
              </a:graphicData>
            </a:graphic>
          </wp:inline>
        </w:drawing>
      </w:r>
      <w:r w:rsidR="006549F5" w:rsidRPr="002C1E2B">
        <w:rPr>
          <w:b/>
        </w:rPr>
        <w:br/>
      </w:r>
      <w:r w:rsidR="006549F5" w:rsidRPr="002C1E2B">
        <w:rPr>
          <w:sz w:val="20"/>
        </w:rPr>
        <w:t xml:space="preserve">Source: Consumer Affairs Victoria. </w:t>
      </w:r>
    </w:p>
    <w:p w14:paraId="55571817" w14:textId="77777777" w:rsidR="008E5689" w:rsidRPr="002C1E2B" w:rsidRDefault="008E5689" w:rsidP="006549F5">
      <w:pPr>
        <w:pStyle w:val="BodyText"/>
      </w:pPr>
    </w:p>
    <w:p w14:paraId="09440060" w14:textId="77777777" w:rsidR="007750CD" w:rsidRPr="002C1E2B" w:rsidRDefault="007750CD">
      <w:pPr>
        <w:spacing w:after="200" w:line="276" w:lineRule="auto"/>
        <w:rPr>
          <w:rFonts w:asciiTheme="majorHAnsi" w:eastAsiaTheme="majorEastAsia" w:hAnsiTheme="majorHAnsi" w:cstheme="majorBidi"/>
          <w:b/>
          <w:bCs/>
          <w:sz w:val="28"/>
          <w:szCs w:val="28"/>
        </w:rPr>
      </w:pPr>
      <w:r w:rsidRPr="002C1E2B">
        <w:br w:type="page"/>
      </w:r>
    </w:p>
    <w:p w14:paraId="10CF2A6F" w14:textId="77777777" w:rsidR="00B45CAD" w:rsidRPr="002C1E2B" w:rsidRDefault="00166B4D" w:rsidP="00166B4D">
      <w:pPr>
        <w:pStyle w:val="Heading1"/>
      </w:pPr>
      <w:bookmarkStart w:id="57" w:name="_Toc476739265"/>
      <w:bookmarkStart w:id="58" w:name="_Toc476585819"/>
      <w:r w:rsidRPr="002C1E2B">
        <w:lastRenderedPageBreak/>
        <w:t>Objective of regulation</w:t>
      </w:r>
      <w:bookmarkEnd w:id="57"/>
      <w:bookmarkEnd w:id="58"/>
    </w:p>
    <w:p w14:paraId="769BA9B4" w14:textId="77777777" w:rsidR="00F25943" w:rsidRPr="002C1E2B" w:rsidRDefault="00F25943" w:rsidP="00B8484D">
      <w:pPr>
        <w:pStyle w:val="Heading2"/>
      </w:pPr>
      <w:bookmarkStart w:id="59" w:name="_Toc476739266"/>
      <w:bookmarkStart w:id="60" w:name="_Toc476585820"/>
      <w:r w:rsidRPr="002C1E2B">
        <w:t>Legislative and regulatory objectives</w:t>
      </w:r>
      <w:bookmarkEnd w:id="59"/>
      <w:bookmarkEnd w:id="60"/>
    </w:p>
    <w:p w14:paraId="4CCA663C" w14:textId="77777777" w:rsidR="00EC37A1" w:rsidRPr="002C1E2B" w:rsidRDefault="00CC2827" w:rsidP="00246749">
      <w:pPr>
        <w:pStyle w:val="BodyText"/>
      </w:pPr>
      <w:r w:rsidRPr="002C1E2B">
        <w:t>T</w:t>
      </w:r>
      <w:r w:rsidR="00EC37A1" w:rsidRPr="002C1E2B">
        <w:t>he purpose of the RV Act</w:t>
      </w:r>
      <w:r w:rsidR="00866669" w:rsidRPr="002C1E2B">
        <w:t xml:space="preserve"> is</w:t>
      </w:r>
      <w:r w:rsidR="00EC37A1" w:rsidRPr="002C1E2B">
        <w:t xml:space="preserve"> ‘to clarify and protect the rights of persons who live in, or wish to live in retirement villages’.</w:t>
      </w:r>
      <w:r w:rsidR="00EC37A1" w:rsidRPr="002C1E2B">
        <w:rPr>
          <w:rStyle w:val="FootnoteReference"/>
          <w:lang w:val="en-AU"/>
        </w:rPr>
        <w:footnoteReference w:id="38"/>
      </w:r>
      <w:r w:rsidR="00EC37A1" w:rsidRPr="002C1E2B">
        <w:t xml:space="preserve"> </w:t>
      </w:r>
    </w:p>
    <w:p w14:paraId="0BC0F1C7" w14:textId="77777777" w:rsidR="00EC37A1" w:rsidRPr="002C1E2B" w:rsidRDefault="00CC2827" w:rsidP="00246749">
      <w:pPr>
        <w:pStyle w:val="BodyText"/>
      </w:pPr>
      <w:r w:rsidRPr="002C1E2B">
        <w:t xml:space="preserve">In pursuit of that purpose </w:t>
      </w:r>
      <w:r w:rsidR="00EC37A1" w:rsidRPr="002C1E2B">
        <w:t xml:space="preserve">the RV Act </w:t>
      </w:r>
      <w:r w:rsidRPr="002C1E2B">
        <w:t>seeks</w:t>
      </w:r>
      <w:r w:rsidR="00EC37A1" w:rsidRPr="002C1E2B">
        <w:t xml:space="preserve"> to:</w:t>
      </w:r>
    </w:p>
    <w:p w14:paraId="04081AF1" w14:textId="77777777" w:rsidR="00EC37A1" w:rsidRPr="002C1E2B" w:rsidRDefault="00EC37A1" w:rsidP="00EC37A1">
      <w:pPr>
        <w:pStyle w:val="ListBullet"/>
      </w:pPr>
      <w:r w:rsidRPr="002C1E2B">
        <w:t>Ensure retirees make the right decision about entering a retirement village;</w:t>
      </w:r>
    </w:p>
    <w:p w14:paraId="45FE3324" w14:textId="77777777" w:rsidR="00EC37A1" w:rsidRPr="002C1E2B" w:rsidRDefault="00EC37A1" w:rsidP="00EC37A1">
      <w:pPr>
        <w:pStyle w:val="ListBullet"/>
      </w:pPr>
      <w:r w:rsidRPr="002C1E2B">
        <w:t xml:space="preserve">Protect non-owner residents’ </w:t>
      </w:r>
      <w:r w:rsidR="00262169" w:rsidRPr="002C1E2B">
        <w:t>in-going</w:t>
      </w:r>
      <w:r w:rsidRPr="002C1E2B">
        <w:t xml:space="preserve"> contributions from village operators’ insolvency or fraud;</w:t>
      </w:r>
    </w:p>
    <w:p w14:paraId="43FCD0A2" w14:textId="77777777" w:rsidR="00EC37A1" w:rsidRPr="002C1E2B" w:rsidRDefault="00CC2827" w:rsidP="00EC37A1">
      <w:pPr>
        <w:pStyle w:val="ListBullet"/>
      </w:pPr>
      <w:r w:rsidRPr="002C1E2B">
        <w:t>R</w:t>
      </w:r>
      <w:r w:rsidR="00EC37A1" w:rsidRPr="002C1E2B">
        <w:t>ecognise the vulnerability of residents who cannot or cannot easily leave their village</w:t>
      </w:r>
      <w:r w:rsidRPr="002C1E2B">
        <w:t xml:space="preserve"> by regulating service </w:t>
      </w:r>
      <w:r w:rsidR="00783531" w:rsidRPr="002C1E2B">
        <w:t xml:space="preserve">fee increases and special levies; </w:t>
      </w:r>
      <w:r w:rsidR="00EC37A1" w:rsidRPr="002C1E2B">
        <w:t>and</w:t>
      </w:r>
    </w:p>
    <w:p w14:paraId="54DCA78C" w14:textId="77777777" w:rsidR="00EC37A1" w:rsidRPr="002C1E2B" w:rsidRDefault="00EC37A1" w:rsidP="00EB1DAB">
      <w:pPr>
        <w:pStyle w:val="ListBullet"/>
        <w:spacing w:after="240"/>
      </w:pPr>
      <w:r w:rsidRPr="002C1E2B">
        <w:t xml:space="preserve">Facilitate residents’ departure from retirement villages. </w:t>
      </w:r>
    </w:p>
    <w:p w14:paraId="301497C0" w14:textId="77777777" w:rsidR="00EC37A1" w:rsidRPr="002C1E2B" w:rsidRDefault="00EC37A1" w:rsidP="00246749">
      <w:pPr>
        <w:pStyle w:val="BodyText"/>
      </w:pPr>
      <w:r w:rsidRPr="002C1E2B">
        <w:rPr>
          <w:rFonts w:eastAsia="PMingLiU"/>
          <w:lang w:eastAsia="zh-MO"/>
        </w:rPr>
        <w:t>The Regulations support the RV Act in defining specific conditions for the timing and value of refunds of in-going contributions, and the structure and content of residence and management contracts.</w:t>
      </w:r>
      <w:r w:rsidRPr="002C1E2B">
        <w:t xml:space="preserve"> </w:t>
      </w:r>
    </w:p>
    <w:p w14:paraId="210E7E30" w14:textId="77777777" w:rsidR="00783531" w:rsidRPr="002C1E2B" w:rsidRDefault="00783531" w:rsidP="00783531">
      <w:pPr>
        <w:pStyle w:val="BodyText"/>
      </w:pPr>
      <w:r w:rsidRPr="002C1E2B">
        <w:t>Specifically, the Regulations:</w:t>
      </w:r>
    </w:p>
    <w:p w14:paraId="440BBE52" w14:textId="77777777" w:rsidR="00EC37A1" w:rsidRPr="002C1E2B" w:rsidRDefault="00EC37A1" w:rsidP="00EC37A1">
      <w:pPr>
        <w:pStyle w:val="ListBullet"/>
      </w:pPr>
      <w:r w:rsidRPr="002C1E2B">
        <w:t>Prescribe condit</w:t>
      </w:r>
      <w:r w:rsidR="00C36ED1">
        <w:t>ions for the purposes of s.</w:t>
      </w:r>
      <w:r w:rsidRPr="002C1E2B">
        <w:t xml:space="preserve"> 26(2)(c) of the RV Act (i.e. the </w:t>
      </w:r>
      <w:r w:rsidR="00AC3672" w:rsidRPr="002C1E2B">
        <w:t>six month rule</w:t>
      </w:r>
      <w:r w:rsidRPr="002C1E2B">
        <w:t xml:space="preserve"> exemption); </w:t>
      </w:r>
    </w:p>
    <w:p w14:paraId="11912330" w14:textId="77777777" w:rsidR="00EC37A1" w:rsidRPr="002C1E2B" w:rsidRDefault="00EC37A1" w:rsidP="00EC37A1">
      <w:pPr>
        <w:pStyle w:val="ListBullet"/>
      </w:pPr>
      <w:r w:rsidRPr="002C1E2B">
        <w:t xml:space="preserve">Provide for full or part payment of refundable </w:t>
      </w:r>
      <w:r w:rsidR="00262169" w:rsidRPr="002C1E2B">
        <w:t>in-going</w:t>
      </w:r>
      <w:r w:rsidRPr="002C1E2B">
        <w:t xml:space="preserve"> contributions to be brought forward to cover certain costs to former </w:t>
      </w:r>
      <w:r w:rsidR="00654CD9" w:rsidRPr="002C1E2B">
        <w:t xml:space="preserve">non-owner </w:t>
      </w:r>
      <w:r w:rsidRPr="002C1E2B">
        <w:t xml:space="preserve">residents associated with aged care accommodation (i.e. the </w:t>
      </w:r>
      <w:r w:rsidR="00AC3672" w:rsidRPr="002C1E2B">
        <w:t>aged care rule</w:t>
      </w:r>
      <w:r w:rsidRPr="002C1E2B">
        <w:t xml:space="preserve">); </w:t>
      </w:r>
    </w:p>
    <w:p w14:paraId="07FFA249" w14:textId="77777777" w:rsidR="00EC37A1" w:rsidRPr="002C1E2B" w:rsidRDefault="00EC37A1" w:rsidP="00EC37A1">
      <w:pPr>
        <w:pStyle w:val="ListBullet"/>
      </w:pPr>
      <w:r w:rsidRPr="002C1E2B">
        <w:t xml:space="preserve">Prescribe clauses to be included in residence contracts that set out how refundable </w:t>
      </w:r>
      <w:r w:rsidR="00262169" w:rsidRPr="002C1E2B">
        <w:t>in-going</w:t>
      </w:r>
      <w:r w:rsidRPr="002C1E2B">
        <w:t xml:space="preserve"> contributions are calculated in certain cases; </w:t>
      </w:r>
    </w:p>
    <w:p w14:paraId="750186AF" w14:textId="77777777" w:rsidR="00EC37A1" w:rsidRPr="002C1E2B" w:rsidRDefault="00EC37A1" w:rsidP="00EC37A1">
      <w:pPr>
        <w:pStyle w:val="ListBullet"/>
      </w:pPr>
      <w:r w:rsidRPr="002C1E2B">
        <w:t>Prescribe any matters that must be, may be and must not be included in residence and management contracts for retirement villages;</w:t>
      </w:r>
    </w:p>
    <w:p w14:paraId="5698E24E" w14:textId="77777777" w:rsidR="00EC37A1" w:rsidRPr="002C1E2B" w:rsidRDefault="00EC37A1" w:rsidP="00EC37A1">
      <w:pPr>
        <w:pStyle w:val="ListBullet"/>
      </w:pPr>
      <w:r w:rsidRPr="002C1E2B">
        <w:t>Prescribe the terms for residence contracts and management contracts; and</w:t>
      </w:r>
    </w:p>
    <w:p w14:paraId="422EB868" w14:textId="77777777" w:rsidR="00EC37A1" w:rsidRPr="002C1E2B" w:rsidRDefault="00EC37A1" w:rsidP="0074488B">
      <w:pPr>
        <w:pStyle w:val="ListBullet"/>
        <w:spacing w:after="240"/>
      </w:pPr>
      <w:r w:rsidRPr="002C1E2B">
        <w:t xml:space="preserve">Prescribe the layout of residence contracts and management contracts. </w:t>
      </w:r>
    </w:p>
    <w:p w14:paraId="1565411B" w14:textId="77777777" w:rsidR="00F25943" w:rsidRPr="002C1E2B" w:rsidRDefault="00F25943" w:rsidP="00F25943">
      <w:pPr>
        <w:pStyle w:val="Heading2"/>
      </w:pPr>
      <w:bookmarkStart w:id="61" w:name="_Toc476739267"/>
      <w:bookmarkStart w:id="62" w:name="_Toc476585821"/>
      <w:r w:rsidRPr="002C1E2B">
        <w:t>Objectives of the reform proposal</w:t>
      </w:r>
      <w:bookmarkEnd w:id="61"/>
      <w:bookmarkEnd w:id="62"/>
    </w:p>
    <w:p w14:paraId="687F5BAF" w14:textId="77777777" w:rsidR="00F25943" w:rsidRPr="002C1E2B" w:rsidRDefault="00F25943" w:rsidP="00F25943">
      <w:pPr>
        <w:pStyle w:val="BodyText"/>
      </w:pPr>
      <w:r w:rsidRPr="002C1E2B">
        <w:t xml:space="preserve">The proposed regulations are primarily concerned with three issues (1) remake the exemption </w:t>
      </w:r>
      <w:r w:rsidR="00654CD9" w:rsidRPr="002C1E2B">
        <w:t xml:space="preserve">from </w:t>
      </w:r>
      <w:r w:rsidRPr="002C1E2B">
        <w:t>the six month rule, applying in cases where</w:t>
      </w:r>
      <w:r w:rsidR="00654CD9" w:rsidRPr="002C1E2B">
        <w:t xml:space="preserve"> non-owner</w:t>
      </w:r>
      <w:r w:rsidRPr="002C1E2B">
        <w:t xml:space="preserve"> residents have control over the sale of their unit and certain other prescribed conditions are met; (2) remaking a form of the aged care rule that takes into account changes to the Aged Care Act; and (3) remaking aspects of the Regulations that were introduced in 2014 relating to retirement village contracts, including matters that must/must-not be included in contracts and the layout of contracts.  </w:t>
      </w:r>
    </w:p>
    <w:p w14:paraId="78ED2F39" w14:textId="77777777" w:rsidR="00D50CA3" w:rsidRPr="002C1E2B" w:rsidRDefault="00D50CA3" w:rsidP="00D50CA3">
      <w:pPr>
        <w:pStyle w:val="BodyText"/>
      </w:pPr>
      <w:r w:rsidRPr="002C1E2B">
        <w:lastRenderedPageBreak/>
        <w:t>The objectives of remaking the regulations are to:</w:t>
      </w:r>
    </w:p>
    <w:p w14:paraId="3E399811" w14:textId="77777777" w:rsidR="00B073EF" w:rsidRPr="002C1E2B" w:rsidRDefault="00B073EF" w:rsidP="00B073EF">
      <w:pPr>
        <w:pStyle w:val="ListBullet"/>
      </w:pPr>
      <w:r w:rsidRPr="002C1E2B">
        <w:t xml:space="preserve">Ensure the return of non-owner residents’ exit entitlements does not interfere with their entry into aged care; </w:t>
      </w:r>
    </w:p>
    <w:p w14:paraId="428B8F7B" w14:textId="77777777" w:rsidR="00B073EF" w:rsidRPr="002C1E2B" w:rsidRDefault="00B073EF" w:rsidP="00B073EF">
      <w:pPr>
        <w:pStyle w:val="ListBullet"/>
      </w:pPr>
      <w:r w:rsidRPr="002C1E2B">
        <w:t>Address problems relating to the clarity and complexity of contracts, which can result in detriment to r</w:t>
      </w:r>
      <w:r>
        <w:t>etirement village residents;</w:t>
      </w:r>
    </w:p>
    <w:p w14:paraId="7F0C2A36" w14:textId="77777777" w:rsidR="00B073EF" w:rsidRDefault="00B073EF" w:rsidP="00B073EF">
      <w:pPr>
        <w:pStyle w:val="ListBullet"/>
        <w:ind w:left="357" w:hanging="357"/>
      </w:pPr>
      <w:r w:rsidRPr="002C1E2B">
        <w:t>Minimise unnecessary compliance burdens on the retirement vill</w:t>
      </w:r>
      <w:r>
        <w:t>age sector;</w:t>
      </w:r>
    </w:p>
    <w:p w14:paraId="10BC533B" w14:textId="77777777" w:rsidR="00B073EF" w:rsidRPr="002C1E2B" w:rsidRDefault="00B073EF" w:rsidP="00B073EF">
      <w:pPr>
        <w:pStyle w:val="ListBullet"/>
      </w:pPr>
      <w:r w:rsidRPr="002C1E2B">
        <w:t xml:space="preserve">Minimise retrospective changes to non-owner residents’ contractual arrangements; </w:t>
      </w:r>
    </w:p>
    <w:p w14:paraId="23D1AA6B" w14:textId="77777777" w:rsidR="00B073EF" w:rsidRPr="002C1E2B" w:rsidRDefault="00B073EF" w:rsidP="00B073EF">
      <w:pPr>
        <w:pStyle w:val="ListBullet"/>
      </w:pPr>
      <w:r>
        <w:t>Provide</w:t>
      </w:r>
      <w:r w:rsidRPr="002C1E2B">
        <w:t xml:space="preserve"> non-owner residents with the appropriate level of choice of aged care payment when entering into aged care; </w:t>
      </w:r>
      <w:r>
        <w:t>and</w:t>
      </w:r>
    </w:p>
    <w:p w14:paraId="3D839640" w14:textId="77777777" w:rsidR="00B073EF" w:rsidRDefault="00B073EF" w:rsidP="00B073EF">
      <w:pPr>
        <w:pStyle w:val="ListBullet"/>
        <w:spacing w:after="240"/>
      </w:pPr>
      <w:r w:rsidRPr="002C1E2B">
        <w:t xml:space="preserve">Ensure the ongoing </w:t>
      </w:r>
      <w:r>
        <w:t>viability of the sector.</w:t>
      </w:r>
    </w:p>
    <w:p w14:paraId="7C27E4BF" w14:textId="77777777" w:rsidR="00166B4D" w:rsidRPr="002C1E2B" w:rsidRDefault="00166B4D" w:rsidP="00B45CAD">
      <w:pPr>
        <w:pStyle w:val="BodyText"/>
        <w:sectPr w:rsidR="00166B4D" w:rsidRPr="002C1E2B" w:rsidSect="00030463">
          <w:headerReference w:type="even" r:id="rId30"/>
          <w:headerReference w:type="default" r:id="rId31"/>
          <w:footerReference w:type="default" r:id="rId32"/>
          <w:pgSz w:w="11907" w:h="16839" w:code="1"/>
          <w:pgMar w:top="1915" w:right="1440" w:bottom="1440" w:left="1440" w:header="835" w:footer="202" w:gutter="0"/>
          <w:pgNumType w:start="1"/>
          <w:cols w:space="708"/>
          <w:docGrid w:linePitch="360"/>
        </w:sectPr>
      </w:pPr>
    </w:p>
    <w:p w14:paraId="217F68E0" w14:textId="77777777" w:rsidR="00166B4D" w:rsidRPr="002C1E2B" w:rsidRDefault="00166B4D" w:rsidP="00166B4D">
      <w:pPr>
        <w:pStyle w:val="Heading1"/>
        <w:rPr>
          <w:rFonts w:eastAsia="PMingLiU"/>
          <w:lang w:eastAsia="zh-MO"/>
        </w:rPr>
      </w:pPr>
      <w:bookmarkStart w:id="63" w:name="_Toc476739268"/>
      <w:bookmarkStart w:id="64" w:name="_Toc476585822"/>
      <w:r w:rsidRPr="002C1E2B">
        <w:lastRenderedPageBreak/>
        <w:t>Options to address the problem</w:t>
      </w:r>
      <w:bookmarkEnd w:id="63"/>
      <w:bookmarkEnd w:id="64"/>
    </w:p>
    <w:p w14:paraId="2FE72C06" w14:textId="77777777" w:rsidR="00161689" w:rsidRPr="002C1E2B" w:rsidRDefault="00AA2D56" w:rsidP="00161689">
      <w:pPr>
        <w:pStyle w:val="BodyText"/>
        <w:rPr>
          <w:rFonts w:eastAsia="PMingLiU"/>
          <w:i/>
          <w:lang w:eastAsia="zh-MO"/>
        </w:rPr>
      </w:pPr>
      <w:r w:rsidRPr="002C1E2B">
        <w:rPr>
          <w:rFonts w:eastAsia="PMingLiU"/>
          <w:i/>
          <w:lang w:eastAsia="zh-MO"/>
        </w:rPr>
        <w:t>This c</w:t>
      </w:r>
      <w:r w:rsidR="00161689" w:rsidRPr="002C1E2B">
        <w:rPr>
          <w:rFonts w:eastAsia="PMingLiU"/>
          <w:i/>
          <w:lang w:eastAsia="zh-MO"/>
        </w:rPr>
        <w:t xml:space="preserve">hapter describes the options considered that may address the problems identified in </w:t>
      </w:r>
      <w:r w:rsidRPr="002C1E2B">
        <w:rPr>
          <w:rFonts w:eastAsia="PMingLiU"/>
          <w:i/>
          <w:lang w:eastAsia="zh-MO"/>
        </w:rPr>
        <w:t>C</w:t>
      </w:r>
      <w:r w:rsidR="00161689" w:rsidRPr="002C1E2B">
        <w:rPr>
          <w:rFonts w:eastAsia="PMingLiU"/>
          <w:i/>
          <w:lang w:eastAsia="zh-MO"/>
        </w:rPr>
        <w:t>hapter 2 and support the</w:t>
      </w:r>
      <w:r w:rsidR="00880CAA" w:rsidRPr="002C1E2B">
        <w:rPr>
          <w:rFonts w:eastAsia="PMingLiU"/>
          <w:i/>
          <w:lang w:eastAsia="zh-MO"/>
        </w:rPr>
        <w:t xml:space="preserve"> Government’s</w:t>
      </w:r>
      <w:r w:rsidR="00161689" w:rsidRPr="002C1E2B">
        <w:rPr>
          <w:rFonts w:eastAsia="PMingLiU"/>
          <w:i/>
          <w:lang w:eastAsia="zh-MO"/>
        </w:rPr>
        <w:t xml:space="preserve"> objectives as outlined in </w:t>
      </w:r>
      <w:r w:rsidRPr="002C1E2B">
        <w:rPr>
          <w:rFonts w:eastAsia="PMingLiU"/>
          <w:i/>
          <w:lang w:eastAsia="zh-MO"/>
        </w:rPr>
        <w:t>C</w:t>
      </w:r>
      <w:r w:rsidR="00161689" w:rsidRPr="002C1E2B">
        <w:rPr>
          <w:rFonts w:eastAsia="PMingLiU"/>
          <w:i/>
          <w:lang w:eastAsia="zh-MO"/>
        </w:rPr>
        <w:t xml:space="preserve">hapter 3. </w:t>
      </w:r>
    </w:p>
    <w:p w14:paraId="5290A311" w14:textId="77777777" w:rsidR="00F25943" w:rsidRPr="002C1E2B" w:rsidRDefault="00F25943" w:rsidP="00F25943">
      <w:pPr>
        <w:pStyle w:val="Heading2"/>
        <w:rPr>
          <w:lang w:eastAsia="zh-MO"/>
        </w:rPr>
      </w:pPr>
      <w:bookmarkStart w:id="65" w:name="_Toc476739269"/>
      <w:bookmarkStart w:id="66" w:name="_Toc476585823"/>
      <w:r w:rsidRPr="002C1E2B">
        <w:rPr>
          <w:rFonts w:eastAsia="PMingLiU"/>
          <w:lang w:eastAsia="zh-MO"/>
        </w:rPr>
        <w:t>Overview of the options</w:t>
      </w:r>
      <w:bookmarkEnd w:id="65"/>
      <w:bookmarkEnd w:id="66"/>
    </w:p>
    <w:p w14:paraId="11CCA88F" w14:textId="77777777" w:rsidR="00F25943" w:rsidRPr="002C1E2B" w:rsidRDefault="00F25943" w:rsidP="00F25943">
      <w:pPr>
        <w:pStyle w:val="BodyText"/>
        <w:rPr>
          <w:lang w:eastAsia="zh-MO"/>
        </w:rPr>
      </w:pPr>
      <w:r w:rsidRPr="002C1E2B">
        <w:rPr>
          <w:rFonts w:eastAsia="PMingLiU"/>
          <w:lang w:eastAsia="zh-MO"/>
        </w:rPr>
        <w:t xml:space="preserve">The </w:t>
      </w:r>
      <w:r w:rsidRPr="002C1E2B">
        <w:rPr>
          <w:rFonts w:eastAsia="PMingLiU"/>
          <w:i/>
          <w:lang w:eastAsia="zh-MO"/>
        </w:rPr>
        <w:t>Subordinate Legislation Act 1994</w:t>
      </w:r>
      <w:r w:rsidRPr="002C1E2B">
        <w:rPr>
          <w:rFonts w:eastAsia="PMingLiU"/>
          <w:lang w:eastAsia="zh-MO"/>
        </w:rPr>
        <w:t xml:space="preserve"> requires a RIS to consider a number of options to achieve the Government’s objectives, including both regulatory and non-regulatory options. In this case, the current </w:t>
      </w:r>
      <w:r w:rsidRPr="002C1E2B">
        <w:rPr>
          <w:lang w:eastAsia="zh-MO"/>
        </w:rPr>
        <w:t>regulations are sunsetting and it is a requirement that the proposed options are compared to a ‘base case’ where the regulations are not remade – i.e. one where there are no regulations.</w:t>
      </w:r>
    </w:p>
    <w:p w14:paraId="736B2035" w14:textId="77777777" w:rsidR="00F25943" w:rsidRPr="002C1E2B" w:rsidRDefault="00F25943" w:rsidP="00F25943">
      <w:pPr>
        <w:pStyle w:val="BodyText"/>
        <w:rPr>
          <w:lang w:eastAsia="zh-MO"/>
        </w:rPr>
      </w:pPr>
      <w:r w:rsidRPr="002C1E2B">
        <w:rPr>
          <w:rFonts w:eastAsia="PMingLiU"/>
          <w:lang w:eastAsia="zh-MO"/>
        </w:rPr>
        <w:t xml:space="preserve">Three options have been developed by CAV, in consultation with stakeholders. All of these options involve keeping the three main aspects of the current regulations (1) the exemption </w:t>
      </w:r>
      <w:r w:rsidR="00AD6BA0" w:rsidRPr="002C1E2B">
        <w:rPr>
          <w:rFonts w:eastAsia="PMingLiU"/>
          <w:lang w:eastAsia="zh-MO"/>
        </w:rPr>
        <w:t xml:space="preserve">from </w:t>
      </w:r>
      <w:r w:rsidRPr="002C1E2B">
        <w:rPr>
          <w:rFonts w:eastAsia="PMingLiU"/>
          <w:lang w:eastAsia="zh-MO"/>
        </w:rPr>
        <w:t xml:space="preserve">the </w:t>
      </w:r>
      <w:r w:rsidR="00C871A4" w:rsidRPr="002C1E2B">
        <w:rPr>
          <w:rFonts w:eastAsia="PMingLiU"/>
          <w:lang w:eastAsia="zh-MO"/>
        </w:rPr>
        <w:t>six month</w:t>
      </w:r>
      <w:r w:rsidRPr="002C1E2B">
        <w:rPr>
          <w:rFonts w:eastAsia="PMingLiU"/>
          <w:lang w:eastAsia="zh-MO"/>
        </w:rPr>
        <w:t xml:space="preserve"> rule; (2) a form of the aged care rule; and (3) the provisions relating to contract requirement</w:t>
      </w:r>
      <w:r w:rsidR="00AD6BA0" w:rsidRPr="002C1E2B">
        <w:rPr>
          <w:rFonts w:eastAsia="PMingLiU"/>
          <w:lang w:eastAsia="zh-MO"/>
        </w:rPr>
        <w:t>s</w:t>
      </w:r>
      <w:r w:rsidRPr="002C1E2B">
        <w:rPr>
          <w:rFonts w:eastAsia="PMingLiU"/>
          <w:lang w:eastAsia="zh-MO"/>
        </w:rPr>
        <w:t xml:space="preserve"> and layout. All three options would involve the </w:t>
      </w:r>
      <w:r w:rsidR="00C871A4" w:rsidRPr="002C1E2B">
        <w:rPr>
          <w:rFonts w:eastAsia="PMingLiU"/>
          <w:lang w:eastAsia="zh-MO"/>
        </w:rPr>
        <w:t>six month</w:t>
      </w:r>
      <w:r w:rsidRPr="002C1E2B">
        <w:rPr>
          <w:rFonts w:eastAsia="PMingLiU"/>
          <w:lang w:eastAsia="zh-MO"/>
        </w:rPr>
        <w:t xml:space="preserve"> rule exemption and the contractual provisions in their current form. Three alternative approaches have been considered for renewing the aged care rule. These are:</w:t>
      </w:r>
    </w:p>
    <w:p w14:paraId="6FBF7C2D" w14:textId="77777777" w:rsidR="00F25943" w:rsidRPr="002C1E2B" w:rsidRDefault="00F25943" w:rsidP="00F25943">
      <w:pPr>
        <w:pStyle w:val="ListBullet"/>
        <w:rPr>
          <w:lang w:eastAsia="zh-MO"/>
        </w:rPr>
      </w:pPr>
      <w:r w:rsidRPr="002C1E2B">
        <w:rPr>
          <w:rFonts w:eastAsia="PMingLiU"/>
          <w:b/>
          <w:lang w:eastAsia="zh-MO"/>
        </w:rPr>
        <w:t>Option 1</w:t>
      </w:r>
      <w:r w:rsidRPr="002C1E2B">
        <w:rPr>
          <w:rFonts w:eastAsia="PMingLiU"/>
          <w:lang w:eastAsia="zh-MO"/>
        </w:rPr>
        <w:t xml:space="preserve"> – DAP or RAD rule;</w:t>
      </w:r>
    </w:p>
    <w:p w14:paraId="200BABFB" w14:textId="77777777" w:rsidR="00F25943" w:rsidRPr="002C1E2B" w:rsidRDefault="00F25943" w:rsidP="00F25943">
      <w:pPr>
        <w:pStyle w:val="ListBullet"/>
        <w:rPr>
          <w:lang w:eastAsia="zh-MO"/>
        </w:rPr>
      </w:pPr>
      <w:r w:rsidRPr="002C1E2B">
        <w:rPr>
          <w:rFonts w:eastAsia="PMingLiU"/>
          <w:b/>
          <w:lang w:eastAsia="zh-MO"/>
        </w:rPr>
        <w:t>Option 2</w:t>
      </w:r>
      <w:r w:rsidRPr="002C1E2B">
        <w:rPr>
          <w:rFonts w:eastAsia="PMingLiU"/>
          <w:lang w:eastAsia="zh-MO"/>
        </w:rPr>
        <w:t xml:space="preserve"> – DAP or RAD rule with RAD grandfathering provisions; and</w:t>
      </w:r>
    </w:p>
    <w:p w14:paraId="7AD189BB" w14:textId="77777777" w:rsidR="00F25943" w:rsidRPr="002C1E2B" w:rsidRDefault="00F25943" w:rsidP="00F25943">
      <w:pPr>
        <w:pStyle w:val="ListBullet"/>
        <w:spacing w:after="240"/>
        <w:ind w:left="357" w:hanging="357"/>
        <w:rPr>
          <w:lang w:eastAsia="zh-MO"/>
        </w:rPr>
      </w:pPr>
      <w:r w:rsidRPr="002C1E2B">
        <w:rPr>
          <w:rFonts w:eastAsia="PMingLiU"/>
          <w:b/>
          <w:lang w:eastAsia="zh-MO"/>
        </w:rPr>
        <w:t>Option 3</w:t>
      </w:r>
      <w:r w:rsidRPr="002C1E2B">
        <w:rPr>
          <w:rFonts w:eastAsia="PMingLiU"/>
          <w:lang w:eastAsia="zh-MO"/>
        </w:rPr>
        <w:t xml:space="preserve"> – DAP rule.</w:t>
      </w:r>
    </w:p>
    <w:p w14:paraId="539DCB0F" w14:textId="77777777" w:rsidR="00783531" w:rsidRPr="002C1E2B" w:rsidRDefault="00F25943" w:rsidP="00783531">
      <w:pPr>
        <w:pStyle w:val="BodyText"/>
        <w:rPr>
          <w:rFonts w:eastAsia="PMingLiU"/>
          <w:lang w:eastAsia="zh-MO"/>
        </w:rPr>
      </w:pPr>
      <w:r w:rsidRPr="002C1E2B">
        <w:rPr>
          <w:rFonts w:eastAsia="PMingLiU"/>
          <w:lang w:eastAsia="zh-MO"/>
        </w:rPr>
        <w:t>No feasible non-regulatory options have been identified that would address the problems outlined in Chapter 2</w:t>
      </w:r>
      <w:r w:rsidR="00B073EF">
        <w:rPr>
          <w:rFonts w:eastAsia="PMingLiU"/>
          <w:lang w:eastAsia="zh-MO"/>
        </w:rPr>
        <w:t xml:space="preserve"> nor have any alternate regulatory options been identified for the six month rule, the calculation of estimated exit entitlement, and the contract provisions.</w:t>
      </w:r>
      <w:r w:rsidR="00783531" w:rsidRPr="002C1E2B">
        <w:rPr>
          <w:rFonts w:eastAsia="PMingLiU"/>
          <w:lang w:eastAsia="zh-MO"/>
        </w:rPr>
        <w:t xml:space="preserve"> </w:t>
      </w:r>
    </w:p>
    <w:p w14:paraId="6783EF84" w14:textId="77777777" w:rsidR="00783531" w:rsidRPr="002C1E2B" w:rsidRDefault="00783531" w:rsidP="00783531">
      <w:pPr>
        <w:pStyle w:val="BodyText"/>
        <w:rPr>
          <w:rFonts w:eastAsia="PMingLiU"/>
          <w:lang w:eastAsia="zh-MO"/>
        </w:rPr>
      </w:pPr>
      <w:r w:rsidRPr="002C1E2B">
        <w:rPr>
          <w:rFonts w:eastAsia="PMingLiU"/>
          <w:lang w:eastAsia="zh-MO"/>
        </w:rPr>
        <w:t>In the case of both the aged care rule and the provisions in the Regulations relating to contracts, a non-regulatory approach (e.g. self-regulation or guidance materials) would be technically possible. However, as outlined in Chapter 2, there are a number of inherent factors, which limit residents</w:t>
      </w:r>
      <w:r w:rsidR="00AD6BA0" w:rsidRPr="002C1E2B">
        <w:rPr>
          <w:rFonts w:eastAsia="PMingLiU"/>
          <w:lang w:eastAsia="zh-MO"/>
        </w:rPr>
        <w:t>’</w:t>
      </w:r>
      <w:r w:rsidRPr="002C1E2B">
        <w:rPr>
          <w:rFonts w:eastAsia="PMingLiU"/>
          <w:lang w:eastAsia="zh-MO"/>
        </w:rPr>
        <w:t xml:space="preserve"> capacity to evaluate retirement village contracts and consider their long-term implications. A regulatory approach was considered the only feasible way of addressing these issues. In the case of the contractual provisions, the ongoing costs of these are low (around $</w:t>
      </w:r>
      <w:r w:rsidR="00C36ED1">
        <w:rPr>
          <w:rFonts w:eastAsia="PMingLiU"/>
          <w:lang w:eastAsia="zh-MO"/>
        </w:rPr>
        <w:t>337</w:t>
      </w:r>
      <w:r w:rsidRPr="002C1E2B">
        <w:rPr>
          <w:rFonts w:eastAsia="PMingLiU"/>
          <w:lang w:eastAsia="zh-MO"/>
        </w:rPr>
        <w:t xml:space="preserve"> per year, per village) and have only recently been implemented.</w:t>
      </w:r>
      <w:r w:rsidR="00A9491E" w:rsidRPr="002C1E2B">
        <w:rPr>
          <w:rFonts w:eastAsia="PMingLiU"/>
          <w:lang w:eastAsia="zh-MO"/>
        </w:rPr>
        <w:t xml:space="preserve"> No additional compliance </w:t>
      </w:r>
      <w:r w:rsidR="00A815F0" w:rsidRPr="002C1E2B">
        <w:rPr>
          <w:rFonts w:eastAsia="PMingLiU"/>
          <w:lang w:eastAsia="zh-MO"/>
        </w:rPr>
        <w:t>costs are</w:t>
      </w:r>
      <w:r w:rsidR="00A9491E" w:rsidRPr="002C1E2B">
        <w:rPr>
          <w:rFonts w:eastAsia="PMingLiU"/>
          <w:lang w:eastAsia="zh-MO"/>
        </w:rPr>
        <w:t xml:space="preserve"> anticipated to arise from any of the proposed regulatory options. </w:t>
      </w:r>
    </w:p>
    <w:p w14:paraId="4B887877" w14:textId="77777777" w:rsidR="00B073EF" w:rsidRDefault="00B073EF" w:rsidP="005F2E16">
      <w:pPr>
        <w:pStyle w:val="BodyText"/>
        <w:rPr>
          <w:lang w:eastAsia="zh-MO"/>
        </w:rPr>
      </w:pPr>
      <w:r w:rsidRPr="002C1E2B">
        <w:rPr>
          <w:rFonts w:eastAsia="PMingLiU"/>
          <w:lang w:eastAsia="zh-MO"/>
        </w:rPr>
        <w:t>In the case of the six month rule exemption, due to the six-month rule being contained in legislation, a regulatory exemption is the only way to amend the application of that rule. The only other option would be not to have any exemption from the rule, which as the analysis later in this chapter shows, would be financially onerous for the sector.</w:t>
      </w:r>
      <w:r w:rsidR="005F2E16" w:rsidDel="005F2E16">
        <w:rPr>
          <w:rFonts w:eastAsia="PMingLiU"/>
          <w:lang w:eastAsia="zh-MO"/>
        </w:rPr>
        <w:t xml:space="preserve"> </w:t>
      </w:r>
    </w:p>
    <w:p w14:paraId="4D823B15" w14:textId="10DE5007" w:rsidR="005800FE" w:rsidRPr="002C1E2B" w:rsidRDefault="005800FE" w:rsidP="005800FE">
      <w:pPr>
        <w:pStyle w:val="BodyText"/>
        <w:rPr>
          <w:lang w:eastAsia="zh-MO"/>
        </w:rPr>
      </w:pPr>
      <w:r>
        <w:rPr>
          <w:lang w:eastAsia="zh-MO"/>
        </w:rPr>
        <w:t>No feasible</w:t>
      </w:r>
      <w:r w:rsidRPr="002C1E2B">
        <w:rPr>
          <w:lang w:eastAsia="zh-MO"/>
        </w:rPr>
        <w:t xml:space="preserve"> alternative options were </w:t>
      </w:r>
      <w:r>
        <w:rPr>
          <w:lang w:eastAsia="zh-MO"/>
        </w:rPr>
        <w:t>identified by CAV</w:t>
      </w:r>
      <w:r w:rsidRPr="002C1E2B">
        <w:rPr>
          <w:lang w:eastAsia="zh-MO"/>
        </w:rPr>
        <w:t xml:space="preserve"> for addressing financial barriers to non-owner retirement village residents entering aged care. </w:t>
      </w:r>
      <w:r>
        <w:rPr>
          <w:lang w:eastAsia="zh-MO"/>
        </w:rPr>
        <w:t>A</w:t>
      </w:r>
      <w:r w:rsidRPr="002C1E2B">
        <w:rPr>
          <w:lang w:eastAsia="zh-MO"/>
        </w:rPr>
        <w:t xml:space="preserve">s aged care is a Commonwealth responsibility, the options available to the Victorian Government are limited. Other </w:t>
      </w:r>
      <w:r>
        <w:rPr>
          <w:lang w:eastAsia="zh-MO"/>
        </w:rPr>
        <w:t>approaches</w:t>
      </w:r>
      <w:r w:rsidRPr="002C1E2B">
        <w:rPr>
          <w:lang w:eastAsia="zh-MO"/>
        </w:rPr>
        <w:t xml:space="preserve"> would involve accessing the funds needed to pay for aged care from a source other than the retirement village resident or operator (e.g. government), which is not </w:t>
      </w:r>
      <w:r w:rsidRPr="002C1E2B">
        <w:rPr>
          <w:lang w:eastAsia="zh-MO"/>
        </w:rPr>
        <w:lastRenderedPageBreak/>
        <w:t>considered appropriate or proportional to the problem that the regulations are seeking to address</w:t>
      </w:r>
      <w:r>
        <w:rPr>
          <w:lang w:eastAsia="zh-MO"/>
        </w:rPr>
        <w:t>.</w:t>
      </w:r>
    </w:p>
    <w:p w14:paraId="182163E8" w14:textId="77777777" w:rsidR="005F2E16" w:rsidRPr="00E56D37" w:rsidRDefault="00161689" w:rsidP="005F2E16">
      <w:pPr>
        <w:pStyle w:val="BodyText"/>
        <w:rPr>
          <w:lang w:eastAsia="zh-MO"/>
        </w:rPr>
      </w:pPr>
      <w:r w:rsidRPr="002C1E2B">
        <w:rPr>
          <w:lang w:eastAsia="zh-MO"/>
        </w:rPr>
        <w:t xml:space="preserve">The key features of </w:t>
      </w:r>
      <w:r w:rsidR="009E1B43" w:rsidRPr="002C1E2B">
        <w:rPr>
          <w:lang w:eastAsia="zh-MO"/>
        </w:rPr>
        <w:t xml:space="preserve">the base case and </w:t>
      </w:r>
      <w:r w:rsidR="007A6C4D" w:rsidRPr="002C1E2B">
        <w:rPr>
          <w:lang w:eastAsia="zh-MO"/>
        </w:rPr>
        <w:t xml:space="preserve">each option are summarised in </w:t>
      </w:r>
      <w:r w:rsidR="007A6C4D" w:rsidRPr="002C1E2B">
        <w:rPr>
          <w:lang w:eastAsia="zh-MO"/>
        </w:rPr>
        <w:fldChar w:fldCharType="begin"/>
      </w:r>
      <w:r w:rsidR="007A6C4D" w:rsidRPr="002C1E2B">
        <w:rPr>
          <w:lang w:eastAsia="zh-MO"/>
        </w:rPr>
        <w:instrText xml:space="preserve"> REF _Ref476134908 \h </w:instrText>
      </w:r>
      <w:r w:rsidR="007A6C4D" w:rsidRPr="002C1E2B">
        <w:rPr>
          <w:lang w:eastAsia="zh-MO"/>
        </w:rPr>
      </w:r>
      <w:r w:rsidR="007A6C4D" w:rsidRPr="002C1E2B">
        <w:rPr>
          <w:lang w:eastAsia="zh-MO"/>
        </w:rPr>
        <w:fldChar w:fldCharType="separate"/>
      </w:r>
      <w:r w:rsidR="00BE6CE4" w:rsidRPr="002C1E2B">
        <w:rPr>
          <w:b/>
          <w:lang w:eastAsia="zh-MO"/>
        </w:rPr>
        <w:t xml:space="preserve">Table </w:t>
      </w:r>
      <w:r w:rsidR="00BE6CE4">
        <w:rPr>
          <w:b/>
          <w:noProof/>
          <w:lang w:eastAsia="zh-MO"/>
        </w:rPr>
        <w:t>4</w:t>
      </w:r>
      <w:r w:rsidR="00BE6CE4" w:rsidRPr="002C1E2B">
        <w:rPr>
          <w:b/>
          <w:lang w:eastAsia="zh-MO"/>
        </w:rPr>
        <w:t>.</w:t>
      </w:r>
      <w:r w:rsidR="00BE6CE4">
        <w:rPr>
          <w:b/>
          <w:noProof/>
          <w:lang w:eastAsia="zh-MO"/>
        </w:rPr>
        <w:t>1</w:t>
      </w:r>
      <w:r w:rsidR="007A6C4D" w:rsidRPr="002C1E2B">
        <w:rPr>
          <w:lang w:eastAsia="zh-MO"/>
        </w:rPr>
        <w:fldChar w:fldCharType="end"/>
      </w:r>
      <w:r w:rsidRPr="002C1E2B">
        <w:rPr>
          <w:lang w:eastAsia="zh-MO"/>
        </w:rPr>
        <w:t xml:space="preserve"> below.</w:t>
      </w:r>
      <w:bookmarkStart w:id="67" w:name="_Ref472681998"/>
    </w:p>
    <w:tbl>
      <w:tblPr>
        <w:tblStyle w:val="NERATable"/>
        <w:tblpPr w:leftFromText="180" w:rightFromText="180" w:vertAnchor="text" w:horzAnchor="margin" w:tblpY="155"/>
        <w:tblW w:w="0" w:type="auto"/>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5F2E16" w14:paraId="7D628E81" w14:textId="77777777" w:rsidTr="00F56F54">
        <w:trPr>
          <w:cnfStyle w:val="100000000000" w:firstRow="1" w:lastRow="0" w:firstColumn="0" w:lastColumn="0" w:oddVBand="0" w:evenVBand="0" w:oddHBand="0"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924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BE5F1" w:themeFill="accent1" w:themeFillTint="33"/>
          </w:tcPr>
          <w:p w14:paraId="54027580" w14:textId="77777777" w:rsidR="005F2E16" w:rsidRPr="00775A8B" w:rsidRDefault="005F2E16" w:rsidP="00F56F54">
            <w:pPr>
              <w:pStyle w:val="BodyText"/>
              <w:spacing w:before="120"/>
              <w:rPr>
                <w:b w:val="0"/>
                <w:lang w:eastAsia="zh-MO"/>
              </w:rPr>
            </w:pPr>
            <w:r>
              <w:rPr>
                <w:b w:val="0"/>
                <w:lang w:eastAsia="zh-MO"/>
              </w:rPr>
              <w:t>Question: Should CAV consider any other feasible options? If so, what are they and why?</w:t>
            </w:r>
          </w:p>
        </w:tc>
      </w:tr>
    </w:tbl>
    <w:p w14:paraId="4901F75B" w14:textId="77777777" w:rsidR="005F2E16" w:rsidRDefault="005F2E16" w:rsidP="005F2E16">
      <w:pPr>
        <w:pStyle w:val="BodyText"/>
        <w:rPr>
          <w:lang w:eastAsia="zh-MO"/>
        </w:rPr>
      </w:pPr>
    </w:p>
    <w:p w14:paraId="6B7B27B6" w14:textId="77777777" w:rsidR="005F2E16" w:rsidRPr="002C1E2B" w:rsidRDefault="005F2E16" w:rsidP="00783531">
      <w:pPr>
        <w:pStyle w:val="BodyText"/>
        <w:rPr>
          <w:lang w:eastAsia="zh-MO"/>
        </w:rPr>
        <w:sectPr w:rsidR="005F2E16" w:rsidRPr="002C1E2B" w:rsidSect="00BA3495">
          <w:pgSz w:w="11907" w:h="16839" w:code="1"/>
          <w:pgMar w:top="1915" w:right="1440" w:bottom="1440" w:left="1440" w:header="835" w:footer="202" w:gutter="0"/>
          <w:cols w:space="708"/>
          <w:docGrid w:linePitch="360"/>
        </w:sectPr>
      </w:pPr>
    </w:p>
    <w:p w14:paraId="6EAF6029" w14:textId="77777777" w:rsidR="00A96FFA" w:rsidRPr="002C1E2B" w:rsidRDefault="00161689" w:rsidP="00412263">
      <w:pPr>
        <w:pStyle w:val="BodyText"/>
        <w:spacing w:after="120"/>
        <w:jc w:val="center"/>
        <w:rPr>
          <w:lang w:eastAsia="zh-MO"/>
        </w:rPr>
      </w:pPr>
      <w:bookmarkStart w:id="68" w:name="_Ref476134908"/>
      <w:r w:rsidRPr="002C1E2B">
        <w:rPr>
          <w:b/>
          <w:lang w:eastAsia="zh-MO"/>
        </w:rPr>
        <w:lastRenderedPageBreak/>
        <w:t xml:space="preserve">Table </w:t>
      </w:r>
      <w:r w:rsidR="00B41BC0" w:rsidRPr="002C1E2B">
        <w:rPr>
          <w:b/>
          <w:lang w:eastAsia="zh-MO"/>
        </w:rPr>
        <w:fldChar w:fldCharType="begin"/>
      </w:r>
      <w:r w:rsidR="00B41BC0" w:rsidRPr="002C1E2B">
        <w:rPr>
          <w:b/>
          <w:lang w:eastAsia="zh-MO"/>
        </w:rPr>
        <w:instrText xml:space="preserve"> STYLEREF 1 \s </w:instrText>
      </w:r>
      <w:r w:rsidR="00B41BC0" w:rsidRPr="002C1E2B">
        <w:rPr>
          <w:b/>
          <w:lang w:eastAsia="zh-MO"/>
        </w:rPr>
        <w:fldChar w:fldCharType="separate"/>
      </w:r>
      <w:r w:rsidR="00BE6CE4">
        <w:rPr>
          <w:b/>
          <w:noProof/>
          <w:lang w:eastAsia="zh-MO"/>
        </w:rPr>
        <w:t>4</w:t>
      </w:r>
      <w:r w:rsidR="00B41BC0" w:rsidRPr="002C1E2B">
        <w:rPr>
          <w:b/>
          <w:lang w:eastAsia="zh-MO"/>
        </w:rPr>
        <w:fldChar w:fldCharType="end"/>
      </w:r>
      <w:r w:rsidR="00B41BC0" w:rsidRPr="002C1E2B">
        <w:rPr>
          <w:b/>
          <w:lang w:eastAsia="zh-MO"/>
        </w:rPr>
        <w:t>.</w:t>
      </w:r>
      <w:r w:rsidR="00B41BC0" w:rsidRPr="002C1E2B">
        <w:rPr>
          <w:b/>
          <w:lang w:eastAsia="zh-MO"/>
        </w:rPr>
        <w:fldChar w:fldCharType="begin"/>
      </w:r>
      <w:r w:rsidR="00B41BC0" w:rsidRPr="002C1E2B">
        <w:rPr>
          <w:b/>
          <w:lang w:eastAsia="zh-MO"/>
        </w:rPr>
        <w:instrText xml:space="preserve"> SEQ Table \* ARABIC \s 1 </w:instrText>
      </w:r>
      <w:r w:rsidR="00B41BC0" w:rsidRPr="002C1E2B">
        <w:rPr>
          <w:b/>
          <w:lang w:eastAsia="zh-MO"/>
        </w:rPr>
        <w:fldChar w:fldCharType="separate"/>
      </w:r>
      <w:r w:rsidR="00BE6CE4">
        <w:rPr>
          <w:b/>
          <w:noProof/>
          <w:lang w:eastAsia="zh-MO"/>
        </w:rPr>
        <w:t>1</w:t>
      </w:r>
      <w:r w:rsidR="00B41BC0" w:rsidRPr="002C1E2B">
        <w:rPr>
          <w:b/>
          <w:lang w:eastAsia="zh-MO"/>
        </w:rPr>
        <w:fldChar w:fldCharType="end"/>
      </w:r>
      <w:bookmarkEnd w:id="67"/>
      <w:bookmarkEnd w:id="68"/>
      <w:r w:rsidRPr="002C1E2B" w:rsidDel="00820335">
        <w:rPr>
          <w:b/>
          <w:lang w:eastAsia="zh-MO"/>
        </w:rPr>
        <w:t xml:space="preserve"> </w:t>
      </w:r>
      <w:r w:rsidRPr="002C1E2B">
        <w:rPr>
          <w:b/>
          <w:lang w:eastAsia="zh-MO"/>
        </w:rPr>
        <w:t>– Summary of options</w:t>
      </w:r>
    </w:p>
    <w:tbl>
      <w:tblPr>
        <w:tblStyle w:val="NERATable"/>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9"/>
        <w:gridCol w:w="3964"/>
        <w:gridCol w:w="4541"/>
        <w:gridCol w:w="2268"/>
        <w:gridCol w:w="2263"/>
      </w:tblGrid>
      <w:tr w:rsidR="006A32E4" w:rsidRPr="002C1E2B" w14:paraId="2BB2AD41" w14:textId="77777777" w:rsidTr="00D57D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F497D" w:themeFill="text2"/>
          </w:tcPr>
          <w:p w14:paraId="5908E613" w14:textId="77777777" w:rsidR="00AD6BA0" w:rsidRPr="002C1E2B" w:rsidRDefault="00AD6BA0" w:rsidP="00A96FFA">
            <w:pPr>
              <w:pStyle w:val="TableHeader-White"/>
              <w:keepNext/>
              <w:keepLines/>
              <w:rPr>
                <w:sz w:val="20"/>
                <w:lang w:eastAsia="en-US"/>
              </w:rPr>
            </w:pPr>
          </w:p>
        </w:tc>
        <w:tc>
          <w:tcPr>
            <w:tcW w:w="3964" w:type="dxa"/>
            <w:tcBorders>
              <w:bottom w:val="none" w:sz="0" w:space="0" w:color="auto"/>
            </w:tcBorders>
            <w:shd w:val="clear" w:color="auto" w:fill="1F497D" w:themeFill="text2"/>
          </w:tcPr>
          <w:p w14:paraId="456F575F" w14:textId="77777777" w:rsidR="00AD6BA0" w:rsidRPr="002C1E2B" w:rsidRDefault="00AD6BA0" w:rsidP="00A96FFA">
            <w:pPr>
              <w:pStyle w:val="TableHeader-White"/>
              <w:keepNext/>
              <w:keepLines/>
              <w:cnfStyle w:val="100000000000" w:firstRow="1" w:lastRow="0" w:firstColumn="0" w:lastColumn="0" w:oddVBand="0" w:evenVBand="0" w:oddHBand="0" w:evenHBand="0" w:firstRowFirstColumn="0" w:firstRowLastColumn="0" w:lastRowFirstColumn="0" w:lastRowLastColumn="0"/>
              <w:rPr>
                <w:b w:val="0"/>
                <w:sz w:val="20"/>
                <w:lang w:eastAsia="en-US"/>
              </w:rPr>
            </w:pPr>
            <w:r w:rsidRPr="002C1E2B">
              <w:rPr>
                <w:sz w:val="20"/>
              </w:rPr>
              <w:t xml:space="preserve">Six month rule exemption </w:t>
            </w:r>
            <w:r w:rsidRPr="002C1E2B">
              <w:rPr>
                <w:sz w:val="20"/>
              </w:rPr>
              <w:br/>
              <w:t>(Regulation 5)</w:t>
            </w:r>
          </w:p>
        </w:tc>
        <w:tc>
          <w:tcPr>
            <w:tcW w:w="4541" w:type="dxa"/>
            <w:tcBorders>
              <w:bottom w:val="none" w:sz="0" w:space="0" w:color="auto"/>
            </w:tcBorders>
            <w:shd w:val="clear" w:color="auto" w:fill="1F497D" w:themeFill="text2"/>
          </w:tcPr>
          <w:p w14:paraId="5B77A3A3" w14:textId="77777777" w:rsidR="00AD6BA0" w:rsidRPr="002C1E2B" w:rsidRDefault="00AD6BA0" w:rsidP="00A96FFA">
            <w:pPr>
              <w:pStyle w:val="TableHeader-White"/>
              <w:keepNext/>
              <w:keepLines/>
              <w:cnfStyle w:val="100000000000" w:firstRow="1" w:lastRow="0" w:firstColumn="0" w:lastColumn="0" w:oddVBand="0" w:evenVBand="0" w:oddHBand="0" w:evenHBand="0" w:firstRowFirstColumn="0" w:firstRowLastColumn="0" w:lastRowFirstColumn="0" w:lastRowLastColumn="0"/>
              <w:rPr>
                <w:b w:val="0"/>
                <w:sz w:val="20"/>
              </w:rPr>
            </w:pPr>
            <w:r w:rsidRPr="002C1E2B">
              <w:rPr>
                <w:sz w:val="20"/>
              </w:rPr>
              <w:t xml:space="preserve">Aged care rule </w:t>
            </w:r>
            <w:r w:rsidRPr="002C1E2B">
              <w:rPr>
                <w:sz w:val="20"/>
              </w:rPr>
              <w:br/>
              <w:t>(Regulation 6)</w:t>
            </w:r>
          </w:p>
        </w:tc>
        <w:tc>
          <w:tcPr>
            <w:tcW w:w="2268" w:type="dxa"/>
            <w:tcBorders>
              <w:bottom w:val="none" w:sz="0" w:space="0" w:color="auto"/>
            </w:tcBorders>
            <w:shd w:val="clear" w:color="auto" w:fill="1F497D" w:themeFill="text2"/>
          </w:tcPr>
          <w:p w14:paraId="17CD9309" w14:textId="77777777" w:rsidR="00AD6BA0" w:rsidRPr="002C1E2B" w:rsidRDefault="00AD6BA0" w:rsidP="00A96FFA">
            <w:pPr>
              <w:spacing w:before="60" w:after="60"/>
              <w:cnfStyle w:val="100000000000" w:firstRow="1" w:lastRow="0" w:firstColumn="0" w:lastColumn="0" w:oddVBand="0" w:evenVBand="0" w:oddHBand="0" w:evenHBand="0" w:firstRowFirstColumn="0" w:firstRowLastColumn="0" w:lastRowFirstColumn="0" w:lastRowLastColumn="0"/>
              <w:rPr>
                <w:b w:val="0"/>
                <w:sz w:val="20"/>
              </w:rPr>
            </w:pPr>
            <w:r w:rsidRPr="002C1E2B">
              <w:rPr>
                <w:rFonts w:ascii="Calibri" w:hAnsi="Calibri"/>
                <w:color w:val="FFFFFF"/>
                <w:sz w:val="20"/>
                <w:szCs w:val="20"/>
              </w:rPr>
              <w:t xml:space="preserve">Calculation of in-going contribution refunds </w:t>
            </w:r>
            <w:r w:rsidRPr="002C1E2B">
              <w:rPr>
                <w:rFonts w:ascii="Calibri" w:hAnsi="Calibri"/>
                <w:color w:val="FFFFFF"/>
                <w:sz w:val="20"/>
                <w:szCs w:val="20"/>
              </w:rPr>
              <w:br/>
              <w:t>(Regulation 7 &amp; 8)</w:t>
            </w:r>
          </w:p>
        </w:tc>
        <w:tc>
          <w:tcPr>
            <w:tcW w:w="2263" w:type="dxa"/>
            <w:tcBorders>
              <w:bottom w:val="none" w:sz="0" w:space="0" w:color="auto"/>
            </w:tcBorders>
            <w:shd w:val="clear" w:color="auto" w:fill="1F497D" w:themeFill="text2"/>
          </w:tcPr>
          <w:p w14:paraId="448E8C8C" w14:textId="77777777" w:rsidR="00AD6BA0" w:rsidRPr="002C1E2B" w:rsidRDefault="00AD6BA0" w:rsidP="00A96FFA">
            <w:pPr>
              <w:pStyle w:val="TableHeader-White"/>
              <w:keepNext/>
              <w:keepLines/>
              <w:cnfStyle w:val="100000000000" w:firstRow="1" w:lastRow="0" w:firstColumn="0" w:lastColumn="0" w:oddVBand="0" w:evenVBand="0" w:oddHBand="0" w:evenHBand="0" w:firstRowFirstColumn="0" w:firstRowLastColumn="0" w:lastRowFirstColumn="0" w:lastRowLastColumn="0"/>
              <w:rPr>
                <w:b w:val="0"/>
                <w:sz w:val="20"/>
                <w:lang w:eastAsia="en-US"/>
              </w:rPr>
            </w:pPr>
            <w:r w:rsidRPr="002C1E2B">
              <w:rPr>
                <w:sz w:val="20"/>
                <w:lang w:eastAsia="en-US"/>
              </w:rPr>
              <w:t>Contractual requirements (Regulations 8B-8H)</w:t>
            </w:r>
          </w:p>
        </w:tc>
      </w:tr>
      <w:tr w:rsidR="006A32E4" w:rsidRPr="002C1E2B" w14:paraId="6676E966" w14:textId="77777777" w:rsidTr="00D57D67">
        <w:tc>
          <w:tcPr>
            <w:cnfStyle w:val="001000000000" w:firstRow="0" w:lastRow="0" w:firstColumn="1" w:lastColumn="0" w:oddVBand="0" w:evenVBand="0" w:oddHBand="0" w:evenHBand="0" w:firstRowFirstColumn="0" w:firstRowLastColumn="0" w:lastRowFirstColumn="0" w:lastRowLastColumn="0"/>
            <w:tcW w:w="1539" w:type="dxa"/>
            <w:tcBorders>
              <w:left w:val="none" w:sz="0" w:space="0" w:color="auto"/>
              <w:bottom w:val="none" w:sz="0" w:space="0" w:color="auto"/>
              <w:right w:val="none" w:sz="0" w:space="0" w:color="auto"/>
              <w:tl2br w:val="none" w:sz="0" w:space="0" w:color="auto"/>
              <w:tr2bl w:val="none" w:sz="0" w:space="0" w:color="auto"/>
            </w:tcBorders>
          </w:tcPr>
          <w:p w14:paraId="00AD5AA7" w14:textId="77777777" w:rsidR="00AD6BA0" w:rsidRPr="002C1E2B" w:rsidRDefault="00AD6BA0" w:rsidP="00412263">
            <w:pPr>
              <w:pStyle w:val="TableText"/>
              <w:rPr>
                <w:rFonts w:ascii="Calibri" w:hAnsi="Calibri"/>
                <w:b/>
              </w:rPr>
            </w:pPr>
            <w:r w:rsidRPr="002C1E2B">
              <w:rPr>
                <w:rFonts w:ascii="Calibri" w:hAnsi="Calibri"/>
                <w:b/>
                <w:lang w:eastAsia="en-US"/>
              </w:rPr>
              <w:t>Base case – No contractual arrangements regulations</w:t>
            </w:r>
          </w:p>
        </w:tc>
        <w:tc>
          <w:tcPr>
            <w:tcW w:w="3964" w:type="dxa"/>
          </w:tcPr>
          <w:p w14:paraId="157B6973" w14:textId="77777777" w:rsidR="00AD6BA0" w:rsidRPr="002C1E2B" w:rsidRDefault="00AD6BA0" w:rsidP="007F5D69">
            <w:pPr>
              <w:pStyle w:val="TableTex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2C1E2B">
              <w:rPr>
                <w:rFonts w:ascii="Calibri" w:hAnsi="Calibri"/>
                <w:color w:val="000000"/>
              </w:rPr>
              <w:t>No exemption from the six month rule under the Act for contracts made after 1 August 2017 — for these contracts the six month rule would still apply under the Act. As exemptions are already in most existing non-owner residents’ contracts, the six month rule exemption would apply to them but not for new non-owner residents.</w:t>
            </w:r>
          </w:p>
          <w:p w14:paraId="3A891DC5" w14:textId="77777777" w:rsidR="00AD6BA0" w:rsidRPr="002C1E2B" w:rsidRDefault="00AD6BA0" w:rsidP="00412263">
            <w:pPr>
              <w:pStyle w:val="TableText"/>
              <w:cnfStyle w:val="000000000000" w:firstRow="0" w:lastRow="0" w:firstColumn="0" w:lastColumn="0" w:oddVBand="0" w:evenVBand="0" w:oddHBand="0" w:evenHBand="0" w:firstRowFirstColumn="0" w:firstRowLastColumn="0" w:lastRowFirstColumn="0" w:lastRowLastColumn="0"/>
              <w:rPr>
                <w:rFonts w:ascii="Calibri" w:hAnsi="Calibri"/>
              </w:rPr>
            </w:pPr>
            <w:r w:rsidRPr="002C1E2B">
              <w:rPr>
                <w:rFonts w:ascii="Calibri" w:hAnsi="Calibri"/>
                <w:color w:val="000000"/>
              </w:rPr>
              <w:t xml:space="preserve">Operators would be required to pay new non-owner residents’ estimated exit entitlements six months after exiting if their unit is unsold. </w:t>
            </w:r>
          </w:p>
        </w:tc>
        <w:tc>
          <w:tcPr>
            <w:tcW w:w="4541" w:type="dxa"/>
          </w:tcPr>
          <w:p w14:paraId="3947EE5D" w14:textId="77777777" w:rsidR="00AD6BA0" w:rsidRPr="002C1E2B" w:rsidRDefault="00AD6BA0" w:rsidP="007F5D69">
            <w:pPr>
              <w:pStyle w:val="TableTex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2C1E2B">
              <w:rPr>
                <w:rFonts w:ascii="Calibri" w:hAnsi="Calibri"/>
                <w:color w:val="000000"/>
              </w:rPr>
              <w:t xml:space="preserve">There would be no aged care rule. </w:t>
            </w:r>
          </w:p>
          <w:p w14:paraId="17903536" w14:textId="77777777" w:rsidR="00AD6BA0" w:rsidRPr="002C1E2B" w:rsidRDefault="00AD6BA0" w:rsidP="007F5D69">
            <w:pPr>
              <w:pStyle w:val="TableTex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2C1E2B">
              <w:rPr>
                <w:rFonts w:ascii="Calibri" w:hAnsi="Calibri"/>
                <w:color w:val="000000"/>
              </w:rPr>
              <w:t>RV Operators would not be required to fund non-owner residents’ aged care payments.</w:t>
            </w:r>
            <w:r w:rsidRPr="002C1E2B">
              <w:t xml:space="preserve"> </w:t>
            </w:r>
            <w:r w:rsidRPr="002C1E2B">
              <w:rPr>
                <w:rFonts w:ascii="Calibri" w:hAnsi="Calibri"/>
                <w:color w:val="000000"/>
              </w:rPr>
              <w:t xml:space="preserve">Existing non-owner residents without the benefit of the six month rule would have to find the funds for their entry into aged care if their unit is unsold after six months. New non-owner residents would fund their entry into aged care under the six month rule if their unit is unsold after six months.  </w:t>
            </w:r>
          </w:p>
          <w:p w14:paraId="125620C7" w14:textId="77777777" w:rsidR="00AD6BA0" w:rsidRPr="002C1E2B" w:rsidRDefault="00AD6BA0" w:rsidP="00412263">
            <w:pPr>
              <w:pStyle w:val="TableText"/>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c>
          <w:tcPr>
            <w:tcW w:w="2268" w:type="dxa"/>
          </w:tcPr>
          <w:p w14:paraId="0D3422B3" w14:textId="77777777" w:rsidR="00AD6BA0" w:rsidRPr="002C1E2B" w:rsidRDefault="00AD6BA0" w:rsidP="007F5D69">
            <w:pPr>
              <w:pStyle w:val="TableTex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2C1E2B">
              <w:rPr>
                <w:rFonts w:ascii="Calibri" w:hAnsi="Calibri"/>
                <w:color w:val="000000"/>
              </w:rPr>
              <w:t>No regulatory requirements regarding how to calculate estimated exit entitlements.</w:t>
            </w:r>
          </w:p>
          <w:p w14:paraId="2423ED8B" w14:textId="77777777" w:rsidR="00AD6BA0" w:rsidRPr="002C1E2B" w:rsidRDefault="00AD6BA0" w:rsidP="00412263">
            <w:pPr>
              <w:pStyle w:val="TableText"/>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263" w:type="dxa"/>
          </w:tcPr>
          <w:p w14:paraId="115CB009" w14:textId="77777777" w:rsidR="00AD6BA0" w:rsidRPr="002C1E2B" w:rsidRDefault="00AD6BA0" w:rsidP="007F5D69">
            <w:pPr>
              <w:pStyle w:val="TableTex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2C1E2B">
              <w:rPr>
                <w:rFonts w:ascii="Calibri" w:hAnsi="Calibri"/>
                <w:color w:val="000000"/>
              </w:rPr>
              <w:t>No requirements regarding the structure and content of contracts other than as specified in the RV Act and the RN Regulations.</w:t>
            </w:r>
          </w:p>
          <w:p w14:paraId="2BDA0823" w14:textId="77777777" w:rsidR="00AD6BA0" w:rsidRPr="002C1E2B" w:rsidRDefault="00AD6BA0" w:rsidP="00412263">
            <w:pPr>
              <w:pStyle w:val="TableText"/>
              <w:cnfStyle w:val="000000000000" w:firstRow="0" w:lastRow="0" w:firstColumn="0" w:lastColumn="0" w:oddVBand="0" w:evenVBand="0" w:oddHBand="0" w:evenHBand="0" w:firstRowFirstColumn="0" w:firstRowLastColumn="0" w:lastRowFirstColumn="0" w:lastRowLastColumn="0"/>
              <w:rPr>
                <w:rFonts w:ascii="Calibri" w:hAnsi="Calibri"/>
              </w:rPr>
            </w:pPr>
            <w:r w:rsidRPr="002C1E2B">
              <w:rPr>
                <w:rFonts w:ascii="Calibri" w:hAnsi="Calibri"/>
              </w:rPr>
              <w:t xml:space="preserve"> </w:t>
            </w:r>
          </w:p>
        </w:tc>
      </w:tr>
      <w:tr w:rsidR="006A32E4" w:rsidRPr="002C1E2B" w14:paraId="42968E33" w14:textId="77777777" w:rsidTr="00D57D67">
        <w:tc>
          <w:tcPr>
            <w:cnfStyle w:val="001000000000" w:firstRow="0" w:lastRow="0" w:firstColumn="1" w:lastColumn="0" w:oddVBand="0" w:evenVBand="0" w:oddHBand="0" w:evenHBand="0" w:firstRowFirstColumn="0" w:firstRowLastColumn="0" w:lastRowFirstColumn="0" w:lastRowLastColumn="0"/>
            <w:tcW w:w="1539" w:type="dxa"/>
            <w:tcBorders>
              <w:left w:val="none" w:sz="0" w:space="0" w:color="auto"/>
              <w:bottom w:val="none" w:sz="0" w:space="0" w:color="auto"/>
              <w:right w:val="none" w:sz="0" w:space="0" w:color="auto"/>
              <w:tl2br w:val="none" w:sz="0" w:space="0" w:color="auto"/>
              <w:tr2bl w:val="none" w:sz="0" w:space="0" w:color="auto"/>
            </w:tcBorders>
          </w:tcPr>
          <w:p w14:paraId="7AE4E137" w14:textId="77777777" w:rsidR="00AD6BA0" w:rsidRPr="002C1E2B" w:rsidRDefault="00AD6BA0" w:rsidP="00412263">
            <w:pPr>
              <w:pStyle w:val="TableText"/>
              <w:rPr>
                <w:rFonts w:ascii="Calibri" w:hAnsi="Calibri"/>
                <w:b/>
              </w:rPr>
            </w:pPr>
            <w:r w:rsidRPr="002C1E2B">
              <w:rPr>
                <w:rFonts w:ascii="Calibri" w:hAnsi="Calibri"/>
                <w:b/>
                <w:lang w:eastAsia="en-US"/>
              </w:rPr>
              <w:t xml:space="preserve">Option 1 – DAP or RAD </w:t>
            </w:r>
          </w:p>
        </w:tc>
        <w:tc>
          <w:tcPr>
            <w:tcW w:w="3964" w:type="dxa"/>
          </w:tcPr>
          <w:p w14:paraId="39A10227" w14:textId="77777777" w:rsidR="00AD6BA0" w:rsidRPr="002C1E2B" w:rsidRDefault="00AD6BA0" w:rsidP="007F5D69">
            <w:pPr>
              <w:pStyle w:val="TableTex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2C1E2B">
              <w:rPr>
                <w:rFonts w:ascii="Calibri" w:hAnsi="Calibri"/>
                <w:color w:val="000000"/>
              </w:rPr>
              <w:t>Six month rule exemption applies if non-owner resident has control of sale (i.e. remake the existing regulations).</w:t>
            </w:r>
          </w:p>
          <w:p w14:paraId="70DC5FB7" w14:textId="77777777" w:rsidR="00AD6BA0" w:rsidRPr="002C1E2B" w:rsidRDefault="00AD6BA0" w:rsidP="00EF6C0A">
            <w:pPr>
              <w:pStyle w:val="TableText"/>
              <w:cnfStyle w:val="000000000000" w:firstRow="0" w:lastRow="0" w:firstColumn="0" w:lastColumn="0" w:oddVBand="0" w:evenVBand="0" w:oddHBand="0" w:evenHBand="0" w:firstRowFirstColumn="0" w:firstRowLastColumn="0" w:lastRowFirstColumn="0" w:lastRowLastColumn="0"/>
              <w:rPr>
                <w:rFonts w:ascii="Calibri" w:hAnsi="Calibri"/>
              </w:rPr>
            </w:pPr>
            <w:r w:rsidRPr="002C1E2B">
              <w:rPr>
                <w:rFonts w:ascii="Calibri" w:hAnsi="Calibri"/>
                <w:color w:val="000000"/>
              </w:rPr>
              <w:t>Operators would be required to pay non-owner residents’ estimated exit entitlement only upon sale of the unit (subject to the application of the aged care rule).</w:t>
            </w:r>
          </w:p>
        </w:tc>
        <w:tc>
          <w:tcPr>
            <w:tcW w:w="4541" w:type="dxa"/>
          </w:tcPr>
          <w:p w14:paraId="5150EF9B" w14:textId="77777777" w:rsidR="00AD6BA0" w:rsidRPr="002C1E2B" w:rsidRDefault="00AD6BA0" w:rsidP="007F5D69">
            <w:pPr>
              <w:pStyle w:val="TableTex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2C1E2B">
              <w:rPr>
                <w:rFonts w:ascii="Calibri" w:hAnsi="Calibri"/>
                <w:color w:val="000000"/>
              </w:rPr>
              <w:t xml:space="preserve">Non-owner residents who entered RV after 31/07/06 would have a choice between requiring the operator to pay their aged care DAP or RAD prior to the sale of their unit.  </w:t>
            </w:r>
          </w:p>
          <w:p w14:paraId="2904FE61" w14:textId="77777777" w:rsidR="00AD6BA0" w:rsidRPr="002C1E2B" w:rsidRDefault="00AD6BA0" w:rsidP="00412263">
            <w:pPr>
              <w:pStyle w:val="TableTex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2C1E2B">
              <w:rPr>
                <w:rFonts w:ascii="Calibri" w:hAnsi="Calibri"/>
                <w:color w:val="000000"/>
              </w:rPr>
              <w:t>Non-owner residents would receive the balance of their estimated exit entitlement upon sale of the unit (less the accumulation of RAD/DAPs payments).</w:t>
            </w:r>
          </w:p>
        </w:tc>
        <w:tc>
          <w:tcPr>
            <w:tcW w:w="2268" w:type="dxa"/>
          </w:tcPr>
          <w:p w14:paraId="3F9F8663" w14:textId="77777777" w:rsidR="00AD6BA0" w:rsidRPr="002C1E2B" w:rsidRDefault="00AD6BA0" w:rsidP="00412263">
            <w:pPr>
              <w:pStyle w:val="TableText"/>
              <w:cnfStyle w:val="000000000000" w:firstRow="0" w:lastRow="0" w:firstColumn="0" w:lastColumn="0" w:oddVBand="0" w:evenVBand="0" w:oddHBand="0" w:evenHBand="0" w:firstRowFirstColumn="0" w:firstRowLastColumn="0" w:lastRowFirstColumn="0" w:lastRowLastColumn="0"/>
              <w:rPr>
                <w:rFonts w:ascii="Calibri" w:hAnsi="Calibri"/>
              </w:rPr>
            </w:pPr>
            <w:r w:rsidRPr="002C1E2B">
              <w:rPr>
                <w:rFonts w:ascii="Calibri" w:hAnsi="Calibri"/>
                <w:color w:val="000000"/>
              </w:rPr>
              <w:t>The calculations for estimated exit entitlements are prescribed (i.e. remake the existing regulations).</w:t>
            </w:r>
          </w:p>
        </w:tc>
        <w:tc>
          <w:tcPr>
            <w:tcW w:w="2263" w:type="dxa"/>
          </w:tcPr>
          <w:p w14:paraId="65F351D0" w14:textId="77777777" w:rsidR="00AD6BA0" w:rsidRPr="002C1E2B" w:rsidRDefault="00AD6BA0" w:rsidP="00412263">
            <w:pPr>
              <w:pStyle w:val="TableText"/>
              <w:cnfStyle w:val="000000000000" w:firstRow="0" w:lastRow="0" w:firstColumn="0" w:lastColumn="0" w:oddVBand="0" w:evenVBand="0" w:oddHBand="0" w:evenHBand="0" w:firstRowFirstColumn="0" w:firstRowLastColumn="0" w:lastRowFirstColumn="0" w:lastRowLastColumn="0"/>
              <w:rPr>
                <w:rFonts w:ascii="Calibri" w:hAnsi="Calibri"/>
              </w:rPr>
            </w:pPr>
            <w:r w:rsidRPr="002C1E2B">
              <w:rPr>
                <w:rFonts w:ascii="Calibri" w:hAnsi="Calibri"/>
                <w:color w:val="000000"/>
              </w:rPr>
              <w:t>Matters that should and should not be included in contracts (including certain terms and layout) are prescribed (i.e. remake the existing regulations).</w:t>
            </w:r>
          </w:p>
        </w:tc>
      </w:tr>
      <w:tr w:rsidR="006A32E4" w:rsidRPr="002C1E2B" w14:paraId="4C0D5D9B" w14:textId="77777777" w:rsidTr="00D57D67">
        <w:tc>
          <w:tcPr>
            <w:cnfStyle w:val="001000000000" w:firstRow="0" w:lastRow="0" w:firstColumn="1" w:lastColumn="0" w:oddVBand="0" w:evenVBand="0" w:oddHBand="0" w:evenHBand="0" w:firstRowFirstColumn="0" w:firstRowLastColumn="0" w:lastRowFirstColumn="0" w:lastRowLastColumn="0"/>
            <w:tcW w:w="1539" w:type="dxa"/>
            <w:tcBorders>
              <w:left w:val="none" w:sz="0" w:space="0" w:color="auto"/>
              <w:bottom w:val="none" w:sz="0" w:space="0" w:color="auto"/>
              <w:right w:val="none" w:sz="0" w:space="0" w:color="auto"/>
              <w:tl2br w:val="none" w:sz="0" w:space="0" w:color="auto"/>
              <w:tr2bl w:val="none" w:sz="0" w:space="0" w:color="auto"/>
            </w:tcBorders>
          </w:tcPr>
          <w:p w14:paraId="24DA1B1D" w14:textId="77777777" w:rsidR="00AD6BA0" w:rsidRPr="002C1E2B" w:rsidRDefault="00AD6BA0" w:rsidP="00F41EBB">
            <w:pPr>
              <w:rPr>
                <w:rFonts w:ascii="Calibri" w:hAnsi="Calibri"/>
                <w:b/>
                <w:sz w:val="20"/>
              </w:rPr>
            </w:pPr>
            <w:r w:rsidRPr="002C1E2B">
              <w:rPr>
                <w:rFonts w:ascii="Calibri" w:hAnsi="Calibri"/>
                <w:b/>
                <w:sz w:val="20"/>
              </w:rPr>
              <w:t>Option 2 – DAP or RAD rule with RAD grandfathering provisions</w:t>
            </w:r>
          </w:p>
        </w:tc>
        <w:tc>
          <w:tcPr>
            <w:tcW w:w="3964" w:type="dxa"/>
          </w:tcPr>
          <w:p w14:paraId="5E4EE02E" w14:textId="77777777" w:rsidR="00AD6BA0" w:rsidRPr="002C1E2B" w:rsidRDefault="00AD6BA0" w:rsidP="00412263">
            <w:pPr>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2C1E2B">
              <w:rPr>
                <w:rFonts w:ascii="Calibri" w:hAnsi="Calibri"/>
                <w:sz w:val="20"/>
              </w:rPr>
              <w:t>Same as Option 1</w:t>
            </w:r>
          </w:p>
        </w:tc>
        <w:tc>
          <w:tcPr>
            <w:tcW w:w="4541" w:type="dxa"/>
          </w:tcPr>
          <w:p w14:paraId="12FB2AD7" w14:textId="77777777" w:rsidR="00AD6BA0" w:rsidRPr="002C1E2B" w:rsidRDefault="00AD6BA0" w:rsidP="00412263">
            <w:pPr>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2C1E2B">
              <w:rPr>
                <w:rFonts w:ascii="Calibri" w:hAnsi="Calibri"/>
                <w:sz w:val="20"/>
              </w:rPr>
              <w:t>Non-owner residents who enter RV between 31/07/06 and 1/08/17 would have a choice of requiring the operator to pay their aged care DAP or RAD prior to the sale of their unit. Non-owner residents who enter RV after 1/08/17 would be able to require the operator to pay their aged care DAPs prior to the sale of their unit.</w:t>
            </w:r>
          </w:p>
        </w:tc>
        <w:tc>
          <w:tcPr>
            <w:tcW w:w="2268" w:type="dxa"/>
          </w:tcPr>
          <w:p w14:paraId="48A743AF" w14:textId="77777777" w:rsidR="00AD6BA0" w:rsidRPr="002C1E2B" w:rsidRDefault="00AD6BA0">
            <w:pPr>
              <w:cnfStyle w:val="000000000000" w:firstRow="0" w:lastRow="0" w:firstColumn="0" w:lastColumn="0" w:oddVBand="0" w:evenVBand="0" w:oddHBand="0" w:evenHBand="0" w:firstRowFirstColumn="0" w:firstRowLastColumn="0" w:lastRowFirstColumn="0" w:lastRowLastColumn="0"/>
            </w:pPr>
            <w:r w:rsidRPr="002C1E2B">
              <w:rPr>
                <w:rFonts w:ascii="Calibri" w:hAnsi="Calibri"/>
                <w:sz w:val="20"/>
              </w:rPr>
              <w:t>Same as Option 1</w:t>
            </w:r>
          </w:p>
        </w:tc>
        <w:tc>
          <w:tcPr>
            <w:tcW w:w="2263" w:type="dxa"/>
          </w:tcPr>
          <w:p w14:paraId="53DC78A6" w14:textId="77777777" w:rsidR="00AD6BA0" w:rsidRPr="002C1E2B" w:rsidRDefault="00AD6BA0" w:rsidP="00412263">
            <w:pPr>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2C1E2B">
              <w:rPr>
                <w:rFonts w:ascii="Calibri" w:hAnsi="Calibri"/>
                <w:sz w:val="20"/>
              </w:rPr>
              <w:t>Same as Option 1</w:t>
            </w:r>
          </w:p>
        </w:tc>
      </w:tr>
      <w:tr w:rsidR="006A32E4" w:rsidRPr="002C1E2B" w14:paraId="247DF57E" w14:textId="77777777" w:rsidTr="00D57D67">
        <w:tc>
          <w:tcPr>
            <w:cnfStyle w:val="001000000000" w:firstRow="0" w:lastRow="0" w:firstColumn="1" w:lastColumn="0" w:oddVBand="0" w:evenVBand="0" w:oddHBand="0" w:evenHBand="0" w:firstRowFirstColumn="0" w:firstRowLastColumn="0" w:lastRowFirstColumn="0" w:lastRowLastColumn="0"/>
            <w:tcW w:w="1539" w:type="dxa"/>
            <w:tcBorders>
              <w:left w:val="none" w:sz="0" w:space="0" w:color="auto"/>
              <w:bottom w:val="none" w:sz="0" w:space="0" w:color="auto"/>
              <w:right w:val="none" w:sz="0" w:space="0" w:color="auto"/>
              <w:tl2br w:val="none" w:sz="0" w:space="0" w:color="auto"/>
              <w:tr2bl w:val="none" w:sz="0" w:space="0" w:color="auto"/>
            </w:tcBorders>
          </w:tcPr>
          <w:p w14:paraId="37CCF354" w14:textId="77777777" w:rsidR="00AD6BA0" w:rsidRPr="002C1E2B" w:rsidRDefault="00AD6BA0" w:rsidP="00F41EBB">
            <w:pPr>
              <w:rPr>
                <w:rFonts w:ascii="Calibri" w:hAnsi="Calibri"/>
                <w:b/>
                <w:sz w:val="20"/>
              </w:rPr>
            </w:pPr>
            <w:r w:rsidRPr="002C1E2B">
              <w:rPr>
                <w:rFonts w:ascii="Calibri" w:hAnsi="Calibri"/>
                <w:b/>
                <w:sz w:val="20"/>
              </w:rPr>
              <w:t xml:space="preserve">Option 3 – DAP rule </w:t>
            </w:r>
          </w:p>
        </w:tc>
        <w:tc>
          <w:tcPr>
            <w:tcW w:w="3964" w:type="dxa"/>
          </w:tcPr>
          <w:p w14:paraId="4C9FA632" w14:textId="77777777" w:rsidR="00AD6BA0" w:rsidRPr="002C1E2B" w:rsidRDefault="00AD6BA0" w:rsidP="00412263">
            <w:pPr>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2C1E2B">
              <w:rPr>
                <w:rFonts w:ascii="Calibri" w:hAnsi="Calibri"/>
                <w:sz w:val="20"/>
              </w:rPr>
              <w:t>Same as Option 1</w:t>
            </w:r>
          </w:p>
        </w:tc>
        <w:tc>
          <w:tcPr>
            <w:tcW w:w="4541" w:type="dxa"/>
          </w:tcPr>
          <w:p w14:paraId="23B7AD59" w14:textId="77777777" w:rsidR="00AD6BA0" w:rsidRPr="002C1E2B" w:rsidRDefault="00AD6BA0" w:rsidP="00412263">
            <w:pPr>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2C1E2B">
              <w:rPr>
                <w:rFonts w:ascii="Calibri" w:hAnsi="Calibri"/>
                <w:sz w:val="20"/>
              </w:rPr>
              <w:t xml:space="preserve">Non-owner residents who enter RV after 31/07/06 can require the operator to pay their aged care DAPs prior to the sale of their unit. </w:t>
            </w:r>
          </w:p>
        </w:tc>
        <w:tc>
          <w:tcPr>
            <w:tcW w:w="2268" w:type="dxa"/>
          </w:tcPr>
          <w:p w14:paraId="5881F95C" w14:textId="77777777" w:rsidR="00AD6BA0" w:rsidRPr="002C1E2B" w:rsidRDefault="00AD6BA0">
            <w:pPr>
              <w:cnfStyle w:val="000000000000" w:firstRow="0" w:lastRow="0" w:firstColumn="0" w:lastColumn="0" w:oddVBand="0" w:evenVBand="0" w:oddHBand="0" w:evenHBand="0" w:firstRowFirstColumn="0" w:firstRowLastColumn="0" w:lastRowFirstColumn="0" w:lastRowLastColumn="0"/>
            </w:pPr>
            <w:r w:rsidRPr="002C1E2B">
              <w:rPr>
                <w:rFonts w:ascii="Calibri" w:hAnsi="Calibri"/>
                <w:sz w:val="20"/>
              </w:rPr>
              <w:t>Same as Option 1</w:t>
            </w:r>
          </w:p>
        </w:tc>
        <w:tc>
          <w:tcPr>
            <w:tcW w:w="2263" w:type="dxa"/>
          </w:tcPr>
          <w:p w14:paraId="0D4829F3" w14:textId="77777777" w:rsidR="00AD6BA0" w:rsidRPr="002C1E2B" w:rsidRDefault="00AD6BA0" w:rsidP="00412263">
            <w:pPr>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2C1E2B">
              <w:rPr>
                <w:rFonts w:ascii="Calibri" w:hAnsi="Calibri"/>
                <w:sz w:val="20"/>
              </w:rPr>
              <w:t>Same as Option 1</w:t>
            </w:r>
          </w:p>
        </w:tc>
      </w:tr>
    </w:tbl>
    <w:p w14:paraId="0F3FAEAE" w14:textId="77777777" w:rsidR="00A96FFA" w:rsidRPr="002C1E2B" w:rsidRDefault="00A96FFA" w:rsidP="00161689">
      <w:pPr>
        <w:pStyle w:val="BodyText"/>
        <w:rPr>
          <w:lang w:eastAsia="zh-MO"/>
        </w:rPr>
        <w:sectPr w:rsidR="00A96FFA" w:rsidRPr="002C1E2B" w:rsidSect="0037130C">
          <w:pgSz w:w="16839" w:h="11907" w:orient="landscape" w:code="1"/>
          <w:pgMar w:top="1440" w:right="1915" w:bottom="1440" w:left="1440" w:header="835" w:footer="202" w:gutter="0"/>
          <w:cols w:space="708"/>
          <w:docGrid w:linePitch="360"/>
        </w:sectPr>
      </w:pPr>
    </w:p>
    <w:p w14:paraId="191CFCC4" w14:textId="77777777" w:rsidR="00B65C6C" w:rsidRPr="002C1E2B" w:rsidRDefault="00B073EF" w:rsidP="00B65C6C">
      <w:pPr>
        <w:pStyle w:val="Heading2"/>
      </w:pPr>
      <w:bookmarkStart w:id="69" w:name="_Toc472682145"/>
      <w:bookmarkStart w:id="70" w:name="_Toc472682170"/>
      <w:bookmarkStart w:id="71" w:name="_Toc476739270"/>
      <w:bookmarkStart w:id="72" w:name="_Toc476585824"/>
      <w:bookmarkEnd w:id="69"/>
      <w:bookmarkEnd w:id="70"/>
      <w:r>
        <w:lastRenderedPageBreak/>
        <w:t>Common provisions</w:t>
      </w:r>
      <w:bookmarkEnd w:id="71"/>
      <w:bookmarkEnd w:id="72"/>
    </w:p>
    <w:p w14:paraId="08199D7C" w14:textId="77777777" w:rsidR="00B65C6C" w:rsidRPr="002C1E2B" w:rsidRDefault="00B65C6C" w:rsidP="00B65C6C">
      <w:pPr>
        <w:pStyle w:val="BodyText"/>
      </w:pPr>
      <w:r w:rsidRPr="002C1E2B">
        <w:t>As discussed above, no feasible alternative regulatory or non-regulatory approaches have been identified that would address problems relating to the:</w:t>
      </w:r>
    </w:p>
    <w:p w14:paraId="59BB4CF3" w14:textId="77777777" w:rsidR="00B65C6C" w:rsidRPr="002C1E2B" w:rsidRDefault="00B65C6C" w:rsidP="00B65C6C">
      <w:pPr>
        <w:pStyle w:val="ListBullet"/>
      </w:pPr>
      <w:r w:rsidRPr="002C1E2B">
        <w:t>Trade-off between financial burden and control of sale as currently addressed by the six month rule exemption;</w:t>
      </w:r>
    </w:p>
    <w:p w14:paraId="0183FB3F" w14:textId="77777777" w:rsidR="00B65C6C" w:rsidRPr="002C1E2B" w:rsidRDefault="00B65C6C" w:rsidP="00B65C6C">
      <w:pPr>
        <w:pStyle w:val="ListBullet"/>
      </w:pPr>
      <w:r w:rsidRPr="002C1E2B">
        <w:t>Calculation of in-going contribution refunds before units are sold; and</w:t>
      </w:r>
    </w:p>
    <w:p w14:paraId="3F4A41C1" w14:textId="77777777" w:rsidR="00B65C6C" w:rsidRPr="002C1E2B" w:rsidRDefault="00B65C6C" w:rsidP="00C36ED1">
      <w:pPr>
        <w:pStyle w:val="ListBullet"/>
        <w:spacing w:after="240"/>
      </w:pPr>
      <w:r w:rsidRPr="002C1E2B">
        <w:t>Contractual requirements.</w:t>
      </w:r>
    </w:p>
    <w:p w14:paraId="1EC966DA" w14:textId="77777777" w:rsidR="00B65C6C" w:rsidRPr="002C1E2B" w:rsidRDefault="00B65C6C" w:rsidP="00B65C6C">
      <w:pPr>
        <w:pStyle w:val="BodyText"/>
      </w:pPr>
      <w:r w:rsidRPr="002C1E2B">
        <w:t xml:space="preserve">Under each option, it is proposed to retain the current provisions for the six month rule exemption (r.5), the calculations of in-going refunds (r.7-8) and contractual requirements (r.8B-H). </w:t>
      </w:r>
    </w:p>
    <w:p w14:paraId="2F7B810E" w14:textId="77777777" w:rsidR="00B65C6C" w:rsidRPr="002C1E2B" w:rsidRDefault="00B65C6C" w:rsidP="00B65C6C">
      <w:pPr>
        <w:pStyle w:val="HeadingU5"/>
      </w:pPr>
      <w:r w:rsidRPr="002C1E2B">
        <w:t>Six month rule exemption</w:t>
      </w:r>
    </w:p>
    <w:p w14:paraId="3012B0FB" w14:textId="77777777" w:rsidR="00B65C6C" w:rsidRPr="002C1E2B" w:rsidRDefault="00B65C6C" w:rsidP="00B65C6C">
      <w:pPr>
        <w:pStyle w:val="BodyText"/>
        <w:rPr>
          <w:lang w:eastAsia="zh-MO"/>
        </w:rPr>
      </w:pPr>
      <w:r w:rsidRPr="002C1E2B">
        <w:rPr>
          <w:lang w:eastAsia="zh-MO"/>
        </w:rPr>
        <w:t>The six month rule exemption would apply in contracts where the non-owner resident has control of the sale of the unit (consistent with the existing regulations). Retirement village operators would be required to pay non-owner residents’ exit entitlements only upon sale of the unit (subject to the application of the aged care rule).</w:t>
      </w:r>
    </w:p>
    <w:p w14:paraId="581C5E2E" w14:textId="77777777" w:rsidR="00B65C6C" w:rsidRPr="002C1E2B" w:rsidRDefault="00B65C6C" w:rsidP="00B65C6C">
      <w:pPr>
        <w:pStyle w:val="BodyText"/>
        <w:rPr>
          <w:lang w:eastAsia="zh-MO"/>
        </w:rPr>
      </w:pPr>
      <w:r w:rsidRPr="002C1E2B">
        <w:rPr>
          <w:lang w:eastAsia="zh-MO"/>
        </w:rPr>
        <w:t xml:space="preserve">In contracts where the non-owner resident does not have control of the sale of the unit there is no exemption from the six month rule and the retirement village operator is obliged to pay the resident their exit entitlement after six months of exiting the retirement village. </w:t>
      </w:r>
    </w:p>
    <w:p w14:paraId="5355F21C" w14:textId="77777777" w:rsidR="00B65C6C" w:rsidRPr="002C1E2B" w:rsidRDefault="00B65C6C" w:rsidP="00B65C6C">
      <w:pPr>
        <w:spacing w:after="200" w:line="276" w:lineRule="auto"/>
        <w:rPr>
          <w:rFonts w:asciiTheme="majorHAnsi" w:eastAsiaTheme="majorEastAsia" w:hAnsiTheme="majorHAnsi" w:cstheme="majorBidi"/>
          <w:i/>
          <w:iCs/>
        </w:rPr>
      </w:pPr>
      <w:r w:rsidRPr="002C1E2B">
        <w:rPr>
          <w:rFonts w:asciiTheme="majorHAnsi" w:eastAsiaTheme="majorEastAsia" w:hAnsiTheme="majorHAnsi" w:cstheme="majorBidi"/>
          <w:i/>
          <w:iCs/>
        </w:rPr>
        <w:t>Calculation of in-going contribution refunds</w:t>
      </w:r>
    </w:p>
    <w:p w14:paraId="23360F7D" w14:textId="77777777" w:rsidR="00B65C6C" w:rsidRPr="002C1E2B" w:rsidRDefault="00B65C6C" w:rsidP="00B65C6C">
      <w:pPr>
        <w:pStyle w:val="BodyText"/>
        <w:rPr>
          <w:rFonts w:eastAsia="PMingLiU"/>
          <w:lang w:eastAsia="zh-MO"/>
        </w:rPr>
      </w:pPr>
      <w:r w:rsidRPr="002C1E2B">
        <w:t>Under all options, the calculation of the refundable in-going contribution to be paid to a departing non-owner resident would be required to have reference to the value of the retirement village unit. If the retirement village unit has not yet been sold by the time the retirement village operator is required to pay the resident their exit entitlement, then the value would be calculated by proxy using either the market, or the non-market valuation method.</w:t>
      </w:r>
    </w:p>
    <w:p w14:paraId="6BFCF6CA" w14:textId="77777777" w:rsidR="00B65C6C" w:rsidRPr="002C1E2B" w:rsidRDefault="00B65C6C" w:rsidP="00B65C6C">
      <w:pPr>
        <w:pStyle w:val="ListBullet"/>
        <w:rPr>
          <w:lang w:eastAsia="zh-MO"/>
        </w:rPr>
      </w:pPr>
      <w:r w:rsidRPr="002C1E2B">
        <w:rPr>
          <w:b/>
          <w:lang w:eastAsia="zh-MO"/>
        </w:rPr>
        <w:t>Market valuations</w:t>
      </w:r>
      <w:r w:rsidRPr="002C1E2B">
        <w:rPr>
          <w:lang w:eastAsia="zh-MO"/>
        </w:rPr>
        <w:t xml:space="preserve"> – an independent valuation is obtained from a mutually agreed valuer. If agreement is not reached on the valuer, the valuer will be chosen by the President of the Victorian Division of the Australian Property Institute. This rule is applied when the in-going contribution that was paid by the resident was based on a market value.</w:t>
      </w:r>
    </w:p>
    <w:p w14:paraId="62948F0E" w14:textId="77777777" w:rsidR="00B65C6C" w:rsidRPr="002C1E2B" w:rsidRDefault="00B65C6C" w:rsidP="00C36ED1">
      <w:pPr>
        <w:pStyle w:val="ListBullet"/>
        <w:spacing w:after="240"/>
        <w:rPr>
          <w:lang w:eastAsia="zh-MO"/>
        </w:rPr>
      </w:pPr>
      <w:r w:rsidRPr="002C1E2B">
        <w:rPr>
          <w:b/>
          <w:lang w:eastAsia="zh-MO"/>
        </w:rPr>
        <w:t>Non</w:t>
      </w:r>
      <w:r w:rsidRPr="002C1E2B">
        <w:rPr>
          <w:lang w:eastAsia="zh-MO"/>
        </w:rPr>
        <w:t>-</w:t>
      </w:r>
      <w:r w:rsidRPr="002C1E2B">
        <w:rPr>
          <w:b/>
          <w:lang w:eastAsia="zh-MO"/>
        </w:rPr>
        <w:t>market valuations –</w:t>
      </w:r>
      <w:r w:rsidRPr="002C1E2B">
        <w:rPr>
          <w:lang w:eastAsia="zh-MO"/>
        </w:rPr>
        <w:t xml:space="preserve"> the price paid as an in-going contribution when the resident entered the retirement village is inflated by the Melbourne Consumer Price Index to estimate the value of the unit. This rule is applied when the in-going contribution that was paid by the resident was based on other factors than just market value and was lower than market value.</w:t>
      </w:r>
    </w:p>
    <w:p w14:paraId="7840E6AC" w14:textId="77777777" w:rsidR="00B65C6C" w:rsidRPr="002C1E2B" w:rsidRDefault="00B65C6C" w:rsidP="00B65C6C">
      <w:pPr>
        <w:pStyle w:val="BodyText"/>
        <w:rPr>
          <w:lang w:eastAsia="zh-MO"/>
        </w:rPr>
      </w:pPr>
      <w:r w:rsidRPr="002C1E2B">
        <w:rPr>
          <w:lang w:eastAsia="zh-MO"/>
        </w:rPr>
        <w:t xml:space="preserve">For both market and non-market valuations, if the exiting resident is also entitled to any proportion of the difference between the independent valuation and the in-going-contribution paid by the next resident moving in (if the independent valuation has undervalued the unit), the resident would also be liable for the costs of a valuation in the same proportion. Where </w:t>
      </w:r>
      <w:r w:rsidRPr="002C1E2B">
        <w:rPr>
          <w:lang w:eastAsia="zh-MO"/>
        </w:rPr>
        <w:lastRenderedPageBreak/>
        <w:t>the exiting resident is not entitled to any of the difference, the retirement village owner would be liable for the costs of valuation.</w:t>
      </w:r>
    </w:p>
    <w:p w14:paraId="6CDE4579" w14:textId="77777777" w:rsidR="00B65C6C" w:rsidRPr="002C1E2B" w:rsidRDefault="00B65C6C" w:rsidP="00B65C6C">
      <w:pPr>
        <w:pStyle w:val="HeadingU5"/>
      </w:pPr>
      <w:r w:rsidRPr="002C1E2B">
        <w:t>Contractual requirements</w:t>
      </w:r>
    </w:p>
    <w:p w14:paraId="261C2FDD" w14:textId="77777777" w:rsidR="00B65C6C" w:rsidRPr="002C1E2B" w:rsidRDefault="00B65C6C" w:rsidP="00B65C6C">
      <w:pPr>
        <w:pStyle w:val="BodyText"/>
        <w:rPr>
          <w:lang w:eastAsia="zh-MO"/>
        </w:rPr>
      </w:pPr>
      <w:r w:rsidRPr="002C1E2B">
        <w:rPr>
          <w:lang w:eastAsia="zh-MO"/>
        </w:rPr>
        <w:t>All options retain the same contractual requirements that currently exist in the Regulations including those around inclusions and exclusions of certain matters, prescribed terms and the layout of contracts. A summary of these requirements is provided in Appendix</w:t>
      </w:r>
      <w:r w:rsidR="00AE6CC9" w:rsidRPr="002C1E2B">
        <w:rPr>
          <w:lang w:eastAsia="zh-MO"/>
        </w:rPr>
        <w:t xml:space="preserve"> C</w:t>
      </w:r>
      <w:r w:rsidRPr="002C1E2B">
        <w:rPr>
          <w:lang w:eastAsia="zh-MO"/>
        </w:rPr>
        <w:t>.</w:t>
      </w:r>
    </w:p>
    <w:p w14:paraId="22650355" w14:textId="77777777" w:rsidR="00B65C6C" w:rsidRPr="002C1E2B" w:rsidRDefault="00B65C6C" w:rsidP="00B65C6C">
      <w:pPr>
        <w:pStyle w:val="Heading2"/>
      </w:pPr>
      <w:bookmarkStart w:id="73" w:name="_Toc476739271"/>
      <w:bookmarkStart w:id="74" w:name="_Toc476585825"/>
      <w:r w:rsidRPr="002C1E2B">
        <w:t>Aged care rule</w:t>
      </w:r>
      <w:bookmarkEnd w:id="73"/>
      <w:bookmarkEnd w:id="74"/>
    </w:p>
    <w:p w14:paraId="183DA9C0" w14:textId="77777777" w:rsidR="00B65C6C" w:rsidRPr="002C1E2B" w:rsidRDefault="00B65C6C" w:rsidP="00B65C6C">
      <w:pPr>
        <w:pStyle w:val="BodyText"/>
      </w:pPr>
      <w:r w:rsidRPr="002C1E2B">
        <w:t>Options 1, 2 and 3 propose different variations of the aged care rule to address financial barriers to entry into aged care. These are described below.</w:t>
      </w:r>
    </w:p>
    <w:p w14:paraId="10A5E460" w14:textId="77777777" w:rsidR="00161689" w:rsidRPr="002C1E2B" w:rsidRDefault="00161689" w:rsidP="00D57D67">
      <w:pPr>
        <w:pStyle w:val="Heading3"/>
      </w:pPr>
      <w:r w:rsidRPr="002C1E2B">
        <w:t>Option 1 – DAP or RAD rule</w:t>
      </w:r>
      <w:r w:rsidRPr="002C1E2B">
        <w:rPr>
          <w:lang w:eastAsia="zh-MO"/>
        </w:rPr>
        <w:t xml:space="preserve"> </w:t>
      </w:r>
    </w:p>
    <w:p w14:paraId="4736DE23" w14:textId="77777777" w:rsidR="00161689" w:rsidRPr="002C1E2B" w:rsidRDefault="00161689" w:rsidP="00161689">
      <w:pPr>
        <w:pStyle w:val="BodyText"/>
        <w:rPr>
          <w:rFonts w:eastAsia="PMingLiU"/>
          <w:lang w:eastAsia="zh-MO"/>
        </w:rPr>
      </w:pPr>
      <w:r w:rsidRPr="002C1E2B">
        <w:rPr>
          <w:rFonts w:eastAsia="PMingLiU"/>
          <w:lang w:eastAsia="zh-MO"/>
        </w:rPr>
        <w:t>Under this option, the existing regulations would be remade in their current form, other than replacing the current aged care rule (r.6) to address</w:t>
      </w:r>
      <w:r w:rsidR="00876788" w:rsidRPr="002C1E2B">
        <w:rPr>
          <w:rFonts w:eastAsia="PMingLiU"/>
          <w:lang w:eastAsia="zh-MO"/>
        </w:rPr>
        <w:t>, in a minimalist way,</w:t>
      </w:r>
      <w:r w:rsidRPr="002C1E2B">
        <w:rPr>
          <w:rFonts w:eastAsia="PMingLiU"/>
          <w:lang w:eastAsia="zh-MO"/>
        </w:rPr>
        <w:t xml:space="preserve"> the reforms to aged care</w:t>
      </w:r>
      <w:r w:rsidR="00942F66" w:rsidRPr="002C1E2B">
        <w:rPr>
          <w:rFonts w:eastAsia="PMingLiU"/>
          <w:lang w:eastAsia="zh-MO"/>
        </w:rPr>
        <w:t xml:space="preserve">, such that instead of </w:t>
      </w:r>
      <w:r w:rsidR="00AD6BA0" w:rsidRPr="002C1E2B">
        <w:rPr>
          <w:rFonts w:eastAsia="PMingLiU"/>
          <w:lang w:eastAsia="zh-MO"/>
        </w:rPr>
        <w:t xml:space="preserve">non-owner </w:t>
      </w:r>
      <w:r w:rsidR="00942F66" w:rsidRPr="002C1E2B">
        <w:rPr>
          <w:rFonts w:eastAsia="PMingLiU"/>
          <w:lang w:eastAsia="zh-MO"/>
        </w:rPr>
        <w:t>residents hav</w:t>
      </w:r>
      <w:r w:rsidR="00783531" w:rsidRPr="002C1E2B">
        <w:rPr>
          <w:rFonts w:eastAsia="PMingLiU"/>
          <w:lang w:eastAsia="zh-MO"/>
        </w:rPr>
        <w:t>ing</w:t>
      </w:r>
      <w:r w:rsidR="00942F66" w:rsidRPr="002C1E2B">
        <w:rPr>
          <w:rFonts w:eastAsia="PMingLiU"/>
          <w:lang w:eastAsia="zh-MO"/>
        </w:rPr>
        <w:t xml:space="preserve"> a choice between payment of their </w:t>
      </w:r>
      <w:r w:rsidR="001B2C95" w:rsidRPr="002C1E2B">
        <w:rPr>
          <w:rFonts w:eastAsia="PMingLiU"/>
          <w:lang w:eastAsia="zh-MO"/>
        </w:rPr>
        <w:t xml:space="preserve">RAD </w:t>
      </w:r>
      <w:r w:rsidR="00942F66" w:rsidRPr="002C1E2B">
        <w:rPr>
          <w:rFonts w:eastAsia="PMingLiU"/>
          <w:lang w:eastAsia="zh-MO"/>
        </w:rPr>
        <w:t xml:space="preserve">and the </w:t>
      </w:r>
      <w:r w:rsidR="001B2C95" w:rsidRPr="002C1E2B">
        <w:rPr>
          <w:rFonts w:eastAsia="PMingLiU"/>
          <w:lang w:eastAsia="zh-MO"/>
        </w:rPr>
        <w:t>DAPs</w:t>
      </w:r>
      <w:r w:rsidR="00942F66" w:rsidRPr="002C1E2B">
        <w:rPr>
          <w:rFonts w:eastAsia="PMingLiU"/>
          <w:lang w:eastAsia="zh-MO"/>
        </w:rPr>
        <w:t xml:space="preserve"> up to the estimated exit entitlement, they would</w:t>
      </w:r>
      <w:r w:rsidRPr="002C1E2B">
        <w:rPr>
          <w:rFonts w:eastAsia="PMingLiU"/>
          <w:lang w:eastAsia="zh-MO"/>
        </w:rPr>
        <w:t xml:space="preserve"> have a choice between a DAP rule and a RAD rule</w:t>
      </w:r>
      <w:r w:rsidR="00942F66" w:rsidRPr="002C1E2B">
        <w:rPr>
          <w:rFonts w:eastAsia="PMingLiU"/>
          <w:lang w:eastAsia="zh-MO"/>
        </w:rPr>
        <w:t xml:space="preserve"> up to the estimated exit entitlement</w:t>
      </w:r>
      <w:r w:rsidRPr="002C1E2B">
        <w:rPr>
          <w:rFonts w:eastAsia="PMingLiU"/>
          <w:lang w:eastAsia="zh-MO"/>
        </w:rPr>
        <w:t xml:space="preserve">. </w:t>
      </w:r>
      <w:r w:rsidR="003D7600">
        <w:rPr>
          <w:rFonts w:eastAsia="PMingLiU"/>
          <w:lang w:eastAsia="zh-MO"/>
        </w:rPr>
        <w:t xml:space="preserve"> This option is equivalent to the status quo</w:t>
      </w:r>
      <w:r w:rsidR="003D4A5F">
        <w:rPr>
          <w:rFonts w:eastAsia="PMingLiU"/>
          <w:lang w:eastAsia="zh-MO"/>
        </w:rPr>
        <w:t>, addressing the issues with the current wording of the aged care rule</w:t>
      </w:r>
      <w:r w:rsidR="003D7600">
        <w:rPr>
          <w:rFonts w:eastAsia="PMingLiU"/>
          <w:lang w:eastAsia="zh-MO"/>
        </w:rPr>
        <w:t>.</w:t>
      </w:r>
    </w:p>
    <w:p w14:paraId="1EF4C573" w14:textId="77777777" w:rsidR="00161689" w:rsidRPr="002C1E2B" w:rsidRDefault="00161689" w:rsidP="00161689">
      <w:pPr>
        <w:pStyle w:val="HeadingU5"/>
      </w:pPr>
      <w:r w:rsidRPr="002C1E2B">
        <w:t>Aged care rule</w:t>
      </w:r>
    </w:p>
    <w:p w14:paraId="2F47935C" w14:textId="77777777" w:rsidR="00161689" w:rsidRPr="002C1E2B" w:rsidRDefault="00AD6BA0" w:rsidP="00161689">
      <w:pPr>
        <w:pStyle w:val="BodyText"/>
        <w:rPr>
          <w:lang w:eastAsia="zh-MO"/>
        </w:rPr>
      </w:pPr>
      <w:r w:rsidRPr="002C1E2B">
        <w:rPr>
          <w:rFonts w:eastAsia="PMingLiU"/>
          <w:lang w:eastAsia="zh-MO"/>
        </w:rPr>
        <w:t>Non-owner r</w:t>
      </w:r>
      <w:r w:rsidR="00161689" w:rsidRPr="002C1E2B">
        <w:rPr>
          <w:rFonts w:eastAsia="PMingLiU"/>
          <w:lang w:eastAsia="zh-MO"/>
        </w:rPr>
        <w:t>esidents who enter</w:t>
      </w:r>
      <w:r w:rsidR="00E742FF" w:rsidRPr="002C1E2B">
        <w:rPr>
          <w:rFonts w:eastAsia="PMingLiU"/>
          <w:lang w:eastAsia="zh-MO"/>
        </w:rPr>
        <w:t>ed a retirement village after 31</w:t>
      </w:r>
      <w:r w:rsidR="00161689" w:rsidRPr="002C1E2B">
        <w:rPr>
          <w:rFonts w:eastAsia="PMingLiU"/>
          <w:lang w:eastAsia="zh-MO"/>
        </w:rPr>
        <w:t xml:space="preserve"> Ju</w:t>
      </w:r>
      <w:r w:rsidR="00E742FF" w:rsidRPr="002C1E2B">
        <w:rPr>
          <w:rFonts w:eastAsia="PMingLiU"/>
          <w:lang w:eastAsia="zh-MO"/>
        </w:rPr>
        <w:t>ly</w:t>
      </w:r>
      <w:r w:rsidR="00161689" w:rsidRPr="002C1E2B">
        <w:rPr>
          <w:rFonts w:eastAsia="PMingLiU"/>
          <w:lang w:eastAsia="zh-MO"/>
        </w:rPr>
        <w:t xml:space="preserve"> 2006 would have a choice between requiring the retirement village operator to pay their aged care DAP</w:t>
      </w:r>
      <w:r w:rsidR="00942F66" w:rsidRPr="002C1E2B">
        <w:rPr>
          <w:rFonts w:eastAsia="PMingLiU"/>
          <w:lang w:eastAsia="zh-MO"/>
        </w:rPr>
        <w:t>s</w:t>
      </w:r>
      <w:r w:rsidR="00161689" w:rsidRPr="002C1E2B">
        <w:rPr>
          <w:rFonts w:eastAsia="PMingLiU"/>
          <w:lang w:eastAsia="zh-MO"/>
        </w:rPr>
        <w:t xml:space="preserve"> or RAD </w:t>
      </w:r>
      <w:r w:rsidR="00B56D38" w:rsidRPr="002C1E2B">
        <w:rPr>
          <w:rFonts w:eastAsia="PMingLiU"/>
          <w:lang w:eastAsia="zh-MO"/>
        </w:rPr>
        <w:t xml:space="preserve">(up to the estimated exit entitlement) </w:t>
      </w:r>
      <w:r w:rsidR="00161689" w:rsidRPr="002C1E2B">
        <w:rPr>
          <w:rFonts w:eastAsia="PMingLiU"/>
          <w:lang w:eastAsia="zh-MO"/>
        </w:rPr>
        <w:t xml:space="preserve">and would receive the </w:t>
      </w:r>
      <w:r w:rsidR="00676082" w:rsidRPr="002C1E2B">
        <w:rPr>
          <w:rFonts w:eastAsia="PMingLiU"/>
          <w:lang w:eastAsia="zh-MO"/>
        </w:rPr>
        <w:t>balance of their</w:t>
      </w:r>
      <w:r w:rsidR="00161689" w:rsidRPr="002C1E2B">
        <w:rPr>
          <w:rFonts w:eastAsia="PMingLiU"/>
          <w:lang w:eastAsia="zh-MO"/>
        </w:rPr>
        <w:t xml:space="preserve"> </w:t>
      </w:r>
      <w:r w:rsidR="00676082" w:rsidRPr="002C1E2B">
        <w:rPr>
          <w:rFonts w:eastAsia="PMingLiU"/>
          <w:lang w:eastAsia="zh-MO"/>
        </w:rPr>
        <w:t>exit entitlement</w:t>
      </w:r>
      <w:r w:rsidR="00161689" w:rsidRPr="002C1E2B">
        <w:rPr>
          <w:rFonts w:eastAsia="PMingLiU"/>
          <w:lang w:eastAsia="zh-MO"/>
        </w:rPr>
        <w:t xml:space="preserve"> (less DAPs/RADs payments made by the operator) when the unit was sold.</w:t>
      </w:r>
    </w:p>
    <w:p w14:paraId="67ED0E4E" w14:textId="77777777" w:rsidR="00161689" w:rsidRPr="002C1E2B" w:rsidRDefault="00161689" w:rsidP="00161689">
      <w:pPr>
        <w:pStyle w:val="ListBullet"/>
        <w:rPr>
          <w:lang w:eastAsia="zh-MO"/>
        </w:rPr>
      </w:pPr>
      <w:r w:rsidRPr="002C1E2B">
        <w:rPr>
          <w:b/>
          <w:lang w:eastAsia="zh-MO"/>
        </w:rPr>
        <w:t>DAP rule</w:t>
      </w:r>
      <w:r w:rsidRPr="002C1E2B">
        <w:rPr>
          <w:lang w:eastAsia="zh-MO"/>
        </w:rPr>
        <w:t xml:space="preserve"> – The retirement village operator pays DAPs to the residential aged care facility each month from the resident’s entry into residential aged care up until the sale of their former retirement village unit. At that point the retirement village operator will </w:t>
      </w:r>
      <w:r w:rsidR="00676082" w:rsidRPr="002C1E2B">
        <w:rPr>
          <w:lang w:eastAsia="zh-MO"/>
        </w:rPr>
        <w:t>pay the exit entitlement less</w:t>
      </w:r>
      <w:r w:rsidRPr="002C1E2B">
        <w:rPr>
          <w:lang w:eastAsia="zh-MO"/>
        </w:rPr>
        <w:t xml:space="preserve"> the total DAP payments made to the former resident.</w:t>
      </w:r>
    </w:p>
    <w:p w14:paraId="0C4AB708" w14:textId="77777777" w:rsidR="00161689" w:rsidRPr="002C1E2B" w:rsidRDefault="00161689" w:rsidP="00161689">
      <w:pPr>
        <w:pStyle w:val="ListBullet"/>
        <w:spacing w:after="240"/>
        <w:ind w:left="357" w:hanging="357"/>
        <w:rPr>
          <w:lang w:eastAsia="zh-MO"/>
        </w:rPr>
      </w:pPr>
      <w:r w:rsidRPr="002C1E2B">
        <w:rPr>
          <w:b/>
          <w:lang w:eastAsia="zh-MO"/>
        </w:rPr>
        <w:t>RAD rule</w:t>
      </w:r>
      <w:r w:rsidRPr="002C1E2B">
        <w:rPr>
          <w:lang w:eastAsia="zh-MO"/>
        </w:rPr>
        <w:t xml:space="preserve"> – The retirement village operator pays a RAD to the residential aged care </w:t>
      </w:r>
      <w:r w:rsidR="00676082" w:rsidRPr="002C1E2B">
        <w:rPr>
          <w:lang w:eastAsia="zh-MO"/>
        </w:rPr>
        <w:t xml:space="preserve">facility </w:t>
      </w:r>
      <w:r w:rsidRPr="002C1E2B">
        <w:rPr>
          <w:lang w:eastAsia="zh-MO"/>
        </w:rPr>
        <w:t>six months after the exit of the resident if their unit has not yet been sold. When the unit is sold, the re</w:t>
      </w:r>
      <w:r w:rsidR="00676082" w:rsidRPr="002C1E2B">
        <w:rPr>
          <w:lang w:eastAsia="zh-MO"/>
        </w:rPr>
        <w:t>tirement village operator will pay the balance of the resident’s</w:t>
      </w:r>
      <w:r w:rsidR="00EB6473" w:rsidRPr="002C1E2B">
        <w:rPr>
          <w:lang w:eastAsia="zh-MO"/>
        </w:rPr>
        <w:t xml:space="preserve"> </w:t>
      </w:r>
      <w:r w:rsidR="00676082" w:rsidRPr="002C1E2B">
        <w:rPr>
          <w:lang w:eastAsia="zh-MO"/>
        </w:rPr>
        <w:t>exit entitlement</w:t>
      </w:r>
      <w:r w:rsidRPr="002C1E2B">
        <w:rPr>
          <w:lang w:eastAsia="zh-MO"/>
        </w:rPr>
        <w:t xml:space="preserve"> less the RAD. </w:t>
      </w:r>
    </w:p>
    <w:p w14:paraId="295C6894" w14:textId="77777777" w:rsidR="00161689" w:rsidRPr="002C1E2B" w:rsidRDefault="00161689" w:rsidP="00161689">
      <w:pPr>
        <w:pStyle w:val="BodyText"/>
        <w:rPr>
          <w:lang w:eastAsia="zh-MO"/>
        </w:rPr>
      </w:pPr>
      <w:r w:rsidRPr="002C1E2B">
        <w:rPr>
          <w:lang w:eastAsia="zh-MO"/>
        </w:rPr>
        <w:t>The combined operation of the aged care rule and the six month rule in Option 1 is described in</w:t>
      </w:r>
      <w:r w:rsidR="00EB6473" w:rsidRPr="002C1E2B">
        <w:rPr>
          <w:lang w:eastAsia="zh-MO"/>
        </w:rPr>
        <w:t xml:space="preserve"> </w:t>
      </w:r>
      <w:r w:rsidR="00EB6473" w:rsidRPr="002C1E2B">
        <w:rPr>
          <w:lang w:eastAsia="zh-MO"/>
        </w:rPr>
        <w:fldChar w:fldCharType="begin"/>
      </w:r>
      <w:r w:rsidR="00EB6473" w:rsidRPr="002C1E2B">
        <w:rPr>
          <w:lang w:eastAsia="zh-MO"/>
        </w:rPr>
        <w:instrText xml:space="preserve"> REF _Ref475608832 \h </w:instrText>
      </w:r>
      <w:r w:rsidR="00EB6473" w:rsidRPr="002C1E2B">
        <w:rPr>
          <w:lang w:eastAsia="zh-MO"/>
        </w:rPr>
      </w:r>
      <w:r w:rsidR="00EB6473" w:rsidRPr="002C1E2B">
        <w:rPr>
          <w:lang w:eastAsia="zh-MO"/>
        </w:rPr>
        <w:fldChar w:fldCharType="separate"/>
      </w:r>
      <w:r w:rsidR="00BE6CE4" w:rsidRPr="002C1E2B">
        <w:t xml:space="preserve">Figure </w:t>
      </w:r>
      <w:r w:rsidR="00BE6CE4">
        <w:rPr>
          <w:noProof/>
        </w:rPr>
        <w:t>4</w:t>
      </w:r>
      <w:r w:rsidR="00BE6CE4">
        <w:t>.</w:t>
      </w:r>
      <w:r w:rsidR="00BE6CE4">
        <w:rPr>
          <w:noProof/>
        </w:rPr>
        <w:t>1</w:t>
      </w:r>
      <w:r w:rsidR="00EB6473" w:rsidRPr="002C1E2B">
        <w:rPr>
          <w:lang w:eastAsia="zh-MO"/>
        </w:rPr>
        <w:fldChar w:fldCharType="end"/>
      </w:r>
      <w:r w:rsidRPr="002C1E2B">
        <w:rPr>
          <w:lang w:eastAsia="zh-MO"/>
        </w:rPr>
        <w:t>.</w:t>
      </w:r>
    </w:p>
    <w:p w14:paraId="5924B1DB" w14:textId="77777777" w:rsidR="00161689" w:rsidRPr="002C1E2B" w:rsidRDefault="005705AE" w:rsidP="00EB1DAB">
      <w:pPr>
        <w:pStyle w:val="Caption"/>
        <w:spacing w:after="120"/>
        <w:rPr>
          <w:rFonts w:eastAsia="PMingLiU"/>
          <w:lang w:eastAsia="zh-MO"/>
        </w:rPr>
      </w:pPr>
      <w:bookmarkStart w:id="75" w:name="_Ref474424826"/>
      <w:bookmarkStart w:id="76" w:name="_Ref475608832"/>
      <w:bookmarkStart w:id="77" w:name="_Ref474424818"/>
      <w:r w:rsidRPr="002C1E2B">
        <w:lastRenderedPageBreak/>
        <w:t xml:space="preserve">Figure </w:t>
      </w:r>
      <w:r w:rsidR="00C11D17">
        <w:fldChar w:fldCharType="begin"/>
      </w:r>
      <w:r w:rsidR="00C11D17">
        <w:instrText xml:space="preserve"> STYLEREF 1 \s </w:instrText>
      </w:r>
      <w:r w:rsidR="00C11D17">
        <w:fldChar w:fldCharType="separate"/>
      </w:r>
      <w:r w:rsidR="00BE6CE4">
        <w:rPr>
          <w:noProof/>
        </w:rPr>
        <w:t>4</w:t>
      </w:r>
      <w:r w:rsidR="00C11D17">
        <w:fldChar w:fldCharType="end"/>
      </w:r>
      <w:r w:rsidR="00C11D17">
        <w:t>.</w:t>
      </w:r>
      <w:r w:rsidR="00C11D17">
        <w:fldChar w:fldCharType="begin"/>
      </w:r>
      <w:r w:rsidR="00C11D17">
        <w:instrText xml:space="preserve"> SEQ Figure \* ARABIC \s 1 </w:instrText>
      </w:r>
      <w:r w:rsidR="00C11D17">
        <w:fldChar w:fldCharType="separate"/>
      </w:r>
      <w:r w:rsidR="00BE6CE4">
        <w:rPr>
          <w:noProof/>
        </w:rPr>
        <w:t>1</w:t>
      </w:r>
      <w:r w:rsidR="00C11D17">
        <w:fldChar w:fldCharType="end"/>
      </w:r>
      <w:bookmarkEnd w:id="75"/>
      <w:bookmarkEnd w:id="76"/>
      <w:r w:rsidRPr="002C1E2B">
        <w:t xml:space="preserve"> </w:t>
      </w:r>
      <w:bookmarkStart w:id="78" w:name="_Ref474424823"/>
      <w:r w:rsidR="00161689" w:rsidRPr="002C1E2B">
        <w:rPr>
          <w:lang w:eastAsia="zh-MO"/>
        </w:rPr>
        <w:t xml:space="preserve">– The </w:t>
      </w:r>
      <w:r w:rsidR="00AC3672" w:rsidRPr="002C1E2B">
        <w:rPr>
          <w:lang w:eastAsia="zh-MO"/>
        </w:rPr>
        <w:t>aged care rule</w:t>
      </w:r>
      <w:r w:rsidR="00161689" w:rsidRPr="002C1E2B">
        <w:rPr>
          <w:lang w:eastAsia="zh-MO"/>
        </w:rPr>
        <w:t xml:space="preserve"> and the </w:t>
      </w:r>
      <w:r w:rsidR="00AC3672" w:rsidRPr="002C1E2B">
        <w:rPr>
          <w:lang w:eastAsia="zh-MO"/>
        </w:rPr>
        <w:t>six month rule</w:t>
      </w:r>
      <w:r w:rsidR="00161689" w:rsidRPr="002C1E2B">
        <w:rPr>
          <w:lang w:eastAsia="zh-MO"/>
        </w:rPr>
        <w:t xml:space="preserve"> exemption under Option 1</w:t>
      </w:r>
      <w:bookmarkEnd w:id="77"/>
      <w:bookmarkEnd w:id="78"/>
    </w:p>
    <w:p w14:paraId="6FC81252" w14:textId="77777777" w:rsidR="00161689" w:rsidRPr="002C1E2B" w:rsidRDefault="003D6E07" w:rsidP="00D57D67">
      <w:pPr>
        <w:spacing w:after="200" w:line="276" w:lineRule="auto"/>
        <w:rPr>
          <w:lang w:eastAsia="zh-MO"/>
        </w:rPr>
      </w:pPr>
      <w:r w:rsidRPr="002C1E2B">
        <w:rPr>
          <w:noProof/>
          <w:lang w:eastAsia="en-AU"/>
        </w:rPr>
        <w:drawing>
          <wp:inline distT="0" distB="0" distL="0" distR="0" wp14:anchorId="4F7351F3" wp14:editId="161BB5FD">
            <wp:extent cx="5732145" cy="3354869"/>
            <wp:effectExtent l="0" t="0" r="1905" b="0"/>
            <wp:docPr id="436" name="Pictur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32145" cy="3354869"/>
                    </a:xfrm>
                    <a:prstGeom prst="rect">
                      <a:avLst/>
                    </a:prstGeom>
                    <a:noFill/>
                    <a:ln>
                      <a:noFill/>
                    </a:ln>
                  </pic:spPr>
                </pic:pic>
              </a:graphicData>
            </a:graphic>
          </wp:inline>
        </w:drawing>
      </w:r>
    </w:p>
    <w:p w14:paraId="6973C5FA" w14:textId="77777777" w:rsidR="00161689" w:rsidRPr="002C1E2B" w:rsidRDefault="00783531" w:rsidP="00A815F0">
      <w:pPr>
        <w:pStyle w:val="Heading3"/>
      </w:pPr>
      <w:bookmarkStart w:id="79" w:name="_Toc472682174"/>
      <w:bookmarkStart w:id="80" w:name="_Toc472682175"/>
      <w:bookmarkStart w:id="81" w:name="_Toc472682176"/>
      <w:bookmarkStart w:id="82" w:name="_Toc472682177"/>
      <w:bookmarkStart w:id="83" w:name="_Toc472682178"/>
      <w:bookmarkStart w:id="84" w:name="_Toc472682179"/>
      <w:bookmarkEnd w:id="79"/>
      <w:bookmarkEnd w:id="80"/>
      <w:bookmarkEnd w:id="81"/>
      <w:bookmarkEnd w:id="82"/>
      <w:bookmarkEnd w:id="83"/>
      <w:bookmarkEnd w:id="84"/>
      <w:r w:rsidRPr="002C1E2B">
        <w:t xml:space="preserve">Option </w:t>
      </w:r>
      <w:r w:rsidRPr="002C1E2B">
        <w:rPr>
          <w:lang w:eastAsia="zh-MO"/>
        </w:rPr>
        <w:t xml:space="preserve">2 </w:t>
      </w:r>
      <w:r w:rsidR="00161689" w:rsidRPr="002C1E2B">
        <w:rPr>
          <w:lang w:eastAsia="zh-MO"/>
        </w:rPr>
        <w:t xml:space="preserve">– DAP </w:t>
      </w:r>
      <w:r w:rsidR="00B56D38" w:rsidRPr="002C1E2B">
        <w:rPr>
          <w:lang w:eastAsia="zh-MO"/>
        </w:rPr>
        <w:t xml:space="preserve">or RAD </w:t>
      </w:r>
      <w:r w:rsidR="00161689" w:rsidRPr="002C1E2B">
        <w:rPr>
          <w:lang w:eastAsia="zh-MO"/>
        </w:rPr>
        <w:t xml:space="preserve">rule with </w:t>
      </w:r>
      <w:r w:rsidR="00625D4A" w:rsidRPr="002C1E2B">
        <w:rPr>
          <w:lang w:eastAsia="zh-MO"/>
        </w:rPr>
        <w:t xml:space="preserve">RAD </w:t>
      </w:r>
      <w:r w:rsidR="00161689" w:rsidRPr="002C1E2B">
        <w:rPr>
          <w:lang w:eastAsia="zh-MO"/>
        </w:rPr>
        <w:t>grandfathering provisions</w:t>
      </w:r>
    </w:p>
    <w:p w14:paraId="197F0122" w14:textId="77777777" w:rsidR="00161689" w:rsidRPr="002C1E2B" w:rsidRDefault="00161689" w:rsidP="00161689">
      <w:pPr>
        <w:pStyle w:val="BodyText"/>
        <w:rPr>
          <w:lang w:eastAsia="zh-MO"/>
        </w:rPr>
      </w:pPr>
      <w:r w:rsidRPr="002C1E2B">
        <w:rPr>
          <w:rFonts w:eastAsia="PMingLiU"/>
          <w:lang w:eastAsia="zh-MO"/>
        </w:rPr>
        <w:t>Option 2 would remake the Regulations in their current form</w:t>
      </w:r>
      <w:r w:rsidR="00AA2D56" w:rsidRPr="002C1E2B">
        <w:rPr>
          <w:rFonts w:eastAsia="PMingLiU"/>
          <w:lang w:eastAsia="zh-MO"/>
        </w:rPr>
        <w:t>,</w:t>
      </w:r>
      <w:r w:rsidRPr="002C1E2B">
        <w:rPr>
          <w:rFonts w:eastAsia="PMingLiU"/>
          <w:lang w:eastAsia="zh-MO"/>
        </w:rPr>
        <w:t xml:space="preserve"> </w:t>
      </w:r>
      <w:r w:rsidR="002B7066" w:rsidRPr="002C1E2B">
        <w:rPr>
          <w:rFonts w:eastAsia="PMingLiU"/>
          <w:lang w:eastAsia="zh-MO"/>
        </w:rPr>
        <w:t xml:space="preserve">other than </w:t>
      </w:r>
      <w:r w:rsidRPr="002C1E2B">
        <w:rPr>
          <w:rFonts w:eastAsia="PMingLiU"/>
          <w:lang w:eastAsia="zh-MO"/>
        </w:rPr>
        <w:t xml:space="preserve">replacing the current aged care rule (r.6) </w:t>
      </w:r>
      <w:r w:rsidR="002B7066" w:rsidRPr="002C1E2B">
        <w:rPr>
          <w:rFonts w:eastAsia="PMingLiU"/>
          <w:lang w:eastAsia="zh-MO"/>
        </w:rPr>
        <w:t xml:space="preserve">with </w:t>
      </w:r>
      <w:r w:rsidRPr="002C1E2B">
        <w:rPr>
          <w:rFonts w:eastAsia="PMingLiU"/>
          <w:lang w:eastAsia="zh-MO"/>
        </w:rPr>
        <w:t>a DAP rule for all</w:t>
      </w:r>
      <w:r w:rsidR="00AD6BA0" w:rsidRPr="002C1E2B">
        <w:rPr>
          <w:rFonts w:eastAsia="PMingLiU"/>
          <w:lang w:eastAsia="zh-MO"/>
        </w:rPr>
        <w:t xml:space="preserve"> non-owner</w:t>
      </w:r>
      <w:r w:rsidRPr="002C1E2B">
        <w:rPr>
          <w:rFonts w:eastAsia="PMingLiU"/>
          <w:lang w:eastAsia="zh-MO"/>
        </w:rPr>
        <w:t xml:space="preserve"> residents who have entered retirement villages after </w:t>
      </w:r>
      <w:r w:rsidR="007104B4">
        <w:rPr>
          <w:rFonts w:eastAsia="PMingLiU"/>
          <w:lang w:eastAsia="zh-MO"/>
        </w:rPr>
        <w:t>31 July</w:t>
      </w:r>
      <w:r w:rsidRPr="002C1E2B">
        <w:rPr>
          <w:rFonts w:eastAsia="PMingLiU"/>
          <w:lang w:eastAsia="zh-MO"/>
        </w:rPr>
        <w:t xml:space="preserve"> 2006 </w:t>
      </w:r>
      <w:r w:rsidR="002B7066" w:rsidRPr="002C1E2B">
        <w:rPr>
          <w:rFonts w:eastAsia="PMingLiU"/>
          <w:lang w:eastAsia="zh-MO"/>
        </w:rPr>
        <w:t>and</w:t>
      </w:r>
      <w:r w:rsidRPr="002C1E2B">
        <w:rPr>
          <w:rFonts w:eastAsia="PMingLiU"/>
          <w:lang w:eastAsia="zh-MO"/>
        </w:rPr>
        <w:t xml:space="preserve"> </w:t>
      </w:r>
      <w:r w:rsidR="00B226E8" w:rsidRPr="002C1E2B">
        <w:rPr>
          <w:rFonts w:eastAsia="PMingLiU"/>
          <w:lang w:eastAsia="zh-MO"/>
        </w:rPr>
        <w:t>a</w:t>
      </w:r>
      <w:r w:rsidRPr="002C1E2B">
        <w:rPr>
          <w:rFonts w:eastAsia="PMingLiU"/>
          <w:lang w:eastAsia="zh-MO"/>
        </w:rPr>
        <w:t xml:space="preserve"> grandfather</w:t>
      </w:r>
      <w:r w:rsidR="00B226E8" w:rsidRPr="002C1E2B">
        <w:rPr>
          <w:rFonts w:eastAsia="PMingLiU"/>
          <w:lang w:eastAsia="zh-MO"/>
        </w:rPr>
        <w:t xml:space="preserve">ing provision allowing current </w:t>
      </w:r>
      <w:r w:rsidR="00AD6BA0" w:rsidRPr="002C1E2B">
        <w:rPr>
          <w:rFonts w:eastAsia="PMingLiU"/>
          <w:lang w:eastAsia="zh-MO"/>
        </w:rPr>
        <w:t xml:space="preserve">non-owner </w:t>
      </w:r>
      <w:r w:rsidRPr="002C1E2B">
        <w:rPr>
          <w:rFonts w:eastAsia="PMingLiU"/>
          <w:lang w:eastAsia="zh-MO"/>
        </w:rPr>
        <w:t xml:space="preserve">residents </w:t>
      </w:r>
      <w:r w:rsidR="00B226E8" w:rsidRPr="002C1E2B">
        <w:rPr>
          <w:rFonts w:eastAsia="PMingLiU"/>
          <w:lang w:eastAsia="zh-MO"/>
        </w:rPr>
        <w:t>(</w:t>
      </w:r>
      <w:r w:rsidR="00AD6BA0" w:rsidRPr="002C1E2B">
        <w:rPr>
          <w:rFonts w:eastAsia="PMingLiU"/>
          <w:lang w:eastAsia="zh-MO"/>
        </w:rPr>
        <w:t xml:space="preserve">who </w:t>
      </w:r>
      <w:r w:rsidR="00B226E8" w:rsidRPr="002C1E2B">
        <w:rPr>
          <w:rFonts w:eastAsia="PMingLiU"/>
          <w:lang w:eastAsia="zh-MO"/>
        </w:rPr>
        <w:t>entered into the retirement village prior to 1 August 2017) the choice between a DAP and RAD rule</w:t>
      </w:r>
      <w:r w:rsidR="00B56D38" w:rsidRPr="002C1E2B">
        <w:rPr>
          <w:rFonts w:eastAsia="PMingLiU"/>
          <w:lang w:eastAsia="zh-MO"/>
        </w:rPr>
        <w:t xml:space="preserve">, </w:t>
      </w:r>
      <w:r w:rsidR="00876788" w:rsidRPr="002C1E2B">
        <w:rPr>
          <w:rFonts w:eastAsia="PMingLiU"/>
          <w:lang w:eastAsia="zh-MO"/>
        </w:rPr>
        <w:t xml:space="preserve">in all cases </w:t>
      </w:r>
      <w:r w:rsidR="0088222C" w:rsidRPr="002C1E2B">
        <w:rPr>
          <w:rFonts w:eastAsia="PMingLiU"/>
          <w:lang w:eastAsia="zh-MO"/>
        </w:rPr>
        <w:t>up to a total of 85 per cent</w:t>
      </w:r>
      <w:r w:rsidR="00B56D38" w:rsidRPr="002C1E2B">
        <w:rPr>
          <w:rFonts w:eastAsia="PMingLiU"/>
          <w:lang w:eastAsia="zh-MO"/>
        </w:rPr>
        <w:t xml:space="preserve"> of the estimated exit entitlement with provision for operators paying RAD to apply to VCAT in hardship cases to pay DAP</w:t>
      </w:r>
      <w:r w:rsidR="00942F66" w:rsidRPr="002C1E2B">
        <w:rPr>
          <w:rFonts w:eastAsia="PMingLiU"/>
          <w:lang w:eastAsia="zh-MO"/>
        </w:rPr>
        <w:t>s</w:t>
      </w:r>
      <w:r w:rsidR="00B56D38" w:rsidRPr="002C1E2B">
        <w:rPr>
          <w:rFonts w:eastAsia="PMingLiU"/>
          <w:lang w:eastAsia="zh-MO"/>
        </w:rPr>
        <w:t xml:space="preserve"> instead</w:t>
      </w:r>
      <w:r w:rsidRPr="002C1E2B">
        <w:rPr>
          <w:rFonts w:eastAsia="PMingLiU"/>
          <w:lang w:eastAsia="zh-MO"/>
        </w:rPr>
        <w:t xml:space="preserve">. </w:t>
      </w:r>
    </w:p>
    <w:p w14:paraId="385B2BC0" w14:textId="77777777" w:rsidR="00161689" w:rsidRPr="002C1E2B" w:rsidRDefault="00161689" w:rsidP="00161689">
      <w:pPr>
        <w:pStyle w:val="HeadingU5"/>
      </w:pPr>
      <w:r w:rsidRPr="002C1E2B">
        <w:t>Aged care rule</w:t>
      </w:r>
    </w:p>
    <w:p w14:paraId="1CAA39A5" w14:textId="77777777" w:rsidR="00187951" w:rsidRPr="002C1E2B" w:rsidRDefault="00A96FFA" w:rsidP="00187951">
      <w:pPr>
        <w:rPr>
          <w:rFonts w:ascii="Times New Roman" w:eastAsia="PMingLiU" w:hAnsi="Times New Roman"/>
          <w:lang w:eastAsia="zh-MO"/>
        </w:rPr>
      </w:pPr>
      <w:r w:rsidRPr="002C1E2B">
        <w:rPr>
          <w:rFonts w:eastAsia="PMingLiU"/>
          <w:lang w:eastAsia="zh-MO"/>
        </w:rPr>
        <w:t xml:space="preserve">All </w:t>
      </w:r>
      <w:r w:rsidR="00AD6BA0" w:rsidRPr="002C1E2B">
        <w:rPr>
          <w:rFonts w:eastAsia="PMingLiU"/>
          <w:lang w:eastAsia="zh-MO"/>
        </w:rPr>
        <w:t xml:space="preserve">non-owner </w:t>
      </w:r>
      <w:r w:rsidRPr="002C1E2B">
        <w:rPr>
          <w:rFonts w:eastAsia="PMingLiU"/>
          <w:lang w:eastAsia="zh-MO"/>
        </w:rPr>
        <w:t xml:space="preserve">residents moving to residential aged care who entered a retirement village after 31 July 2006 would be able to require their RV operator to pay their aged care DAP and would receive their exit entitlement (less DAPs payments made by the operator) when the unit was sold. Current retirement village residents (entered into the retirement village prior to 1 August 2017) will have the choice between a DAP or a RAD-rule, </w:t>
      </w:r>
      <w:r w:rsidR="00187951" w:rsidRPr="002C1E2B">
        <w:rPr>
          <w:rFonts w:eastAsia="PMingLiU"/>
          <w:lang w:eastAsia="zh-MO"/>
        </w:rPr>
        <w:t>with payments capped</w:t>
      </w:r>
      <w:r w:rsidRPr="002C1E2B">
        <w:rPr>
          <w:rFonts w:eastAsia="PMingLiU"/>
          <w:lang w:eastAsia="zh-MO"/>
        </w:rPr>
        <w:t xml:space="preserve"> </w:t>
      </w:r>
      <w:r w:rsidR="00187951" w:rsidRPr="002C1E2B">
        <w:rPr>
          <w:rFonts w:eastAsia="PMingLiU"/>
          <w:lang w:eastAsia="zh-MO"/>
        </w:rPr>
        <w:t>at</w:t>
      </w:r>
      <w:r w:rsidRPr="002C1E2B">
        <w:rPr>
          <w:rFonts w:eastAsia="PMingLiU"/>
          <w:lang w:eastAsia="zh-MO"/>
        </w:rPr>
        <w:t xml:space="preserve"> 85 per cent of the estimated exit entitlement </w:t>
      </w:r>
      <w:r w:rsidR="00187951" w:rsidRPr="002C1E2B">
        <w:rPr>
          <w:rFonts w:eastAsia="PMingLiU"/>
          <w:lang w:eastAsia="zh-MO"/>
        </w:rPr>
        <w:t xml:space="preserve">and </w:t>
      </w:r>
      <w:r w:rsidRPr="002C1E2B">
        <w:rPr>
          <w:rFonts w:eastAsia="PMingLiU"/>
          <w:lang w:eastAsia="zh-MO"/>
        </w:rPr>
        <w:t xml:space="preserve">provision for operators paying RAD to apply to VCAT in hardship cases to pay DAPs instead. </w:t>
      </w:r>
      <w:r w:rsidR="00187951" w:rsidRPr="002C1E2B">
        <w:rPr>
          <w:rFonts w:ascii="Times New Roman" w:eastAsia="PMingLiU" w:hAnsi="Times New Roman"/>
          <w:lang w:eastAsia="zh-MO"/>
        </w:rPr>
        <w:t xml:space="preserve">The cap on aged care rule payments ensures that estimated exit entitlements based on what transpire to be overvaluations of units do not  result in residents needing to pay money back to the retirement village operator when units are sold, and moderates the financial impact on retirement village operators of having to pay </w:t>
      </w:r>
      <w:r w:rsidR="00187951" w:rsidRPr="002C1E2B">
        <w:rPr>
          <w:rFonts w:ascii="Times New Roman" w:eastAsia="PMingLiU" w:hAnsi="Times New Roman"/>
          <w:lang w:eastAsia="zh-MO"/>
        </w:rPr>
        <w:lastRenderedPageBreak/>
        <w:t>early exit entitlements. The cap has been set at 85 per cent following consultation with industry stakeholders and in reference to a similar cap proposed in South Australia.</w:t>
      </w:r>
      <w:r w:rsidR="00187951" w:rsidRPr="002C1E2B">
        <w:rPr>
          <w:rStyle w:val="FootnoteReference"/>
          <w:rFonts w:ascii="Times New Roman" w:eastAsia="PMingLiU" w:hAnsi="Times New Roman"/>
          <w:lang w:val="en-AU" w:eastAsia="zh-MO"/>
        </w:rPr>
        <w:footnoteReference w:id="39"/>
      </w:r>
    </w:p>
    <w:tbl>
      <w:tblPr>
        <w:tblStyle w:val="TableGrid"/>
        <w:tblW w:w="0" w:type="auto"/>
        <w:tblLook w:val="04A0" w:firstRow="1" w:lastRow="0" w:firstColumn="1" w:lastColumn="0" w:noHBand="0" w:noVBand="1"/>
      </w:tblPr>
      <w:tblGrid>
        <w:gridCol w:w="9017"/>
      </w:tblGrid>
      <w:tr w:rsidR="006A32E4" w:rsidRPr="002C1E2B" w14:paraId="3F36DFA6" w14:textId="77777777" w:rsidTr="00D57D67">
        <w:tc>
          <w:tcPr>
            <w:tcW w:w="9243" w:type="dxa"/>
            <w:shd w:val="clear" w:color="auto" w:fill="DBE5F1" w:themeFill="accent1" w:themeFillTint="33"/>
            <w:vAlign w:val="center"/>
          </w:tcPr>
          <w:p w14:paraId="49724110" w14:textId="77777777" w:rsidR="006A32E4" w:rsidRPr="002C1E2B" w:rsidRDefault="006A32E4" w:rsidP="009E0432">
            <w:pPr>
              <w:spacing w:before="120"/>
              <w:rPr>
                <w:rFonts w:eastAsia="PMingLiU"/>
                <w:highlight w:val="yellow"/>
                <w:lang w:eastAsia="zh-MO"/>
              </w:rPr>
            </w:pPr>
            <w:r w:rsidRPr="002C1E2B">
              <w:rPr>
                <w:rFonts w:eastAsia="PMingLiU"/>
                <w:lang w:eastAsia="zh-MO"/>
              </w:rPr>
              <w:t xml:space="preserve">Question: </w:t>
            </w:r>
            <w:r w:rsidR="009E0432" w:rsidRPr="002C1E2B">
              <w:rPr>
                <w:rFonts w:eastAsia="PMingLiU"/>
                <w:lang w:eastAsia="zh-MO"/>
              </w:rPr>
              <w:t xml:space="preserve">Is the proposed </w:t>
            </w:r>
            <w:r w:rsidRPr="002C1E2B">
              <w:rPr>
                <w:rFonts w:eastAsia="PMingLiU"/>
                <w:lang w:eastAsia="zh-MO"/>
              </w:rPr>
              <w:t xml:space="preserve">85 per cent cap on </w:t>
            </w:r>
            <w:r w:rsidR="009E0432" w:rsidRPr="002C1E2B">
              <w:rPr>
                <w:rFonts w:eastAsia="PMingLiU"/>
                <w:lang w:eastAsia="zh-MO"/>
              </w:rPr>
              <w:t>early</w:t>
            </w:r>
            <w:r w:rsidRPr="002C1E2B">
              <w:rPr>
                <w:rFonts w:eastAsia="PMingLiU"/>
                <w:lang w:eastAsia="zh-MO"/>
              </w:rPr>
              <w:t xml:space="preserve"> exit entitlements</w:t>
            </w:r>
            <w:r w:rsidR="009E0432" w:rsidRPr="002C1E2B">
              <w:rPr>
                <w:rFonts w:eastAsia="PMingLiU"/>
                <w:lang w:eastAsia="zh-MO"/>
              </w:rPr>
              <w:t xml:space="preserve"> appropriate</w:t>
            </w:r>
            <w:r w:rsidRPr="002C1E2B">
              <w:rPr>
                <w:rFonts w:eastAsia="PMingLiU"/>
                <w:lang w:eastAsia="zh-MO"/>
              </w:rPr>
              <w:t xml:space="preserve">? </w:t>
            </w:r>
            <w:r w:rsidR="009E0432" w:rsidRPr="002C1E2B">
              <w:rPr>
                <w:rFonts w:eastAsia="PMingLiU"/>
                <w:lang w:eastAsia="zh-MO"/>
              </w:rPr>
              <w:t>What alternative cap would you suggest and why</w:t>
            </w:r>
            <w:r w:rsidRPr="002C1E2B">
              <w:rPr>
                <w:rFonts w:eastAsia="PMingLiU"/>
                <w:lang w:eastAsia="zh-MO"/>
              </w:rPr>
              <w:t>?</w:t>
            </w:r>
          </w:p>
        </w:tc>
      </w:tr>
    </w:tbl>
    <w:p w14:paraId="372EBF2B" w14:textId="77777777" w:rsidR="00161689" w:rsidRPr="002C1E2B" w:rsidRDefault="00AA2D56" w:rsidP="00161689">
      <w:pPr>
        <w:pStyle w:val="BodyText"/>
        <w:rPr>
          <w:lang w:eastAsia="zh-MO"/>
        </w:rPr>
      </w:pPr>
      <w:r w:rsidRPr="002C1E2B">
        <w:rPr>
          <w:rFonts w:eastAsia="PMingLiU"/>
          <w:lang w:eastAsia="zh-MO"/>
        </w:rPr>
        <w:br/>
      </w:r>
      <w:r w:rsidR="00161689" w:rsidRPr="002C1E2B">
        <w:rPr>
          <w:lang w:eastAsia="zh-MO"/>
        </w:rPr>
        <w:t>The combined operation of the aged care rule and the six month rule in Option 2 is described in</w:t>
      </w:r>
      <w:r w:rsidR="0041115F" w:rsidRPr="002C1E2B">
        <w:rPr>
          <w:lang w:eastAsia="zh-MO"/>
        </w:rPr>
        <w:t xml:space="preserve"> </w:t>
      </w:r>
      <w:r w:rsidR="0041115F" w:rsidRPr="002C1E2B">
        <w:rPr>
          <w:lang w:eastAsia="zh-MO"/>
        </w:rPr>
        <w:fldChar w:fldCharType="begin"/>
      </w:r>
      <w:r w:rsidR="0041115F" w:rsidRPr="002C1E2B">
        <w:rPr>
          <w:lang w:eastAsia="zh-MO"/>
        </w:rPr>
        <w:instrText xml:space="preserve"> REF _Ref475609586 \h </w:instrText>
      </w:r>
      <w:r w:rsidR="0041115F" w:rsidRPr="002C1E2B">
        <w:rPr>
          <w:lang w:eastAsia="zh-MO"/>
        </w:rPr>
      </w:r>
      <w:r w:rsidR="0041115F" w:rsidRPr="002C1E2B">
        <w:rPr>
          <w:lang w:eastAsia="zh-MO"/>
        </w:rPr>
        <w:fldChar w:fldCharType="separate"/>
      </w:r>
      <w:r w:rsidR="00BE6CE4" w:rsidRPr="002C1E2B">
        <w:t xml:space="preserve">Figure </w:t>
      </w:r>
      <w:r w:rsidR="00BE6CE4">
        <w:rPr>
          <w:noProof/>
        </w:rPr>
        <w:t>4</w:t>
      </w:r>
      <w:r w:rsidR="00BE6CE4">
        <w:t>.</w:t>
      </w:r>
      <w:r w:rsidR="00BE6CE4">
        <w:rPr>
          <w:noProof/>
        </w:rPr>
        <w:t>2</w:t>
      </w:r>
      <w:r w:rsidR="0041115F" w:rsidRPr="002C1E2B">
        <w:rPr>
          <w:lang w:eastAsia="zh-MO"/>
        </w:rPr>
        <w:fldChar w:fldCharType="end"/>
      </w:r>
      <w:r w:rsidR="00161689" w:rsidRPr="002C1E2B">
        <w:rPr>
          <w:lang w:eastAsia="zh-MO"/>
        </w:rPr>
        <w:t>.</w:t>
      </w:r>
    </w:p>
    <w:p w14:paraId="1768A2A0" w14:textId="77777777" w:rsidR="00161689" w:rsidRPr="002C1E2B" w:rsidRDefault="005705AE" w:rsidP="008D2DD9">
      <w:pPr>
        <w:pStyle w:val="Caption"/>
        <w:spacing w:after="120"/>
        <w:rPr>
          <w:rFonts w:eastAsia="PMingLiU"/>
          <w:lang w:eastAsia="zh-MO"/>
        </w:rPr>
      </w:pPr>
      <w:bookmarkStart w:id="85" w:name="_Ref474424855"/>
      <w:bookmarkStart w:id="86" w:name="_Ref475609586"/>
      <w:r w:rsidRPr="002C1E2B">
        <w:t xml:space="preserve">Figure </w:t>
      </w:r>
      <w:r w:rsidR="00C11D17">
        <w:fldChar w:fldCharType="begin"/>
      </w:r>
      <w:r w:rsidR="00C11D17">
        <w:instrText xml:space="preserve"> STYLEREF 1 \s </w:instrText>
      </w:r>
      <w:r w:rsidR="00C11D17">
        <w:fldChar w:fldCharType="separate"/>
      </w:r>
      <w:r w:rsidR="00BE6CE4">
        <w:rPr>
          <w:noProof/>
        </w:rPr>
        <w:t>4</w:t>
      </w:r>
      <w:r w:rsidR="00C11D17">
        <w:fldChar w:fldCharType="end"/>
      </w:r>
      <w:r w:rsidR="00C11D17">
        <w:t>.</w:t>
      </w:r>
      <w:r w:rsidR="00C11D17">
        <w:fldChar w:fldCharType="begin"/>
      </w:r>
      <w:r w:rsidR="00C11D17">
        <w:instrText xml:space="preserve"> SEQ Figure \* ARABIC \s 1 </w:instrText>
      </w:r>
      <w:r w:rsidR="00C11D17">
        <w:fldChar w:fldCharType="separate"/>
      </w:r>
      <w:r w:rsidR="00BE6CE4">
        <w:rPr>
          <w:noProof/>
        </w:rPr>
        <w:t>2</w:t>
      </w:r>
      <w:r w:rsidR="00C11D17">
        <w:fldChar w:fldCharType="end"/>
      </w:r>
      <w:bookmarkEnd w:id="85"/>
      <w:bookmarkEnd w:id="86"/>
      <w:r w:rsidRPr="002C1E2B">
        <w:t xml:space="preserve"> </w:t>
      </w:r>
      <w:r w:rsidR="00161689" w:rsidRPr="002C1E2B">
        <w:rPr>
          <w:lang w:eastAsia="zh-MO"/>
        </w:rPr>
        <w:t xml:space="preserve">– The </w:t>
      </w:r>
      <w:r w:rsidR="00AC3672" w:rsidRPr="002C1E2B">
        <w:rPr>
          <w:lang w:eastAsia="zh-MO"/>
        </w:rPr>
        <w:t>aged care rule</w:t>
      </w:r>
      <w:r w:rsidR="00161689" w:rsidRPr="002C1E2B">
        <w:rPr>
          <w:lang w:eastAsia="zh-MO"/>
        </w:rPr>
        <w:t xml:space="preserve"> and the </w:t>
      </w:r>
      <w:r w:rsidR="00AC3672" w:rsidRPr="002C1E2B">
        <w:rPr>
          <w:lang w:eastAsia="zh-MO"/>
        </w:rPr>
        <w:t>six month rule</w:t>
      </w:r>
      <w:r w:rsidR="00161689" w:rsidRPr="002C1E2B">
        <w:rPr>
          <w:lang w:eastAsia="zh-MO"/>
        </w:rPr>
        <w:t xml:space="preserve"> exemption under Option 2</w:t>
      </w:r>
    </w:p>
    <w:p w14:paraId="24338AF9" w14:textId="77777777" w:rsidR="00161689" w:rsidRPr="002C1E2B" w:rsidRDefault="003D6E07" w:rsidP="002B7066">
      <w:pPr>
        <w:pStyle w:val="BodyText"/>
        <w:rPr>
          <w:lang w:eastAsia="zh-MO"/>
        </w:rPr>
      </w:pPr>
      <w:r w:rsidRPr="002C1E2B">
        <w:rPr>
          <w:noProof/>
          <w:lang w:eastAsia="en-AU"/>
        </w:rPr>
        <w:drawing>
          <wp:inline distT="0" distB="0" distL="0" distR="0" wp14:anchorId="4021752A" wp14:editId="5E98A652">
            <wp:extent cx="5732145" cy="3353013"/>
            <wp:effectExtent l="0" t="0" r="1905"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32145" cy="3353013"/>
                    </a:xfrm>
                    <a:prstGeom prst="rect">
                      <a:avLst/>
                    </a:prstGeom>
                    <a:noFill/>
                    <a:ln>
                      <a:noFill/>
                    </a:ln>
                  </pic:spPr>
                </pic:pic>
              </a:graphicData>
            </a:graphic>
          </wp:inline>
        </w:drawing>
      </w:r>
    </w:p>
    <w:p w14:paraId="68674ACC" w14:textId="77777777" w:rsidR="00161689" w:rsidRPr="002C1E2B" w:rsidRDefault="00161689" w:rsidP="00A815F0">
      <w:pPr>
        <w:pStyle w:val="Heading3"/>
      </w:pPr>
      <w:bookmarkStart w:id="87" w:name="_Toc472682181"/>
      <w:bookmarkStart w:id="88" w:name="_Toc472682182"/>
      <w:bookmarkStart w:id="89" w:name="_Toc472682183"/>
      <w:bookmarkStart w:id="90" w:name="_Toc472682184"/>
      <w:bookmarkStart w:id="91" w:name="_Toc472682185"/>
      <w:bookmarkStart w:id="92" w:name="_Toc472682186"/>
      <w:bookmarkStart w:id="93" w:name="_Toc472682187"/>
      <w:bookmarkStart w:id="94" w:name="_Toc472682188"/>
      <w:bookmarkStart w:id="95" w:name="_Toc472464510"/>
      <w:bookmarkStart w:id="96" w:name="_Toc472532336"/>
      <w:bookmarkStart w:id="97" w:name="_Toc472534850"/>
      <w:bookmarkStart w:id="98" w:name="_Toc472534900"/>
      <w:bookmarkStart w:id="99" w:name="_Toc472590663"/>
      <w:bookmarkStart w:id="100" w:name="_Toc472682189"/>
      <w:bookmarkStart w:id="101" w:name="_Toc472464511"/>
      <w:bookmarkStart w:id="102" w:name="_Toc472532337"/>
      <w:bookmarkStart w:id="103" w:name="_Toc472534851"/>
      <w:bookmarkStart w:id="104" w:name="_Toc472534901"/>
      <w:bookmarkStart w:id="105" w:name="_Toc472590664"/>
      <w:bookmarkStart w:id="106" w:name="_Toc472682190"/>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2C1E2B">
        <w:t xml:space="preserve">Option </w:t>
      </w:r>
      <w:r w:rsidRPr="002C1E2B">
        <w:rPr>
          <w:lang w:eastAsia="zh-MO"/>
        </w:rPr>
        <w:t xml:space="preserve">3 – DAP rule </w:t>
      </w:r>
    </w:p>
    <w:p w14:paraId="5DAD53DE" w14:textId="77777777" w:rsidR="00161689" w:rsidRPr="002C1E2B" w:rsidRDefault="00161689" w:rsidP="00161689">
      <w:pPr>
        <w:pStyle w:val="BodyText"/>
        <w:rPr>
          <w:lang w:eastAsia="zh-MO"/>
        </w:rPr>
      </w:pPr>
      <w:r w:rsidRPr="002C1E2B">
        <w:rPr>
          <w:rFonts w:eastAsia="PMingLiU"/>
          <w:lang w:eastAsia="zh-MO"/>
        </w:rPr>
        <w:t xml:space="preserve">Under Option 3, the Regulations are remade in their current form </w:t>
      </w:r>
      <w:r w:rsidR="002B7066" w:rsidRPr="002C1E2B">
        <w:rPr>
          <w:rFonts w:eastAsia="PMingLiU"/>
          <w:lang w:eastAsia="zh-MO"/>
        </w:rPr>
        <w:t xml:space="preserve">other than </w:t>
      </w:r>
      <w:r w:rsidRPr="002C1E2B">
        <w:rPr>
          <w:rFonts w:eastAsia="PMingLiU"/>
          <w:lang w:eastAsia="zh-MO"/>
        </w:rPr>
        <w:t xml:space="preserve">replacing the current aged care rule (r.6) </w:t>
      </w:r>
      <w:r w:rsidR="002B7066" w:rsidRPr="002C1E2B">
        <w:rPr>
          <w:rFonts w:eastAsia="PMingLiU"/>
          <w:lang w:eastAsia="zh-MO"/>
        </w:rPr>
        <w:t>with</w:t>
      </w:r>
      <w:r w:rsidRPr="002C1E2B">
        <w:rPr>
          <w:rFonts w:eastAsia="PMingLiU"/>
          <w:lang w:eastAsia="zh-MO"/>
        </w:rPr>
        <w:t xml:space="preserve"> a DAP rule for new and existing </w:t>
      </w:r>
      <w:r w:rsidR="00187951" w:rsidRPr="002C1E2B">
        <w:rPr>
          <w:rFonts w:eastAsia="PMingLiU"/>
          <w:lang w:eastAsia="zh-MO"/>
        </w:rPr>
        <w:t xml:space="preserve">non-owner </w:t>
      </w:r>
      <w:r w:rsidRPr="002C1E2B">
        <w:rPr>
          <w:rFonts w:eastAsia="PMingLiU"/>
          <w:lang w:eastAsia="zh-MO"/>
        </w:rPr>
        <w:t>residents who have entered retirement villages after 3</w:t>
      </w:r>
      <w:r w:rsidR="00E742FF" w:rsidRPr="002C1E2B">
        <w:rPr>
          <w:rFonts w:eastAsia="PMingLiU"/>
          <w:lang w:eastAsia="zh-MO"/>
        </w:rPr>
        <w:t>1</w:t>
      </w:r>
      <w:r w:rsidRPr="002C1E2B">
        <w:rPr>
          <w:rFonts w:eastAsia="PMingLiU"/>
          <w:lang w:eastAsia="zh-MO"/>
        </w:rPr>
        <w:t xml:space="preserve"> Ju</w:t>
      </w:r>
      <w:r w:rsidR="00E742FF" w:rsidRPr="002C1E2B">
        <w:rPr>
          <w:rFonts w:eastAsia="PMingLiU"/>
          <w:lang w:eastAsia="zh-MO"/>
        </w:rPr>
        <w:t>ly</w:t>
      </w:r>
      <w:r w:rsidRPr="002C1E2B">
        <w:rPr>
          <w:rFonts w:eastAsia="PMingLiU"/>
          <w:lang w:eastAsia="zh-MO"/>
        </w:rPr>
        <w:t xml:space="preserve"> 2006</w:t>
      </w:r>
      <w:r w:rsidR="00876788" w:rsidRPr="002C1E2B">
        <w:rPr>
          <w:rFonts w:eastAsia="PMingLiU"/>
          <w:lang w:eastAsia="zh-MO"/>
        </w:rPr>
        <w:t xml:space="preserve"> up to 85</w:t>
      </w:r>
      <w:r w:rsidR="0088222C" w:rsidRPr="002C1E2B">
        <w:rPr>
          <w:rFonts w:eastAsia="PMingLiU"/>
          <w:lang w:eastAsia="zh-MO"/>
        </w:rPr>
        <w:t xml:space="preserve"> per cent</w:t>
      </w:r>
      <w:r w:rsidR="00876788" w:rsidRPr="002C1E2B">
        <w:rPr>
          <w:rFonts w:eastAsia="PMingLiU"/>
          <w:lang w:eastAsia="zh-MO"/>
        </w:rPr>
        <w:t xml:space="preserve"> of the estimated exit entitlement</w:t>
      </w:r>
      <w:r w:rsidRPr="002C1E2B">
        <w:rPr>
          <w:rFonts w:eastAsia="PMingLiU"/>
          <w:lang w:eastAsia="zh-MO"/>
        </w:rPr>
        <w:t xml:space="preserve">. </w:t>
      </w:r>
    </w:p>
    <w:p w14:paraId="5D774ABB" w14:textId="77777777" w:rsidR="00161689" w:rsidRPr="002C1E2B" w:rsidRDefault="00161689" w:rsidP="00161689">
      <w:pPr>
        <w:pStyle w:val="HeadingU5"/>
      </w:pPr>
      <w:r w:rsidRPr="002C1E2B">
        <w:t>Aged care rule</w:t>
      </w:r>
    </w:p>
    <w:p w14:paraId="447AD507" w14:textId="77777777" w:rsidR="00161689" w:rsidRPr="002C1E2B" w:rsidRDefault="00161689" w:rsidP="00161689">
      <w:pPr>
        <w:pStyle w:val="BodyText"/>
        <w:rPr>
          <w:lang w:eastAsia="zh-MO"/>
        </w:rPr>
      </w:pPr>
      <w:r w:rsidRPr="002C1E2B">
        <w:rPr>
          <w:rFonts w:eastAsia="PMingLiU"/>
          <w:lang w:eastAsia="zh-MO"/>
        </w:rPr>
        <w:t>All residents moving to residential aged care who entered a retirement village after 3</w:t>
      </w:r>
      <w:r w:rsidR="00E742FF" w:rsidRPr="002C1E2B">
        <w:rPr>
          <w:rFonts w:eastAsia="PMingLiU"/>
          <w:lang w:eastAsia="zh-MO"/>
        </w:rPr>
        <w:t>1</w:t>
      </w:r>
      <w:r w:rsidR="00AA2D56" w:rsidRPr="002C1E2B">
        <w:rPr>
          <w:rFonts w:eastAsia="PMingLiU"/>
          <w:lang w:eastAsia="zh-MO"/>
        </w:rPr>
        <w:t> </w:t>
      </w:r>
      <w:r w:rsidRPr="002C1E2B">
        <w:rPr>
          <w:rFonts w:eastAsia="PMingLiU"/>
          <w:lang w:eastAsia="zh-MO"/>
        </w:rPr>
        <w:t>Ju</w:t>
      </w:r>
      <w:r w:rsidR="00E742FF" w:rsidRPr="002C1E2B">
        <w:rPr>
          <w:rFonts w:eastAsia="PMingLiU"/>
          <w:lang w:eastAsia="zh-MO"/>
        </w:rPr>
        <w:t>ly</w:t>
      </w:r>
      <w:r w:rsidR="00AA2D56" w:rsidRPr="002C1E2B">
        <w:rPr>
          <w:rFonts w:eastAsia="PMingLiU"/>
          <w:lang w:eastAsia="zh-MO"/>
        </w:rPr>
        <w:t> </w:t>
      </w:r>
      <w:r w:rsidRPr="002C1E2B">
        <w:rPr>
          <w:rFonts w:eastAsia="PMingLiU"/>
          <w:lang w:eastAsia="zh-MO"/>
        </w:rPr>
        <w:t xml:space="preserve">2006 would be able to require their RV operator to pay their aged care DAP and would receive their exit entitlement (less DAPs payments made by the operator) when the </w:t>
      </w:r>
      <w:r w:rsidRPr="002C1E2B">
        <w:rPr>
          <w:rFonts w:eastAsia="PMingLiU"/>
          <w:lang w:eastAsia="zh-MO"/>
        </w:rPr>
        <w:lastRenderedPageBreak/>
        <w:t>unit was sold. There would be no provision for existing residents to</w:t>
      </w:r>
      <w:r w:rsidR="002B7066" w:rsidRPr="002C1E2B">
        <w:rPr>
          <w:rFonts w:eastAsia="PMingLiU"/>
          <w:lang w:eastAsia="zh-MO"/>
        </w:rPr>
        <w:t xml:space="preserve"> have the choice of requiring</w:t>
      </w:r>
      <w:r w:rsidRPr="002C1E2B">
        <w:rPr>
          <w:rFonts w:eastAsia="PMingLiU"/>
          <w:lang w:eastAsia="zh-MO"/>
        </w:rPr>
        <w:t xml:space="preserve"> their RV operator to pay for their </w:t>
      </w:r>
      <w:r w:rsidR="002B7066" w:rsidRPr="002C1E2B">
        <w:rPr>
          <w:rFonts w:eastAsia="PMingLiU"/>
          <w:lang w:eastAsia="zh-MO"/>
        </w:rPr>
        <w:t>RAD</w:t>
      </w:r>
      <w:r w:rsidRPr="002C1E2B">
        <w:rPr>
          <w:rFonts w:eastAsia="PMingLiU"/>
          <w:lang w:eastAsia="zh-MO"/>
        </w:rPr>
        <w:t xml:space="preserve"> after six months. </w:t>
      </w:r>
    </w:p>
    <w:p w14:paraId="374B595E" w14:textId="77777777" w:rsidR="00161689" w:rsidRPr="002C1E2B" w:rsidRDefault="00161689" w:rsidP="00161689">
      <w:pPr>
        <w:pStyle w:val="BodyText"/>
        <w:rPr>
          <w:lang w:eastAsia="zh-MO"/>
        </w:rPr>
      </w:pPr>
      <w:r w:rsidRPr="002C1E2B">
        <w:rPr>
          <w:lang w:eastAsia="zh-MO"/>
        </w:rPr>
        <w:t>The combined operation of the six month rule and the aged care rule in Option 3 is described in</w:t>
      </w:r>
      <w:r w:rsidR="0041115F" w:rsidRPr="002C1E2B">
        <w:rPr>
          <w:lang w:eastAsia="zh-MO"/>
        </w:rPr>
        <w:t xml:space="preserve"> </w:t>
      </w:r>
      <w:r w:rsidR="0041115F" w:rsidRPr="002C1E2B">
        <w:rPr>
          <w:lang w:eastAsia="zh-MO"/>
        </w:rPr>
        <w:fldChar w:fldCharType="begin"/>
      </w:r>
      <w:r w:rsidR="0041115F" w:rsidRPr="002C1E2B">
        <w:rPr>
          <w:lang w:eastAsia="zh-MO"/>
        </w:rPr>
        <w:instrText xml:space="preserve"> REF _Ref475609595 \h </w:instrText>
      </w:r>
      <w:r w:rsidR="0041115F" w:rsidRPr="002C1E2B">
        <w:rPr>
          <w:lang w:eastAsia="zh-MO"/>
        </w:rPr>
      </w:r>
      <w:r w:rsidR="0041115F" w:rsidRPr="002C1E2B">
        <w:rPr>
          <w:lang w:eastAsia="zh-MO"/>
        </w:rPr>
        <w:fldChar w:fldCharType="separate"/>
      </w:r>
      <w:r w:rsidR="00BE6CE4" w:rsidRPr="002C1E2B">
        <w:t xml:space="preserve">Figure </w:t>
      </w:r>
      <w:r w:rsidR="00BE6CE4">
        <w:rPr>
          <w:noProof/>
        </w:rPr>
        <w:t>4</w:t>
      </w:r>
      <w:r w:rsidR="00BE6CE4">
        <w:t>.</w:t>
      </w:r>
      <w:r w:rsidR="00BE6CE4">
        <w:rPr>
          <w:noProof/>
        </w:rPr>
        <w:t>3</w:t>
      </w:r>
      <w:r w:rsidR="0041115F" w:rsidRPr="002C1E2B">
        <w:rPr>
          <w:lang w:eastAsia="zh-MO"/>
        </w:rPr>
        <w:fldChar w:fldCharType="end"/>
      </w:r>
      <w:r w:rsidRPr="002C1E2B">
        <w:rPr>
          <w:lang w:eastAsia="zh-MO"/>
        </w:rPr>
        <w:t>.</w:t>
      </w:r>
    </w:p>
    <w:p w14:paraId="60B02D3C" w14:textId="77777777" w:rsidR="00161689" w:rsidRPr="002C1E2B" w:rsidRDefault="005705AE" w:rsidP="008D2DD9">
      <w:pPr>
        <w:pStyle w:val="Caption"/>
        <w:spacing w:after="120"/>
        <w:rPr>
          <w:rFonts w:eastAsia="PMingLiU"/>
          <w:lang w:eastAsia="zh-MO"/>
        </w:rPr>
      </w:pPr>
      <w:bookmarkStart w:id="107" w:name="_Ref474424865"/>
      <w:bookmarkStart w:id="108" w:name="_Ref475609595"/>
      <w:r w:rsidRPr="002C1E2B">
        <w:t xml:space="preserve">Figure </w:t>
      </w:r>
      <w:r w:rsidR="00C11D17">
        <w:fldChar w:fldCharType="begin"/>
      </w:r>
      <w:r w:rsidR="00C11D17">
        <w:instrText xml:space="preserve"> STYLEREF 1 \s </w:instrText>
      </w:r>
      <w:r w:rsidR="00C11D17">
        <w:fldChar w:fldCharType="separate"/>
      </w:r>
      <w:r w:rsidR="00BE6CE4">
        <w:rPr>
          <w:noProof/>
        </w:rPr>
        <w:t>4</w:t>
      </w:r>
      <w:r w:rsidR="00C11D17">
        <w:fldChar w:fldCharType="end"/>
      </w:r>
      <w:r w:rsidR="00C11D17">
        <w:t>.</w:t>
      </w:r>
      <w:r w:rsidR="00C11D17">
        <w:fldChar w:fldCharType="begin"/>
      </w:r>
      <w:r w:rsidR="00C11D17">
        <w:instrText xml:space="preserve"> SEQ Figure \* ARABIC \s 1 </w:instrText>
      </w:r>
      <w:r w:rsidR="00C11D17">
        <w:fldChar w:fldCharType="separate"/>
      </w:r>
      <w:r w:rsidR="00BE6CE4">
        <w:rPr>
          <w:noProof/>
        </w:rPr>
        <w:t>3</w:t>
      </w:r>
      <w:r w:rsidR="00C11D17">
        <w:fldChar w:fldCharType="end"/>
      </w:r>
      <w:bookmarkEnd w:id="107"/>
      <w:bookmarkEnd w:id="108"/>
      <w:r w:rsidRPr="002C1E2B">
        <w:t xml:space="preserve"> </w:t>
      </w:r>
      <w:r w:rsidR="00161689" w:rsidRPr="002C1E2B">
        <w:rPr>
          <w:lang w:eastAsia="zh-MO"/>
        </w:rPr>
        <w:t xml:space="preserve">– The </w:t>
      </w:r>
      <w:r w:rsidR="00AC3672" w:rsidRPr="002C1E2B">
        <w:rPr>
          <w:lang w:eastAsia="zh-MO"/>
        </w:rPr>
        <w:t>aged care rule</w:t>
      </w:r>
      <w:r w:rsidR="00161689" w:rsidRPr="002C1E2B">
        <w:rPr>
          <w:lang w:eastAsia="zh-MO"/>
        </w:rPr>
        <w:t xml:space="preserve"> and the </w:t>
      </w:r>
      <w:r w:rsidR="00AC3672" w:rsidRPr="002C1E2B">
        <w:rPr>
          <w:lang w:eastAsia="zh-MO"/>
        </w:rPr>
        <w:t>six month rule</w:t>
      </w:r>
      <w:r w:rsidR="00161689" w:rsidRPr="002C1E2B">
        <w:rPr>
          <w:lang w:eastAsia="zh-MO"/>
        </w:rPr>
        <w:t xml:space="preserve"> exemption under Option 3</w:t>
      </w:r>
    </w:p>
    <w:p w14:paraId="61C43894" w14:textId="77777777" w:rsidR="006C232F" w:rsidRPr="002C1E2B" w:rsidRDefault="003D6E07" w:rsidP="003E5AFE">
      <w:pPr>
        <w:pStyle w:val="BodyText"/>
        <w:rPr>
          <w:lang w:eastAsia="zh-MO"/>
        </w:rPr>
        <w:sectPr w:rsidR="006C232F" w:rsidRPr="002C1E2B" w:rsidSect="00BA3495">
          <w:pgSz w:w="11907" w:h="16839" w:code="1"/>
          <w:pgMar w:top="1915" w:right="1440" w:bottom="1440" w:left="1440" w:header="835" w:footer="202" w:gutter="0"/>
          <w:cols w:space="708"/>
          <w:docGrid w:linePitch="360"/>
        </w:sectPr>
      </w:pPr>
      <w:r w:rsidRPr="002C1E2B">
        <w:rPr>
          <w:noProof/>
          <w:lang w:eastAsia="en-AU"/>
        </w:rPr>
        <w:drawing>
          <wp:inline distT="0" distB="0" distL="0" distR="0" wp14:anchorId="21317E5E" wp14:editId="02C9A92E">
            <wp:extent cx="5732145" cy="3353013"/>
            <wp:effectExtent l="0" t="0" r="1905" b="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32145" cy="3353013"/>
                    </a:xfrm>
                    <a:prstGeom prst="rect">
                      <a:avLst/>
                    </a:prstGeom>
                    <a:noFill/>
                    <a:ln>
                      <a:noFill/>
                    </a:ln>
                  </pic:spPr>
                </pic:pic>
              </a:graphicData>
            </a:graphic>
          </wp:inline>
        </w:drawing>
      </w:r>
      <w:r w:rsidR="0041115F" w:rsidRPr="002C1E2B" w:rsidDel="0041115F">
        <w:t xml:space="preserve"> </w:t>
      </w:r>
      <w:r w:rsidR="007C7761" w:rsidRPr="002C1E2B">
        <w:br/>
      </w:r>
    </w:p>
    <w:p w14:paraId="3FBB612E" w14:textId="77777777" w:rsidR="00D8095A" w:rsidRPr="002C1E2B" w:rsidRDefault="00D8095A" w:rsidP="00D8095A">
      <w:pPr>
        <w:pStyle w:val="Heading1"/>
      </w:pPr>
      <w:bookmarkStart w:id="109" w:name="_Toc472464513"/>
      <w:bookmarkStart w:id="110" w:name="_Toc472532339"/>
      <w:bookmarkStart w:id="111" w:name="_Toc472534853"/>
      <w:bookmarkStart w:id="112" w:name="_Toc472534903"/>
      <w:bookmarkStart w:id="113" w:name="_Toc472590666"/>
      <w:bookmarkStart w:id="114" w:name="_Toc472682192"/>
      <w:bookmarkStart w:id="115" w:name="_Toc474301066"/>
      <w:bookmarkStart w:id="116" w:name="_Toc476739272"/>
      <w:bookmarkStart w:id="117" w:name="_Toc476585826"/>
      <w:bookmarkEnd w:id="109"/>
      <w:bookmarkEnd w:id="110"/>
      <w:bookmarkEnd w:id="111"/>
      <w:bookmarkEnd w:id="112"/>
      <w:bookmarkEnd w:id="113"/>
      <w:bookmarkEnd w:id="114"/>
      <w:r w:rsidRPr="002C1E2B">
        <w:lastRenderedPageBreak/>
        <w:t>Options analysis</w:t>
      </w:r>
      <w:bookmarkEnd w:id="115"/>
      <w:bookmarkEnd w:id="116"/>
      <w:bookmarkEnd w:id="117"/>
    </w:p>
    <w:p w14:paraId="128BEC45" w14:textId="77777777" w:rsidR="00D44DCC" w:rsidRPr="002C1E2B" w:rsidRDefault="00D44DCC" w:rsidP="00D44DCC">
      <w:pPr>
        <w:pStyle w:val="BodyText"/>
        <w:rPr>
          <w:i/>
        </w:rPr>
      </w:pPr>
      <w:r w:rsidRPr="002C1E2B">
        <w:rPr>
          <w:i/>
        </w:rPr>
        <w:t>This section details the framework for assessing the options identified in Chapter 4 and then sets outs the results of the options analysis.</w:t>
      </w:r>
    </w:p>
    <w:p w14:paraId="1CF3BC48" w14:textId="77777777" w:rsidR="00D44DCC" w:rsidRPr="002C1E2B" w:rsidRDefault="00D44DCC" w:rsidP="00D44DCC">
      <w:pPr>
        <w:pStyle w:val="Heading2"/>
      </w:pPr>
      <w:bookmarkStart w:id="118" w:name="_Toc476572163"/>
      <w:bookmarkStart w:id="119" w:name="_Toc476739273"/>
      <w:bookmarkStart w:id="120" w:name="_Toc476585827"/>
      <w:r w:rsidRPr="002C1E2B">
        <w:t>Assessment framework</w:t>
      </w:r>
      <w:bookmarkEnd w:id="118"/>
      <w:bookmarkEnd w:id="119"/>
      <w:bookmarkEnd w:id="120"/>
    </w:p>
    <w:p w14:paraId="4D8AC5E3" w14:textId="77777777" w:rsidR="00D44DCC" w:rsidRPr="002C1E2B" w:rsidRDefault="00D44DCC" w:rsidP="00D44DCC">
      <w:pPr>
        <w:pStyle w:val="BodyText"/>
        <w:rPr>
          <w:rStyle w:val="field-content"/>
        </w:rPr>
      </w:pPr>
      <w:r w:rsidRPr="002C1E2B">
        <w:t xml:space="preserve">The default decision tool for a RIS is a Cost Benefit Analysis (CBA). </w:t>
      </w:r>
      <w:r w:rsidRPr="002C1E2B">
        <w:rPr>
          <w:rStyle w:val="field-content"/>
        </w:rPr>
        <w:t xml:space="preserve">A CBA involves a systematic evaluation of the impacts of a regulatory proposal, accounting for all the effects on the community and economy, not just the immediate or direct effects, financial effects or effects on one group. It emphasises, to the extent possible, valuing the gains and losses from a regulatory proposal in monetary terms. Usually a CBA would be used to determine the preferred option, which is the option calculated to have the greatest net benefit to society. </w:t>
      </w:r>
    </w:p>
    <w:p w14:paraId="5FD663FD" w14:textId="77777777" w:rsidR="00D44DCC" w:rsidRPr="002C1E2B" w:rsidRDefault="00D44DCC" w:rsidP="00D44DCC">
      <w:pPr>
        <w:pStyle w:val="BodyText"/>
        <w:rPr>
          <w:rStyle w:val="field-content"/>
        </w:rPr>
      </w:pPr>
      <w:r w:rsidRPr="002C1E2B">
        <w:rPr>
          <w:rStyle w:val="field-content"/>
        </w:rPr>
        <w:t>The key quantifiable impacts of the options for the Regulations relate mainly to financial transfers between village operators and residents. These result in significant differences in outcomes for the groups involved, but overall the net benefits of the options to society are very similar.</w:t>
      </w:r>
      <w:r w:rsidRPr="002C1E2B">
        <w:rPr>
          <w:rStyle w:val="FootnoteReference"/>
          <w:lang w:val="en-AU"/>
        </w:rPr>
        <w:footnoteReference w:id="40"/>
      </w:r>
      <w:r w:rsidRPr="002C1E2B">
        <w:rPr>
          <w:rStyle w:val="field-content"/>
        </w:rPr>
        <w:t xml:space="preserve"> There are also other aspects of the Regulations which are not </w:t>
      </w:r>
      <w:r w:rsidRPr="002C1E2B">
        <w:t xml:space="preserve">readily quantifiable – such as the impact on resident’s health and wellbeing as a result of disputes with village operators or delays in their entry to aged care. </w:t>
      </w:r>
      <w:r w:rsidRPr="002C1E2B">
        <w:rPr>
          <w:rStyle w:val="field-content"/>
        </w:rPr>
        <w:t xml:space="preserve">This means a CBA is less appropriate as a tool to assess the options. </w:t>
      </w:r>
    </w:p>
    <w:p w14:paraId="3EC6C889" w14:textId="77777777" w:rsidR="00D44DCC" w:rsidRPr="002C1E2B" w:rsidRDefault="00D44DCC" w:rsidP="00D44DCC">
      <w:pPr>
        <w:pStyle w:val="BodyText"/>
        <w:rPr>
          <w:rFonts w:eastAsia="PMingLiU"/>
          <w:lang w:eastAsia="zh-MO"/>
        </w:rPr>
      </w:pPr>
      <w:r w:rsidRPr="002C1E2B">
        <w:rPr>
          <w:rStyle w:val="field-content"/>
        </w:rPr>
        <w:t>In addition,</w:t>
      </w:r>
      <w:r w:rsidRPr="002C1E2B">
        <w:rPr>
          <w:lang w:eastAsia="zh-MO"/>
        </w:rPr>
        <w:t xml:space="preserve"> because no feasible alternative options have been identified by stakeholders </w:t>
      </w:r>
      <w:r w:rsidR="00992175">
        <w:rPr>
          <w:lang w:eastAsia="zh-MO"/>
        </w:rPr>
        <w:t xml:space="preserve">or by CAV </w:t>
      </w:r>
      <w:r w:rsidRPr="002C1E2B">
        <w:rPr>
          <w:lang w:eastAsia="zh-MO"/>
        </w:rPr>
        <w:t>for the calculation of the exemption to the six month rule (r.5), estimated exit entitlements (r.7-8), and requirements around contract layout and content (r.8B-8H). As such, the options analysis in this RIS focuses on the impacts of the alternate approaches to the aged care rule.</w:t>
      </w:r>
    </w:p>
    <w:p w14:paraId="6B0811A0" w14:textId="77777777" w:rsidR="00D44DCC" w:rsidRPr="002C1E2B" w:rsidRDefault="00D44DCC" w:rsidP="00D44DCC">
      <w:pPr>
        <w:pStyle w:val="BodyText"/>
      </w:pPr>
      <w:r w:rsidRPr="002C1E2B">
        <w:t>Hence the options analysis is conducted in two components:</w:t>
      </w:r>
    </w:p>
    <w:p w14:paraId="2F990982" w14:textId="77777777" w:rsidR="00D44DCC" w:rsidRPr="002C1E2B" w:rsidRDefault="00D44DCC" w:rsidP="00D44DCC">
      <w:pPr>
        <w:pStyle w:val="ListBullet"/>
      </w:pPr>
      <w:r w:rsidRPr="002C1E2B">
        <w:t xml:space="preserve">The first component assesses the impacts of Regulations 5, 7 and 8 compared to the base case. As discussed in Chapter 4, no feasible alternative to the status quo has been identified to address the issues around the calculation of estimated exit entitlements, the six month rule exemption and contractual requirements. A qualitative assessment of the impacts and an estimate of the compliance costs of these Regulations are provided. </w:t>
      </w:r>
    </w:p>
    <w:p w14:paraId="1D0E86BD" w14:textId="77777777" w:rsidR="00D44DCC" w:rsidRPr="002C1E2B" w:rsidRDefault="00D44DCC" w:rsidP="00D44DCC">
      <w:pPr>
        <w:pStyle w:val="ListBullet"/>
        <w:spacing w:after="240"/>
        <w:ind w:left="357" w:hanging="357"/>
      </w:pPr>
      <w:r w:rsidRPr="002C1E2B">
        <w:t>The second component involves an assessment of the alternate options for the aged care rule (Regulation 6). The analysis includes an assessment of the financial impacts to retirement village residents and operators and a qualitative analysis using a Multi-Criteria Analysis (MCA) of the non-financial impacts of these options.</w:t>
      </w:r>
    </w:p>
    <w:p w14:paraId="5153B137" w14:textId="77777777" w:rsidR="00D44DCC" w:rsidRPr="002C1E2B" w:rsidRDefault="00D44DCC" w:rsidP="00D44DCC">
      <w:pPr>
        <w:pStyle w:val="Heading2"/>
      </w:pPr>
      <w:bookmarkStart w:id="121" w:name="_Toc476572164"/>
      <w:bookmarkStart w:id="122" w:name="_Toc476739274"/>
      <w:bookmarkStart w:id="123" w:name="_Toc476585828"/>
      <w:r w:rsidRPr="002C1E2B">
        <w:t>Analysis</w:t>
      </w:r>
      <w:bookmarkEnd w:id="121"/>
      <w:r w:rsidRPr="002C1E2B">
        <w:t xml:space="preserve"> of common provisions</w:t>
      </w:r>
      <w:bookmarkEnd w:id="122"/>
      <w:bookmarkEnd w:id="123"/>
      <w:r w:rsidRPr="002C1E2B">
        <w:t xml:space="preserve"> </w:t>
      </w:r>
    </w:p>
    <w:p w14:paraId="12C2596F" w14:textId="77777777" w:rsidR="00D44DCC" w:rsidRPr="002C1E2B" w:rsidRDefault="00D44DCC" w:rsidP="00D44DCC">
      <w:pPr>
        <w:pStyle w:val="BodyText"/>
      </w:pPr>
      <w:r w:rsidRPr="002C1E2B">
        <w:t xml:space="preserve">As discussed above, each of the proposed options includes: </w:t>
      </w:r>
    </w:p>
    <w:p w14:paraId="44EDB19E" w14:textId="77777777" w:rsidR="00D44DCC" w:rsidRPr="002C1E2B" w:rsidRDefault="00D44DCC" w:rsidP="00D44DCC">
      <w:pPr>
        <w:pStyle w:val="ListBullet"/>
      </w:pPr>
      <w:r w:rsidRPr="002C1E2B">
        <w:lastRenderedPageBreak/>
        <w:t>The six month rule exemption;</w:t>
      </w:r>
    </w:p>
    <w:p w14:paraId="6DC3E060" w14:textId="77777777" w:rsidR="00D44DCC" w:rsidRPr="002C1E2B" w:rsidRDefault="007104B4" w:rsidP="00D44DCC">
      <w:pPr>
        <w:pStyle w:val="ListBullet"/>
      </w:pPr>
      <w:r>
        <w:t>The c</w:t>
      </w:r>
      <w:r w:rsidR="00D44DCC" w:rsidRPr="002C1E2B">
        <w:t>alculation of in-going contribution refunds before units are sold; and</w:t>
      </w:r>
    </w:p>
    <w:p w14:paraId="0E83A4E2" w14:textId="77777777" w:rsidR="00D44DCC" w:rsidRPr="002C1E2B" w:rsidRDefault="007104B4" w:rsidP="00D44DCC">
      <w:pPr>
        <w:pStyle w:val="ListBullet"/>
        <w:spacing w:after="240"/>
        <w:ind w:left="357" w:hanging="357"/>
      </w:pPr>
      <w:r>
        <w:t>The e</w:t>
      </w:r>
      <w:r w:rsidR="00D44DCC" w:rsidRPr="002C1E2B">
        <w:t>stablish</w:t>
      </w:r>
      <w:r>
        <w:t>ment of</w:t>
      </w:r>
      <w:r w:rsidR="00D44DCC" w:rsidRPr="002C1E2B">
        <w:t xml:space="preserve"> minimum contractual requirements.</w:t>
      </w:r>
    </w:p>
    <w:p w14:paraId="6B593C0E" w14:textId="77777777" w:rsidR="00D44DCC" w:rsidRPr="002C1E2B" w:rsidRDefault="00D44DCC" w:rsidP="00D44DCC">
      <w:pPr>
        <w:pStyle w:val="BodyText"/>
        <w:rPr>
          <w:b/>
          <w:i/>
        </w:rPr>
      </w:pPr>
      <w:r w:rsidRPr="002C1E2B">
        <w:rPr>
          <w:b/>
          <w:i/>
        </w:rPr>
        <w:t>Six month rule exemption</w:t>
      </w:r>
    </w:p>
    <w:p w14:paraId="5961C9A3" w14:textId="77777777" w:rsidR="00D44DCC" w:rsidRPr="002C1E2B" w:rsidRDefault="00D44DCC" w:rsidP="00D44DCC">
      <w:pPr>
        <w:pStyle w:val="BodyText"/>
      </w:pPr>
      <w:r w:rsidRPr="002C1E2B">
        <w:t xml:space="preserve">Under each of the proposed options, the six month rule exemption would remain. The six month rule exemption provides for a trade-off for residents between having access to an early exit entitlement and having greater control over certain aspects of the sale of their unit. </w:t>
      </w:r>
    </w:p>
    <w:p w14:paraId="17816947" w14:textId="77777777" w:rsidR="00772D53" w:rsidRPr="002C1E2B" w:rsidRDefault="00D44DCC" w:rsidP="00D44DCC">
      <w:pPr>
        <w:pStyle w:val="BodyText"/>
      </w:pPr>
      <w:r w:rsidRPr="002C1E2B">
        <w:t xml:space="preserve">Compared to the base case, the options ensure that the application of the six month rule is not too onerous for retirement village operators, and hence ensures the ongoing viability of the sector. </w:t>
      </w:r>
    </w:p>
    <w:p w14:paraId="5AB09452" w14:textId="77777777" w:rsidR="00D44DCC" w:rsidRPr="002C1E2B" w:rsidRDefault="003D4A5F" w:rsidP="00D44DCC">
      <w:pPr>
        <w:pStyle w:val="BodyText"/>
        <w:rPr>
          <w:b/>
          <w:i/>
        </w:rPr>
      </w:pPr>
      <w:r>
        <w:rPr>
          <w:b/>
          <w:i/>
        </w:rPr>
        <w:t>Calculation of in-going contribution refunds</w:t>
      </w:r>
    </w:p>
    <w:p w14:paraId="4336EB3A" w14:textId="09851D5A" w:rsidR="0075689E" w:rsidRDefault="00D44DCC" w:rsidP="00D44DCC">
      <w:pPr>
        <w:pStyle w:val="BodyText"/>
      </w:pPr>
      <w:r w:rsidRPr="002C1E2B">
        <w:t>Under each of the proposed options, the regulatory controls on current contracts would remain and benefit non-owner residents by improving clarity relative to the base case in the calculation of early exit entitlements and as such, will reduce the likelihood of consumers suffering some form of financial or other detriment due to a lack of understanding of the consequence of their contracts with retirement village operators.</w:t>
      </w:r>
    </w:p>
    <w:p w14:paraId="2CEAD6F4" w14:textId="77777777" w:rsidR="00D44DCC" w:rsidRDefault="0075689E" w:rsidP="00D44DCC">
      <w:pPr>
        <w:pStyle w:val="BodyText"/>
      </w:pPr>
      <w:r>
        <w:t>Under the proposed options, calculations of market value-based early exit entitlements will be based on an independent valuation. There is a cost associated with undertaking an independent valuation, which stakeholders have indicated is approximately $600 per assessment. Under each option, there would be approximately 2,400 residents eligible for aged care payment</w:t>
      </w:r>
      <w:r w:rsidR="00263234">
        <w:t>s</w:t>
      </w:r>
      <w:r>
        <w:t xml:space="preserve"> on average each year over the 20 year period of analysis. If all of these residents applied for aged care payments and all of these residents had market value-based exit entitlements</w:t>
      </w:r>
      <w:r>
        <w:rPr>
          <w:rStyle w:val="FootnoteReference"/>
        </w:rPr>
        <w:footnoteReference w:id="41"/>
      </w:r>
      <w:r>
        <w:t xml:space="preserve"> the total cost would be approximately $1.4 million per annum. However, under the base case </w:t>
      </w:r>
      <w:r w:rsidR="000F44C5">
        <w:t>a valuation</w:t>
      </w:r>
      <w:r>
        <w:t xml:space="preserve"> of the property would likely occur anyway (as part of the normal sales process)</w:t>
      </w:r>
      <w:r w:rsidR="000F44C5">
        <w:t xml:space="preserve"> and the cost of which incorporated into real estate agent fees or other exit charges. The regulatory burden of undertaking an independent valuation relative to the base case is therefore assumed to be very low.</w:t>
      </w:r>
    </w:p>
    <w:p w14:paraId="48452209" w14:textId="77777777" w:rsidR="003D4A5F" w:rsidRPr="002C1E2B" w:rsidRDefault="003D4A5F" w:rsidP="00D44DCC">
      <w:pPr>
        <w:pStyle w:val="BodyText"/>
      </w:pPr>
      <w:r>
        <w:rPr>
          <w:b/>
          <w:i/>
        </w:rPr>
        <w:t>Other contractual controls</w:t>
      </w:r>
    </w:p>
    <w:p w14:paraId="1F37937B" w14:textId="77777777" w:rsidR="00D44DCC" w:rsidRPr="002C1E2B" w:rsidRDefault="00D44DCC" w:rsidP="00D44DCC">
      <w:pPr>
        <w:pStyle w:val="BodyText"/>
      </w:pPr>
      <w:r w:rsidRPr="002C1E2B">
        <w:t xml:space="preserve">Compared to the base case, there may be some compliance costs associated with maintaining contractual controls. An analysis of costs and benefits of the contractual controls was undertaken in the 2013 RIS for Retirement Village Contract Disclosure and Contract Regulations. This analysis estimated there would be additional compliance costs of approximately $6 million across the sector over ten years (approximately $14,000 per village). Of this, roughly $1.35 million are associated with implementing contract standardisation requirements for retirement village contracts as required under the Regulations. It was estimated that about half of these costs would be incurred up-front, </w:t>
      </w:r>
      <w:r w:rsidRPr="002C1E2B">
        <w:lastRenderedPageBreak/>
        <w:t xml:space="preserve">updating contracts. The ongoing compliance costs for complying with information disclosure and contractual requirements were estimated to be quite low, at $337 per village per year or approximately $135,000 per annum on the retirement village sector. </w:t>
      </w:r>
    </w:p>
    <w:p w14:paraId="322191DA" w14:textId="77777777" w:rsidR="00D44DCC" w:rsidRDefault="00D44DCC" w:rsidP="00D44DCC">
      <w:pPr>
        <w:pStyle w:val="BodyText"/>
      </w:pPr>
      <w:r w:rsidRPr="002C1E2B">
        <w:t xml:space="preserve">Given this analysis, it is estimated that by remaking the Regulations related to contractual requirements, there will be an ongoing $135,000 compliance cost per annum to the sector.    </w:t>
      </w:r>
    </w:p>
    <w:tbl>
      <w:tblPr>
        <w:tblW w:w="0" w:type="auto"/>
        <w:tblCellMar>
          <w:left w:w="0" w:type="dxa"/>
          <w:right w:w="0" w:type="dxa"/>
        </w:tblCellMar>
        <w:tblLook w:val="04A0" w:firstRow="1" w:lastRow="0" w:firstColumn="1" w:lastColumn="0" w:noHBand="0" w:noVBand="1"/>
      </w:tblPr>
      <w:tblGrid>
        <w:gridCol w:w="9007"/>
      </w:tblGrid>
      <w:tr w:rsidR="00772D53" w:rsidRPr="00772D53" w14:paraId="0EEB7E63" w14:textId="77777777" w:rsidTr="00772D53">
        <w:tc>
          <w:tcPr>
            <w:tcW w:w="9243" w:type="dxa"/>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vAlign w:val="center"/>
            <w:hideMark/>
          </w:tcPr>
          <w:p w14:paraId="4CE52C90" w14:textId="77777777" w:rsidR="00772D53" w:rsidRPr="00772D53" w:rsidRDefault="00772D53">
            <w:pPr>
              <w:spacing w:before="120"/>
              <w:rPr>
                <w:rFonts w:ascii="Times New Roman" w:eastAsia="Calibri" w:hAnsi="Times New Roman" w:cs="Times New Roman"/>
                <w:highlight w:val="yellow"/>
                <w:lang w:val="en-US" w:eastAsia="zh-MO"/>
              </w:rPr>
            </w:pPr>
            <w:r w:rsidRPr="00263234">
              <w:rPr>
                <w:rFonts w:ascii="Times New Roman" w:eastAsia="Calibri" w:hAnsi="Times New Roman" w:cs="Times New Roman"/>
                <w:szCs w:val="20"/>
                <w:lang w:val="en-US" w:eastAsia="zh-MO"/>
              </w:rPr>
              <w:t xml:space="preserve">Question: Are there any other substantial costs of compliance related to the six month rule exemption, the calculation of early exit entitlements and </w:t>
            </w:r>
            <w:r>
              <w:rPr>
                <w:rFonts w:ascii="Times New Roman" w:eastAsia="Calibri" w:hAnsi="Times New Roman" w:cs="Times New Roman"/>
                <w:szCs w:val="20"/>
                <w:lang w:val="en-US" w:eastAsia="zh-MO"/>
              </w:rPr>
              <w:t xml:space="preserve">the </w:t>
            </w:r>
            <w:r w:rsidRPr="00263234">
              <w:rPr>
                <w:rFonts w:ascii="Times New Roman" w:eastAsia="Calibri" w:hAnsi="Times New Roman" w:cs="Times New Roman"/>
                <w:szCs w:val="20"/>
                <w:lang w:val="en-US" w:eastAsia="zh-MO"/>
              </w:rPr>
              <w:t xml:space="preserve">other contractual </w:t>
            </w:r>
            <w:r>
              <w:rPr>
                <w:rFonts w:ascii="Times New Roman" w:eastAsia="Calibri" w:hAnsi="Times New Roman" w:cs="Times New Roman"/>
                <w:szCs w:val="20"/>
                <w:lang w:val="en-US" w:eastAsia="zh-MO"/>
              </w:rPr>
              <w:t>controls described above</w:t>
            </w:r>
            <w:r w:rsidRPr="00263234">
              <w:rPr>
                <w:rFonts w:ascii="Times New Roman" w:eastAsia="Calibri" w:hAnsi="Times New Roman" w:cs="Times New Roman"/>
                <w:szCs w:val="20"/>
                <w:lang w:val="en-US" w:eastAsia="zh-MO"/>
              </w:rPr>
              <w:t>?</w:t>
            </w:r>
          </w:p>
        </w:tc>
      </w:tr>
    </w:tbl>
    <w:p w14:paraId="7B5C48EB" w14:textId="77777777" w:rsidR="00772D53" w:rsidRPr="00772D53" w:rsidRDefault="00772D53" w:rsidP="00772D53">
      <w:pPr>
        <w:spacing w:after="0"/>
        <w:rPr>
          <w:rFonts w:ascii="Calibri" w:eastAsia="Calibri" w:hAnsi="Calibri" w:cs="Times New Roman"/>
          <w:sz w:val="22"/>
          <w:szCs w:val="22"/>
          <w:lang w:eastAsia="en-US"/>
        </w:rPr>
      </w:pPr>
    </w:p>
    <w:p w14:paraId="1E665EFA" w14:textId="77777777" w:rsidR="00D44DCC" w:rsidRPr="002C1E2B" w:rsidRDefault="00D44DCC" w:rsidP="00D44DCC">
      <w:pPr>
        <w:pStyle w:val="Heading2"/>
      </w:pPr>
      <w:bookmarkStart w:id="124" w:name="_Toc476572165"/>
      <w:bookmarkStart w:id="125" w:name="_Toc476739275"/>
      <w:bookmarkStart w:id="126" w:name="_Toc476585829"/>
      <w:r w:rsidRPr="002C1E2B">
        <w:t>Financial analysis of the options for the aged care rule</w:t>
      </w:r>
      <w:bookmarkEnd w:id="124"/>
      <w:bookmarkEnd w:id="125"/>
      <w:bookmarkEnd w:id="126"/>
    </w:p>
    <w:p w14:paraId="58565D2F" w14:textId="77777777" w:rsidR="00D44DCC" w:rsidRPr="002C1E2B" w:rsidRDefault="00D44DCC" w:rsidP="00D44DCC">
      <w:pPr>
        <w:pStyle w:val="BodyText"/>
      </w:pPr>
      <w:r w:rsidRPr="002C1E2B">
        <w:t xml:space="preserve">The options considered for regulating the return of residents’ exit entitlements and the payment of their aged care costs place different responsibilities for certain costs on retirement village operators and residents. They also affect the amount and timing of these costs. </w:t>
      </w:r>
    </w:p>
    <w:p w14:paraId="0441AF0B" w14:textId="77777777" w:rsidR="00D44DCC" w:rsidRPr="002C1E2B" w:rsidRDefault="00D44DCC" w:rsidP="00D44DCC">
      <w:pPr>
        <w:pStyle w:val="BodyText"/>
      </w:pPr>
      <w:r w:rsidRPr="002C1E2B">
        <w:t>Typically, a 10 year timeframe is required for conducting analysis in a RIS. However, due to the lagged nature of the operation of the aged care rule and the six month rule, changes to the Regulations may not have any meaningful impact until at least 2027. As such the analysis is conducted over a 20 year time period to capture the full extent impact of the options and the financial impacts detailed in the tables are yearly averages over the 20 year period.</w:t>
      </w:r>
    </w:p>
    <w:p w14:paraId="66E4D9BD" w14:textId="77777777" w:rsidR="00D44DCC" w:rsidRPr="002C1E2B" w:rsidRDefault="00D44DCC" w:rsidP="00D44DCC">
      <w:pPr>
        <w:pStyle w:val="BodyText"/>
      </w:pPr>
      <w:r w:rsidRPr="002C1E2B">
        <w:t xml:space="preserve">The assumptions underpinning the financial analysis are detailed in Appendix </w:t>
      </w:r>
      <w:r w:rsidR="008C7486" w:rsidRPr="002C1E2B">
        <w:t>D</w:t>
      </w:r>
      <w:r w:rsidRPr="002C1E2B">
        <w:t xml:space="preserve"> and the yearly financial impacts over the 20 year time period are presented graphically in Appendix </w:t>
      </w:r>
      <w:r w:rsidR="008C7486" w:rsidRPr="002C1E2B">
        <w:t>E</w:t>
      </w:r>
      <w:r w:rsidRPr="002C1E2B">
        <w:t xml:space="preserve">. </w:t>
      </w:r>
    </w:p>
    <w:p w14:paraId="74820FF5" w14:textId="77777777" w:rsidR="00D44DCC" w:rsidRPr="002C1E2B" w:rsidRDefault="00D44DCC" w:rsidP="00D44DCC">
      <w:pPr>
        <w:pStyle w:val="Heading3"/>
      </w:pPr>
      <w:r w:rsidRPr="002C1E2B">
        <w:t>Base case</w:t>
      </w:r>
    </w:p>
    <w:p w14:paraId="3CAB2436" w14:textId="77777777" w:rsidR="00D44DCC" w:rsidRPr="002C1E2B" w:rsidRDefault="00D44DCC" w:rsidP="00D44DCC">
      <w:pPr>
        <w:pStyle w:val="BodyText"/>
        <w:spacing w:after="120"/>
      </w:pPr>
      <w:r w:rsidRPr="002C1E2B">
        <w:t>Under the base case, the Regulations will expire and the aged care rule will no longer apply. No further exemptions to the six month rule would be allowed for new contracts between retirement village residents and operators. However, the exemptions would continue to apply to existing residents, whose contracts included the relevant provisions (the vast majority of existing non-owner residents).The table below sets out the financial costs to retirement village residents and operators that would occur in the base case.</w:t>
      </w:r>
    </w:p>
    <w:p w14:paraId="0C990F5A" w14:textId="77777777" w:rsidR="007B2C64" w:rsidRPr="002C1E2B" w:rsidRDefault="00D44DCC" w:rsidP="007B2C64">
      <w:pPr>
        <w:pStyle w:val="Caption"/>
        <w:spacing w:after="120"/>
      </w:pPr>
      <w:r w:rsidRPr="002C1E2B">
        <w:t xml:space="preserve">Table </w:t>
      </w:r>
      <w:r w:rsidRPr="002C1E2B">
        <w:fldChar w:fldCharType="begin"/>
      </w:r>
      <w:r w:rsidRPr="002C1E2B">
        <w:instrText xml:space="preserve"> STYLEREF 1 \s </w:instrText>
      </w:r>
      <w:r w:rsidRPr="002C1E2B">
        <w:fldChar w:fldCharType="separate"/>
      </w:r>
      <w:r w:rsidR="00BE6CE4">
        <w:rPr>
          <w:noProof/>
        </w:rPr>
        <w:t>5</w:t>
      </w:r>
      <w:r w:rsidRPr="002C1E2B">
        <w:fldChar w:fldCharType="end"/>
      </w:r>
      <w:r w:rsidRPr="002C1E2B">
        <w:t>.</w:t>
      </w:r>
      <w:r w:rsidRPr="002C1E2B">
        <w:fldChar w:fldCharType="begin"/>
      </w:r>
      <w:r w:rsidRPr="002C1E2B">
        <w:instrText xml:space="preserve"> SEQ Table \* ARABIC \s 1 </w:instrText>
      </w:r>
      <w:r w:rsidRPr="002C1E2B">
        <w:fldChar w:fldCharType="separate"/>
      </w:r>
      <w:r w:rsidR="00BE6CE4">
        <w:rPr>
          <w:noProof/>
        </w:rPr>
        <w:t>1</w:t>
      </w:r>
      <w:r w:rsidRPr="002C1E2B">
        <w:fldChar w:fldCharType="end"/>
      </w:r>
      <w:r w:rsidRPr="002C1E2B">
        <w:t xml:space="preserve"> – Base Case: Financial impacts on non-owner residents and village operators – per resident</w:t>
      </w:r>
    </w:p>
    <w:tbl>
      <w:tblPr>
        <w:tblStyle w:val="OW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1338"/>
        <w:gridCol w:w="1340"/>
        <w:gridCol w:w="1338"/>
        <w:gridCol w:w="1338"/>
      </w:tblGrid>
      <w:tr w:rsidR="004E6459" w:rsidRPr="002C1E2B" w14:paraId="4682E2ED" w14:textId="77777777" w:rsidTr="00FB35E2">
        <w:trPr>
          <w:cnfStyle w:val="100000000000" w:firstRow="1" w:lastRow="0" w:firstColumn="0" w:lastColumn="0" w:oddVBand="0" w:evenVBand="0" w:oddHBand="0" w:evenHBand="0" w:firstRowFirstColumn="0" w:firstRowLastColumn="0" w:lastRowFirstColumn="0" w:lastRowLastColumn="0"/>
          <w:tblHeader/>
        </w:trPr>
        <w:tc>
          <w:tcPr>
            <w:tcW w:w="2031" w:type="pct"/>
            <w:vMerge w:val="restart"/>
            <w:shd w:val="clear" w:color="auto" w:fill="1F497D" w:themeFill="text2"/>
            <w:vAlign w:val="center"/>
          </w:tcPr>
          <w:p w14:paraId="66EE9A1A" w14:textId="77777777" w:rsidR="00D44DCC" w:rsidRPr="002C1E2B" w:rsidRDefault="00D44DCC" w:rsidP="00D44DCC">
            <w:pPr>
              <w:pStyle w:val="BodyText"/>
              <w:spacing w:before="60" w:after="60"/>
              <w:rPr>
                <w:rFonts w:ascii="Calibri" w:hAnsi="Calibri"/>
                <w:b/>
                <w:color w:val="FFFFFF" w:themeColor="background1"/>
                <w:sz w:val="20"/>
                <w:szCs w:val="20"/>
              </w:rPr>
            </w:pPr>
            <w:r w:rsidRPr="002C1E2B">
              <w:rPr>
                <w:rFonts w:ascii="Calibri" w:hAnsi="Calibri"/>
                <w:b/>
                <w:color w:val="FFFFFF" w:themeColor="background1"/>
                <w:sz w:val="20"/>
                <w:szCs w:val="20"/>
              </w:rPr>
              <w:t>Base Case impacts - per resident</w:t>
            </w:r>
          </w:p>
        </w:tc>
        <w:tc>
          <w:tcPr>
            <w:tcW w:w="1485" w:type="pct"/>
            <w:gridSpan w:val="2"/>
            <w:shd w:val="clear" w:color="auto" w:fill="1F497D" w:themeFill="text2"/>
          </w:tcPr>
          <w:p w14:paraId="6A9AD04D" w14:textId="77777777" w:rsidR="00D44DCC" w:rsidRPr="002C1E2B" w:rsidRDefault="00D44DCC" w:rsidP="00D44DCC">
            <w:pPr>
              <w:pStyle w:val="BodyText"/>
              <w:spacing w:before="60" w:after="60"/>
              <w:jc w:val="center"/>
              <w:rPr>
                <w:rFonts w:ascii="Calibri" w:hAnsi="Calibri"/>
                <w:b/>
                <w:color w:val="FFFFFF" w:themeColor="background1"/>
                <w:sz w:val="20"/>
                <w:szCs w:val="20"/>
              </w:rPr>
            </w:pPr>
            <w:r w:rsidRPr="002C1E2B">
              <w:rPr>
                <w:rFonts w:ascii="Calibri" w:hAnsi="Calibri"/>
                <w:b/>
                <w:color w:val="FFFFFF" w:themeColor="background1"/>
                <w:sz w:val="20"/>
                <w:szCs w:val="20"/>
              </w:rPr>
              <w:t>Existing</w:t>
            </w:r>
            <w:r w:rsidR="00554ADE">
              <w:rPr>
                <w:rFonts w:ascii="Calibri" w:hAnsi="Calibri"/>
                <w:b/>
                <w:color w:val="FFFFFF" w:themeColor="background1"/>
                <w:sz w:val="20"/>
                <w:szCs w:val="20"/>
              </w:rPr>
              <w:t xml:space="preserve"> resident</w:t>
            </w:r>
          </w:p>
        </w:tc>
        <w:tc>
          <w:tcPr>
            <w:tcW w:w="1484" w:type="pct"/>
            <w:gridSpan w:val="2"/>
            <w:shd w:val="clear" w:color="auto" w:fill="1F497D" w:themeFill="text2"/>
          </w:tcPr>
          <w:p w14:paraId="503619A6" w14:textId="77777777" w:rsidR="00D44DCC" w:rsidRPr="002C1E2B" w:rsidRDefault="00D44DCC" w:rsidP="00D44DCC">
            <w:pPr>
              <w:pStyle w:val="BodyText"/>
              <w:spacing w:before="60" w:after="60"/>
              <w:jc w:val="center"/>
              <w:rPr>
                <w:rFonts w:ascii="Calibri" w:hAnsi="Calibri"/>
                <w:b/>
                <w:color w:val="FFFFFF" w:themeColor="background1"/>
                <w:sz w:val="20"/>
                <w:szCs w:val="20"/>
              </w:rPr>
            </w:pPr>
            <w:r w:rsidRPr="002C1E2B">
              <w:rPr>
                <w:rFonts w:ascii="Calibri" w:hAnsi="Calibri"/>
                <w:b/>
                <w:color w:val="FFFFFF" w:themeColor="background1"/>
                <w:sz w:val="20"/>
                <w:szCs w:val="20"/>
              </w:rPr>
              <w:t>New</w:t>
            </w:r>
            <w:r w:rsidR="00554ADE">
              <w:rPr>
                <w:rFonts w:ascii="Calibri" w:hAnsi="Calibri"/>
                <w:b/>
                <w:color w:val="FFFFFF" w:themeColor="background1"/>
                <w:sz w:val="20"/>
                <w:szCs w:val="20"/>
              </w:rPr>
              <w:t xml:space="preserve"> resident</w:t>
            </w:r>
          </w:p>
        </w:tc>
      </w:tr>
      <w:tr w:rsidR="004E6459" w:rsidRPr="002C1E2B" w14:paraId="5E867BA2" w14:textId="77777777" w:rsidTr="00FB35E2">
        <w:trPr>
          <w:cnfStyle w:val="100000000000" w:firstRow="1" w:lastRow="0" w:firstColumn="0" w:lastColumn="0" w:oddVBand="0" w:evenVBand="0" w:oddHBand="0" w:evenHBand="0" w:firstRowFirstColumn="0" w:firstRowLastColumn="0" w:lastRowFirstColumn="0" w:lastRowLastColumn="0"/>
          <w:tblHeader/>
        </w:trPr>
        <w:tc>
          <w:tcPr>
            <w:tcW w:w="2031" w:type="pct"/>
            <w:vMerge/>
            <w:shd w:val="clear" w:color="auto" w:fill="1F497D" w:themeFill="text2"/>
          </w:tcPr>
          <w:p w14:paraId="26486DF9" w14:textId="77777777" w:rsidR="00D44DCC" w:rsidRPr="002C1E2B" w:rsidRDefault="00D44DCC" w:rsidP="00D44DCC">
            <w:pPr>
              <w:pStyle w:val="BodyText"/>
              <w:spacing w:before="60" w:after="60"/>
              <w:rPr>
                <w:rFonts w:ascii="Calibri" w:hAnsi="Calibri"/>
                <w:b/>
                <w:color w:val="FFFFFF" w:themeColor="background1"/>
                <w:sz w:val="20"/>
                <w:szCs w:val="20"/>
              </w:rPr>
            </w:pPr>
          </w:p>
        </w:tc>
        <w:tc>
          <w:tcPr>
            <w:tcW w:w="742" w:type="pct"/>
            <w:shd w:val="clear" w:color="auto" w:fill="1F497D" w:themeFill="text2"/>
          </w:tcPr>
          <w:p w14:paraId="43AFB50F" w14:textId="77777777" w:rsidR="00D44DCC" w:rsidRPr="002C1E2B" w:rsidRDefault="00D44DCC" w:rsidP="00D44DCC">
            <w:pPr>
              <w:pStyle w:val="BodyText"/>
              <w:spacing w:before="60" w:after="60"/>
              <w:jc w:val="center"/>
              <w:rPr>
                <w:rFonts w:ascii="Calibri" w:hAnsi="Calibri"/>
                <w:b/>
                <w:color w:val="FFFFFF" w:themeColor="background1"/>
                <w:sz w:val="20"/>
                <w:szCs w:val="20"/>
              </w:rPr>
            </w:pPr>
            <w:r w:rsidRPr="002C1E2B">
              <w:rPr>
                <w:rFonts w:ascii="Calibri" w:hAnsi="Calibri"/>
                <w:b/>
                <w:color w:val="FFFFFF" w:themeColor="background1"/>
                <w:sz w:val="20"/>
                <w:szCs w:val="20"/>
              </w:rPr>
              <w:t>Resident with RAD</w:t>
            </w:r>
          </w:p>
        </w:tc>
        <w:tc>
          <w:tcPr>
            <w:tcW w:w="743" w:type="pct"/>
            <w:shd w:val="clear" w:color="auto" w:fill="1F497D" w:themeFill="text2"/>
          </w:tcPr>
          <w:p w14:paraId="46C1E4DA" w14:textId="77777777" w:rsidR="00D44DCC" w:rsidRPr="002C1E2B" w:rsidRDefault="00D44DCC" w:rsidP="00D44DCC">
            <w:pPr>
              <w:pStyle w:val="BodyText"/>
              <w:spacing w:before="60" w:after="60"/>
              <w:jc w:val="center"/>
              <w:rPr>
                <w:rFonts w:ascii="Calibri" w:hAnsi="Calibri"/>
                <w:b/>
                <w:color w:val="FFFFFF" w:themeColor="background1"/>
                <w:sz w:val="20"/>
                <w:szCs w:val="20"/>
              </w:rPr>
            </w:pPr>
            <w:r w:rsidRPr="002C1E2B">
              <w:rPr>
                <w:rFonts w:ascii="Calibri" w:hAnsi="Calibri"/>
                <w:b/>
                <w:color w:val="FFFFFF" w:themeColor="background1"/>
                <w:sz w:val="20"/>
                <w:szCs w:val="20"/>
              </w:rPr>
              <w:t>Resident with DAP</w:t>
            </w:r>
          </w:p>
        </w:tc>
        <w:tc>
          <w:tcPr>
            <w:tcW w:w="742" w:type="pct"/>
            <w:shd w:val="clear" w:color="auto" w:fill="1F497D" w:themeFill="text2"/>
          </w:tcPr>
          <w:p w14:paraId="17756853" w14:textId="77777777" w:rsidR="00D44DCC" w:rsidRPr="002C1E2B" w:rsidRDefault="00D44DCC" w:rsidP="00D44DCC">
            <w:pPr>
              <w:pStyle w:val="BodyText"/>
              <w:spacing w:before="60" w:after="60"/>
              <w:jc w:val="center"/>
              <w:rPr>
                <w:rFonts w:ascii="Calibri" w:hAnsi="Calibri"/>
                <w:b/>
                <w:color w:val="FFFFFF" w:themeColor="background1"/>
                <w:sz w:val="20"/>
                <w:szCs w:val="20"/>
              </w:rPr>
            </w:pPr>
            <w:r w:rsidRPr="002C1E2B">
              <w:rPr>
                <w:rFonts w:ascii="Calibri" w:hAnsi="Calibri"/>
                <w:b/>
                <w:color w:val="FFFFFF" w:themeColor="background1"/>
                <w:sz w:val="20"/>
                <w:szCs w:val="20"/>
              </w:rPr>
              <w:t>Resident with RAD</w:t>
            </w:r>
          </w:p>
        </w:tc>
        <w:tc>
          <w:tcPr>
            <w:tcW w:w="742" w:type="pct"/>
            <w:shd w:val="clear" w:color="auto" w:fill="1F497D" w:themeFill="text2"/>
          </w:tcPr>
          <w:p w14:paraId="0E2FE590" w14:textId="77777777" w:rsidR="00D44DCC" w:rsidRPr="002C1E2B" w:rsidRDefault="00D44DCC" w:rsidP="00D44DCC">
            <w:pPr>
              <w:pStyle w:val="BodyText"/>
              <w:spacing w:before="60" w:after="60"/>
              <w:jc w:val="center"/>
              <w:rPr>
                <w:rFonts w:ascii="Calibri" w:hAnsi="Calibri"/>
                <w:b/>
                <w:color w:val="FFFFFF" w:themeColor="background1"/>
                <w:sz w:val="20"/>
                <w:szCs w:val="20"/>
              </w:rPr>
            </w:pPr>
            <w:r w:rsidRPr="002C1E2B">
              <w:rPr>
                <w:rFonts w:ascii="Calibri" w:hAnsi="Calibri"/>
                <w:b/>
                <w:color w:val="FFFFFF" w:themeColor="background1"/>
                <w:sz w:val="20"/>
                <w:szCs w:val="20"/>
              </w:rPr>
              <w:t>Resident with DAP</w:t>
            </w:r>
          </w:p>
        </w:tc>
      </w:tr>
      <w:tr w:rsidR="00A169E6" w:rsidRPr="002C1E2B" w14:paraId="271F79D8" w14:textId="77777777" w:rsidTr="007B2C64">
        <w:trPr>
          <w:cnfStyle w:val="000000100000" w:firstRow="0" w:lastRow="0" w:firstColumn="0" w:lastColumn="0" w:oddVBand="0" w:evenVBand="0" w:oddHBand="1" w:evenHBand="0" w:firstRowFirstColumn="0" w:firstRowLastColumn="0" w:lastRowFirstColumn="0" w:lastRowLastColumn="0"/>
        </w:trPr>
        <w:tc>
          <w:tcPr>
            <w:tcW w:w="2031" w:type="pct"/>
            <w:shd w:val="clear" w:color="auto" w:fill="FFFFFF" w:themeFill="background1"/>
          </w:tcPr>
          <w:p w14:paraId="6841EA23" w14:textId="77777777" w:rsidR="00D44DCC" w:rsidRPr="002C1E2B" w:rsidRDefault="00D44DCC" w:rsidP="00D44DCC">
            <w:pPr>
              <w:pStyle w:val="BodyText"/>
              <w:spacing w:before="60" w:after="60"/>
              <w:rPr>
                <w:rFonts w:ascii="Calibri" w:hAnsi="Calibri"/>
                <w:sz w:val="20"/>
                <w:szCs w:val="20"/>
              </w:rPr>
            </w:pPr>
            <w:r w:rsidRPr="002C1E2B">
              <w:rPr>
                <w:rFonts w:ascii="Calibri" w:hAnsi="Calibri"/>
                <w:sz w:val="20"/>
                <w:szCs w:val="20"/>
              </w:rPr>
              <w:t>Residents with RAD/DAP</w:t>
            </w:r>
          </w:p>
        </w:tc>
        <w:tc>
          <w:tcPr>
            <w:tcW w:w="742" w:type="pct"/>
            <w:shd w:val="clear" w:color="auto" w:fill="FFFFFF" w:themeFill="background1"/>
          </w:tcPr>
          <w:p w14:paraId="43C03D52"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65%</w:t>
            </w:r>
          </w:p>
        </w:tc>
        <w:tc>
          <w:tcPr>
            <w:tcW w:w="743" w:type="pct"/>
            <w:shd w:val="clear" w:color="auto" w:fill="FFFFFF" w:themeFill="background1"/>
          </w:tcPr>
          <w:p w14:paraId="40FD4F40"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35%</w:t>
            </w:r>
          </w:p>
        </w:tc>
        <w:tc>
          <w:tcPr>
            <w:tcW w:w="742" w:type="pct"/>
            <w:shd w:val="clear" w:color="auto" w:fill="FFFFFF" w:themeFill="background1"/>
          </w:tcPr>
          <w:p w14:paraId="50D629A2"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65%</w:t>
            </w:r>
          </w:p>
        </w:tc>
        <w:tc>
          <w:tcPr>
            <w:tcW w:w="742" w:type="pct"/>
            <w:shd w:val="clear" w:color="auto" w:fill="FFFFFF" w:themeFill="background1"/>
          </w:tcPr>
          <w:p w14:paraId="43080E75"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35%</w:t>
            </w:r>
          </w:p>
        </w:tc>
      </w:tr>
      <w:tr w:rsidR="00A169E6" w:rsidRPr="002C1E2B" w14:paraId="56509C21" w14:textId="77777777" w:rsidTr="007B2C64">
        <w:trPr>
          <w:cnfStyle w:val="000000010000" w:firstRow="0" w:lastRow="0" w:firstColumn="0" w:lastColumn="0" w:oddVBand="0" w:evenVBand="0" w:oddHBand="0" w:evenHBand="1" w:firstRowFirstColumn="0" w:firstRowLastColumn="0" w:lastRowFirstColumn="0" w:lastRowLastColumn="0"/>
        </w:trPr>
        <w:tc>
          <w:tcPr>
            <w:tcW w:w="2031" w:type="pct"/>
            <w:shd w:val="clear" w:color="auto" w:fill="DBE5F1" w:themeFill="accent1" w:themeFillTint="33"/>
          </w:tcPr>
          <w:p w14:paraId="7D92170D" w14:textId="77777777" w:rsidR="00D44DCC" w:rsidRPr="002C1E2B" w:rsidRDefault="00D44DCC" w:rsidP="00D44DCC">
            <w:pPr>
              <w:pStyle w:val="BodyText"/>
              <w:spacing w:before="60" w:after="60"/>
              <w:rPr>
                <w:rFonts w:ascii="Calibri" w:hAnsi="Calibri"/>
                <w:b/>
                <w:sz w:val="20"/>
                <w:szCs w:val="20"/>
              </w:rPr>
            </w:pPr>
            <w:r w:rsidRPr="002C1E2B">
              <w:rPr>
                <w:rFonts w:ascii="Calibri" w:hAnsi="Calibri"/>
                <w:b/>
                <w:sz w:val="20"/>
                <w:szCs w:val="20"/>
              </w:rPr>
              <w:t xml:space="preserve">Resident impacts </w:t>
            </w:r>
          </w:p>
        </w:tc>
        <w:tc>
          <w:tcPr>
            <w:tcW w:w="742" w:type="pct"/>
            <w:shd w:val="clear" w:color="auto" w:fill="DBE5F1" w:themeFill="accent1" w:themeFillTint="33"/>
          </w:tcPr>
          <w:p w14:paraId="688B47C7" w14:textId="77777777" w:rsidR="00D44DCC" w:rsidRPr="002C1E2B" w:rsidRDefault="00D44DCC" w:rsidP="00D44DCC">
            <w:pPr>
              <w:spacing w:before="60" w:after="60"/>
              <w:jc w:val="right"/>
              <w:rPr>
                <w:rFonts w:ascii="Calibri" w:hAnsi="Calibri"/>
                <w:sz w:val="20"/>
                <w:szCs w:val="20"/>
              </w:rPr>
            </w:pPr>
          </w:p>
        </w:tc>
        <w:tc>
          <w:tcPr>
            <w:tcW w:w="743" w:type="pct"/>
            <w:shd w:val="clear" w:color="auto" w:fill="DBE5F1" w:themeFill="accent1" w:themeFillTint="33"/>
          </w:tcPr>
          <w:p w14:paraId="424D9973" w14:textId="77777777" w:rsidR="00D44DCC" w:rsidRPr="002C1E2B" w:rsidRDefault="00D44DCC" w:rsidP="00D44DCC">
            <w:pPr>
              <w:spacing w:before="60" w:after="60"/>
              <w:jc w:val="right"/>
              <w:rPr>
                <w:rFonts w:ascii="Calibri" w:hAnsi="Calibri"/>
                <w:sz w:val="20"/>
                <w:szCs w:val="20"/>
              </w:rPr>
            </w:pPr>
          </w:p>
        </w:tc>
        <w:tc>
          <w:tcPr>
            <w:tcW w:w="742" w:type="pct"/>
            <w:shd w:val="clear" w:color="auto" w:fill="DBE5F1" w:themeFill="accent1" w:themeFillTint="33"/>
          </w:tcPr>
          <w:p w14:paraId="3604A9CB" w14:textId="77777777" w:rsidR="00D44DCC" w:rsidRPr="002C1E2B" w:rsidRDefault="00D44DCC" w:rsidP="00D44DCC">
            <w:pPr>
              <w:spacing w:before="60" w:after="60"/>
              <w:jc w:val="right"/>
              <w:rPr>
                <w:rFonts w:ascii="Calibri" w:hAnsi="Calibri"/>
                <w:sz w:val="20"/>
                <w:szCs w:val="20"/>
              </w:rPr>
            </w:pPr>
          </w:p>
        </w:tc>
        <w:tc>
          <w:tcPr>
            <w:tcW w:w="742" w:type="pct"/>
            <w:shd w:val="clear" w:color="auto" w:fill="DBE5F1" w:themeFill="accent1" w:themeFillTint="33"/>
          </w:tcPr>
          <w:p w14:paraId="6BF2A27E" w14:textId="77777777" w:rsidR="00D44DCC" w:rsidRPr="002C1E2B" w:rsidRDefault="00D44DCC" w:rsidP="00D44DCC">
            <w:pPr>
              <w:spacing w:before="60" w:after="60"/>
              <w:jc w:val="right"/>
              <w:rPr>
                <w:rFonts w:ascii="Calibri" w:hAnsi="Calibri"/>
                <w:sz w:val="20"/>
                <w:szCs w:val="20"/>
              </w:rPr>
            </w:pPr>
          </w:p>
        </w:tc>
      </w:tr>
      <w:tr w:rsidR="00D44DCC" w:rsidRPr="002C1E2B" w14:paraId="3DDF8217" w14:textId="77777777" w:rsidTr="00D44DCC">
        <w:trPr>
          <w:cnfStyle w:val="000000100000" w:firstRow="0" w:lastRow="0" w:firstColumn="0" w:lastColumn="0" w:oddVBand="0" w:evenVBand="0" w:oddHBand="1" w:evenHBand="0" w:firstRowFirstColumn="0" w:firstRowLastColumn="0" w:lastRowFirstColumn="0" w:lastRowLastColumn="0"/>
        </w:trPr>
        <w:tc>
          <w:tcPr>
            <w:tcW w:w="2031"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D828E74" w14:textId="77777777" w:rsidR="00D44DCC" w:rsidRPr="002C1E2B" w:rsidRDefault="00D44DCC" w:rsidP="00D44DCC">
            <w:pPr>
              <w:pStyle w:val="BodyText"/>
              <w:spacing w:before="60" w:after="60"/>
              <w:rPr>
                <w:rFonts w:ascii="Calibri" w:hAnsi="Calibri"/>
                <w:sz w:val="20"/>
                <w:szCs w:val="20"/>
              </w:rPr>
            </w:pPr>
            <w:r w:rsidRPr="002C1E2B">
              <w:rPr>
                <w:rFonts w:ascii="Calibri" w:hAnsi="Calibri"/>
                <w:sz w:val="20"/>
                <w:szCs w:val="20"/>
              </w:rPr>
              <w:t>Aged care costs</w:t>
            </w:r>
          </w:p>
        </w:tc>
        <w:tc>
          <w:tcPr>
            <w:tcW w:w="742"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49FEAA2"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-13,038</w:t>
            </w:r>
          </w:p>
        </w:tc>
        <w:tc>
          <w:tcPr>
            <w:tcW w:w="743"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5F9114F"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-13,038</w:t>
            </w:r>
          </w:p>
        </w:tc>
        <w:tc>
          <w:tcPr>
            <w:tcW w:w="742"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F19CFF9"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-7,451</w:t>
            </w:r>
          </w:p>
        </w:tc>
        <w:tc>
          <w:tcPr>
            <w:tcW w:w="742"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C4C8037"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-13,038</w:t>
            </w:r>
          </w:p>
        </w:tc>
      </w:tr>
      <w:tr w:rsidR="00D44DCC" w:rsidRPr="002C1E2B" w14:paraId="2C9EAED5" w14:textId="77777777" w:rsidTr="00D44DCC">
        <w:trPr>
          <w:cnfStyle w:val="000000010000" w:firstRow="0" w:lastRow="0" w:firstColumn="0" w:lastColumn="0" w:oddVBand="0" w:evenVBand="0" w:oddHBand="0" w:evenHBand="1" w:firstRowFirstColumn="0" w:firstRowLastColumn="0" w:lastRowFirstColumn="0" w:lastRowLastColumn="0"/>
        </w:trPr>
        <w:tc>
          <w:tcPr>
            <w:tcW w:w="2031"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28E8A77" w14:textId="77777777" w:rsidR="00D44DCC" w:rsidRPr="002C1E2B" w:rsidRDefault="00D44DCC" w:rsidP="00D44DCC">
            <w:pPr>
              <w:pStyle w:val="BodyText"/>
              <w:spacing w:before="60" w:after="60"/>
              <w:rPr>
                <w:rFonts w:ascii="Calibri" w:hAnsi="Calibri"/>
                <w:sz w:val="20"/>
                <w:szCs w:val="20"/>
              </w:rPr>
            </w:pPr>
            <w:r w:rsidRPr="002C1E2B">
              <w:rPr>
                <w:rFonts w:ascii="Calibri" w:hAnsi="Calibri"/>
                <w:sz w:val="20"/>
                <w:szCs w:val="20"/>
              </w:rPr>
              <w:t>Interest costs</w:t>
            </w:r>
          </w:p>
        </w:tc>
        <w:tc>
          <w:tcPr>
            <w:tcW w:w="742"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162D676"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-203</w:t>
            </w:r>
          </w:p>
        </w:tc>
        <w:tc>
          <w:tcPr>
            <w:tcW w:w="743"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7CA67E5"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-203</w:t>
            </w:r>
          </w:p>
        </w:tc>
        <w:tc>
          <w:tcPr>
            <w:tcW w:w="742"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B00C623"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-163</w:t>
            </w:r>
          </w:p>
        </w:tc>
        <w:tc>
          <w:tcPr>
            <w:tcW w:w="742"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7BDEFA0"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+3,659</w:t>
            </w:r>
          </w:p>
        </w:tc>
      </w:tr>
      <w:tr w:rsidR="00D44DCC" w:rsidRPr="002C1E2B" w14:paraId="7CCFD695" w14:textId="77777777" w:rsidTr="00D44DCC">
        <w:trPr>
          <w:cnfStyle w:val="000000100000" w:firstRow="0" w:lastRow="0" w:firstColumn="0" w:lastColumn="0" w:oddVBand="0" w:evenVBand="0" w:oddHBand="1" w:evenHBand="0" w:firstRowFirstColumn="0" w:firstRowLastColumn="0" w:lastRowFirstColumn="0" w:lastRowLastColumn="0"/>
        </w:trPr>
        <w:tc>
          <w:tcPr>
            <w:tcW w:w="2031"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EA5F5D2" w14:textId="77777777" w:rsidR="00D44DCC" w:rsidRPr="002C1E2B" w:rsidRDefault="00D44DCC" w:rsidP="00D44DCC">
            <w:pPr>
              <w:pStyle w:val="BodyText"/>
              <w:spacing w:before="60" w:after="60"/>
              <w:rPr>
                <w:rFonts w:ascii="Calibri" w:hAnsi="Calibri"/>
                <w:sz w:val="20"/>
                <w:szCs w:val="20"/>
              </w:rPr>
            </w:pPr>
            <w:r w:rsidRPr="002C1E2B">
              <w:rPr>
                <w:rFonts w:ascii="Calibri" w:hAnsi="Calibri"/>
                <w:sz w:val="20"/>
                <w:szCs w:val="20"/>
              </w:rPr>
              <w:t>Deductions from entitlement</w:t>
            </w:r>
          </w:p>
        </w:tc>
        <w:tc>
          <w:tcPr>
            <w:tcW w:w="742"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FD46E54"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0</w:t>
            </w:r>
          </w:p>
        </w:tc>
        <w:tc>
          <w:tcPr>
            <w:tcW w:w="743"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3995BB7"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0</w:t>
            </w:r>
          </w:p>
        </w:tc>
        <w:tc>
          <w:tcPr>
            <w:tcW w:w="742"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D605519"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0</w:t>
            </w:r>
          </w:p>
        </w:tc>
        <w:tc>
          <w:tcPr>
            <w:tcW w:w="742"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3AD5CDA"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0</w:t>
            </w:r>
          </w:p>
        </w:tc>
      </w:tr>
      <w:tr w:rsidR="00A169E6" w:rsidRPr="002C1E2B" w14:paraId="04A9C2F9" w14:textId="77777777" w:rsidTr="007B2C64">
        <w:trPr>
          <w:cnfStyle w:val="000000010000" w:firstRow="0" w:lastRow="0" w:firstColumn="0" w:lastColumn="0" w:oddVBand="0" w:evenVBand="0" w:oddHBand="0" w:evenHBand="1" w:firstRowFirstColumn="0" w:firstRowLastColumn="0" w:lastRowFirstColumn="0" w:lastRowLastColumn="0"/>
        </w:trPr>
        <w:tc>
          <w:tcPr>
            <w:tcW w:w="2031" w:type="pct"/>
            <w:shd w:val="clear" w:color="auto" w:fill="F2F2F2" w:themeFill="background1" w:themeFillShade="F2"/>
          </w:tcPr>
          <w:p w14:paraId="4C680598" w14:textId="77777777" w:rsidR="00D44DCC" w:rsidRPr="002C1E2B" w:rsidRDefault="00D44DCC" w:rsidP="00D44DCC">
            <w:pPr>
              <w:pStyle w:val="BodyText"/>
              <w:spacing w:before="60" w:after="60"/>
              <w:rPr>
                <w:rFonts w:ascii="Calibri" w:hAnsi="Calibri"/>
                <w:b/>
                <w:sz w:val="20"/>
                <w:szCs w:val="20"/>
              </w:rPr>
            </w:pPr>
            <w:r w:rsidRPr="002C1E2B">
              <w:rPr>
                <w:rFonts w:ascii="Calibri" w:hAnsi="Calibri"/>
                <w:b/>
                <w:sz w:val="20"/>
                <w:szCs w:val="20"/>
              </w:rPr>
              <w:lastRenderedPageBreak/>
              <w:t>Total costs</w:t>
            </w:r>
          </w:p>
        </w:tc>
        <w:tc>
          <w:tcPr>
            <w:tcW w:w="742" w:type="pct"/>
            <w:shd w:val="clear" w:color="auto" w:fill="F2F2F2" w:themeFill="background1" w:themeFillShade="F2"/>
          </w:tcPr>
          <w:p w14:paraId="4DAB6E9C" w14:textId="77777777" w:rsidR="00D44DCC" w:rsidRPr="002C1E2B" w:rsidRDefault="00D44DCC" w:rsidP="00D44DCC">
            <w:pPr>
              <w:spacing w:before="60" w:after="60"/>
              <w:jc w:val="right"/>
              <w:rPr>
                <w:rFonts w:ascii="Calibri" w:hAnsi="Calibri"/>
                <w:b/>
                <w:sz w:val="20"/>
                <w:szCs w:val="20"/>
              </w:rPr>
            </w:pPr>
            <w:r w:rsidRPr="002C1E2B">
              <w:rPr>
                <w:rFonts w:ascii="Calibri" w:hAnsi="Calibri"/>
                <w:b/>
                <w:sz w:val="20"/>
                <w:szCs w:val="20"/>
              </w:rPr>
              <w:t>-13,241</w:t>
            </w:r>
          </w:p>
        </w:tc>
        <w:tc>
          <w:tcPr>
            <w:tcW w:w="743" w:type="pct"/>
            <w:shd w:val="clear" w:color="auto" w:fill="F2F2F2" w:themeFill="background1" w:themeFillShade="F2"/>
          </w:tcPr>
          <w:p w14:paraId="44BF4112" w14:textId="77777777" w:rsidR="00D44DCC" w:rsidRPr="002C1E2B" w:rsidRDefault="00D44DCC" w:rsidP="00D44DCC">
            <w:pPr>
              <w:spacing w:before="60" w:after="60"/>
              <w:jc w:val="right"/>
              <w:rPr>
                <w:rFonts w:ascii="Calibri" w:hAnsi="Calibri"/>
                <w:b/>
                <w:sz w:val="20"/>
                <w:szCs w:val="20"/>
              </w:rPr>
            </w:pPr>
            <w:r w:rsidRPr="002C1E2B">
              <w:rPr>
                <w:rFonts w:ascii="Calibri" w:hAnsi="Calibri"/>
                <w:b/>
                <w:sz w:val="20"/>
                <w:szCs w:val="20"/>
              </w:rPr>
              <w:t>-13,241</w:t>
            </w:r>
          </w:p>
        </w:tc>
        <w:tc>
          <w:tcPr>
            <w:tcW w:w="742" w:type="pct"/>
            <w:shd w:val="clear" w:color="auto" w:fill="F2F2F2" w:themeFill="background1" w:themeFillShade="F2"/>
          </w:tcPr>
          <w:p w14:paraId="783026AD" w14:textId="77777777" w:rsidR="00D44DCC" w:rsidRPr="002C1E2B" w:rsidRDefault="00D44DCC" w:rsidP="00D44DCC">
            <w:pPr>
              <w:spacing w:before="60" w:after="60"/>
              <w:jc w:val="right"/>
              <w:rPr>
                <w:rFonts w:ascii="Calibri" w:hAnsi="Calibri"/>
                <w:b/>
                <w:sz w:val="20"/>
                <w:szCs w:val="20"/>
              </w:rPr>
            </w:pPr>
            <w:r w:rsidRPr="002C1E2B">
              <w:rPr>
                <w:rFonts w:ascii="Calibri" w:hAnsi="Calibri"/>
                <w:b/>
                <w:sz w:val="20"/>
                <w:szCs w:val="20"/>
              </w:rPr>
              <w:t>-7,613</w:t>
            </w:r>
          </w:p>
        </w:tc>
        <w:tc>
          <w:tcPr>
            <w:tcW w:w="742" w:type="pct"/>
            <w:shd w:val="clear" w:color="auto" w:fill="F2F2F2" w:themeFill="background1" w:themeFillShade="F2"/>
          </w:tcPr>
          <w:p w14:paraId="6A48C490" w14:textId="77777777" w:rsidR="00D44DCC" w:rsidRPr="002C1E2B" w:rsidRDefault="00D44DCC" w:rsidP="00D44DCC">
            <w:pPr>
              <w:spacing w:before="60" w:after="60"/>
              <w:jc w:val="right"/>
              <w:rPr>
                <w:rFonts w:ascii="Calibri" w:hAnsi="Calibri"/>
                <w:b/>
                <w:sz w:val="20"/>
                <w:szCs w:val="20"/>
              </w:rPr>
            </w:pPr>
            <w:r w:rsidRPr="002C1E2B">
              <w:rPr>
                <w:rFonts w:ascii="Calibri" w:hAnsi="Calibri"/>
                <w:b/>
                <w:sz w:val="20"/>
                <w:szCs w:val="20"/>
              </w:rPr>
              <w:t>-10,060</w:t>
            </w:r>
          </w:p>
        </w:tc>
      </w:tr>
      <w:tr w:rsidR="00A169E6" w:rsidRPr="002C1E2B" w14:paraId="5F33A1E8" w14:textId="77777777" w:rsidTr="007B2C64">
        <w:trPr>
          <w:cnfStyle w:val="000000100000" w:firstRow="0" w:lastRow="0" w:firstColumn="0" w:lastColumn="0" w:oddVBand="0" w:evenVBand="0" w:oddHBand="1" w:evenHBand="0" w:firstRowFirstColumn="0" w:firstRowLastColumn="0" w:lastRowFirstColumn="0" w:lastRowLastColumn="0"/>
        </w:trPr>
        <w:tc>
          <w:tcPr>
            <w:tcW w:w="2031" w:type="pct"/>
            <w:shd w:val="clear" w:color="auto" w:fill="DBE5F1" w:themeFill="accent1" w:themeFillTint="33"/>
          </w:tcPr>
          <w:p w14:paraId="7FA98B31" w14:textId="77777777" w:rsidR="00D44DCC" w:rsidRPr="002C1E2B" w:rsidRDefault="00D44DCC" w:rsidP="00D44DCC">
            <w:pPr>
              <w:pStyle w:val="BodyText"/>
              <w:spacing w:before="60" w:after="60"/>
              <w:rPr>
                <w:rFonts w:ascii="Calibri" w:hAnsi="Calibri"/>
                <w:b/>
                <w:sz w:val="20"/>
                <w:szCs w:val="20"/>
              </w:rPr>
            </w:pPr>
            <w:r w:rsidRPr="002C1E2B">
              <w:rPr>
                <w:rFonts w:ascii="Calibri" w:hAnsi="Calibri"/>
                <w:b/>
                <w:sz w:val="20"/>
                <w:szCs w:val="20"/>
              </w:rPr>
              <w:t xml:space="preserve">Retirement village costs </w:t>
            </w:r>
          </w:p>
        </w:tc>
        <w:tc>
          <w:tcPr>
            <w:tcW w:w="742" w:type="pct"/>
            <w:shd w:val="clear" w:color="auto" w:fill="DBE5F1" w:themeFill="accent1" w:themeFillTint="33"/>
          </w:tcPr>
          <w:p w14:paraId="264DD49B" w14:textId="77777777" w:rsidR="00D44DCC" w:rsidRPr="002C1E2B" w:rsidRDefault="00D44DCC" w:rsidP="00D44DCC">
            <w:pPr>
              <w:spacing w:before="60" w:after="60"/>
              <w:jc w:val="right"/>
              <w:rPr>
                <w:rFonts w:ascii="Calibri" w:hAnsi="Calibri"/>
                <w:b/>
                <w:sz w:val="20"/>
                <w:szCs w:val="20"/>
              </w:rPr>
            </w:pPr>
          </w:p>
        </w:tc>
        <w:tc>
          <w:tcPr>
            <w:tcW w:w="743" w:type="pct"/>
            <w:shd w:val="clear" w:color="auto" w:fill="DBE5F1" w:themeFill="accent1" w:themeFillTint="33"/>
          </w:tcPr>
          <w:p w14:paraId="12E21740" w14:textId="77777777" w:rsidR="00D44DCC" w:rsidRPr="002C1E2B" w:rsidRDefault="00D44DCC" w:rsidP="00D44DCC">
            <w:pPr>
              <w:spacing w:before="60" w:after="60"/>
              <w:jc w:val="right"/>
              <w:rPr>
                <w:rFonts w:ascii="Calibri" w:hAnsi="Calibri"/>
                <w:b/>
                <w:sz w:val="20"/>
                <w:szCs w:val="20"/>
              </w:rPr>
            </w:pPr>
          </w:p>
        </w:tc>
        <w:tc>
          <w:tcPr>
            <w:tcW w:w="742" w:type="pct"/>
            <w:shd w:val="clear" w:color="auto" w:fill="DBE5F1" w:themeFill="accent1" w:themeFillTint="33"/>
          </w:tcPr>
          <w:p w14:paraId="06A2BD08" w14:textId="77777777" w:rsidR="00D44DCC" w:rsidRPr="002C1E2B" w:rsidRDefault="00D44DCC" w:rsidP="00D44DCC">
            <w:pPr>
              <w:spacing w:before="60" w:after="60"/>
              <w:jc w:val="right"/>
              <w:rPr>
                <w:rFonts w:ascii="Calibri" w:hAnsi="Calibri"/>
                <w:b/>
                <w:sz w:val="20"/>
                <w:szCs w:val="20"/>
              </w:rPr>
            </w:pPr>
          </w:p>
        </w:tc>
        <w:tc>
          <w:tcPr>
            <w:tcW w:w="742" w:type="pct"/>
            <w:shd w:val="clear" w:color="auto" w:fill="DBE5F1" w:themeFill="accent1" w:themeFillTint="33"/>
          </w:tcPr>
          <w:p w14:paraId="2C3A9A06" w14:textId="77777777" w:rsidR="00D44DCC" w:rsidRPr="002C1E2B" w:rsidRDefault="00D44DCC" w:rsidP="00D44DCC">
            <w:pPr>
              <w:spacing w:before="60" w:after="60"/>
              <w:jc w:val="right"/>
              <w:rPr>
                <w:rFonts w:ascii="Calibri" w:hAnsi="Calibri"/>
                <w:b/>
                <w:sz w:val="20"/>
                <w:szCs w:val="20"/>
              </w:rPr>
            </w:pPr>
          </w:p>
        </w:tc>
      </w:tr>
      <w:tr w:rsidR="00D44DCC" w:rsidRPr="002C1E2B" w14:paraId="12AF1987" w14:textId="77777777" w:rsidTr="00D44DCC">
        <w:trPr>
          <w:cnfStyle w:val="000000010000" w:firstRow="0" w:lastRow="0" w:firstColumn="0" w:lastColumn="0" w:oddVBand="0" w:evenVBand="0" w:oddHBand="0" w:evenHBand="1" w:firstRowFirstColumn="0" w:firstRowLastColumn="0" w:lastRowFirstColumn="0" w:lastRowLastColumn="0"/>
        </w:trPr>
        <w:tc>
          <w:tcPr>
            <w:tcW w:w="2031"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AD7374B" w14:textId="77777777" w:rsidR="00D44DCC" w:rsidRPr="002C1E2B" w:rsidRDefault="00D44DCC" w:rsidP="00D44DCC">
            <w:pPr>
              <w:pStyle w:val="BodyText"/>
              <w:spacing w:before="60" w:after="60"/>
              <w:rPr>
                <w:rFonts w:ascii="Calibri" w:hAnsi="Calibri"/>
                <w:sz w:val="20"/>
                <w:szCs w:val="20"/>
              </w:rPr>
            </w:pPr>
            <w:r w:rsidRPr="002C1E2B">
              <w:rPr>
                <w:rFonts w:ascii="Calibri" w:hAnsi="Calibri"/>
                <w:sz w:val="20"/>
                <w:szCs w:val="20"/>
              </w:rPr>
              <w:t>Aged care costs</w:t>
            </w:r>
          </w:p>
        </w:tc>
        <w:tc>
          <w:tcPr>
            <w:tcW w:w="742"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D71154F"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0</w:t>
            </w:r>
          </w:p>
        </w:tc>
        <w:tc>
          <w:tcPr>
            <w:tcW w:w="743"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64B421A"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0</w:t>
            </w:r>
          </w:p>
        </w:tc>
        <w:tc>
          <w:tcPr>
            <w:tcW w:w="742"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033C772"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0</w:t>
            </w:r>
          </w:p>
        </w:tc>
        <w:tc>
          <w:tcPr>
            <w:tcW w:w="742"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D773EBF"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0</w:t>
            </w:r>
          </w:p>
        </w:tc>
      </w:tr>
      <w:tr w:rsidR="00D44DCC" w:rsidRPr="002C1E2B" w14:paraId="2F24F504" w14:textId="77777777" w:rsidTr="00D44DCC">
        <w:trPr>
          <w:cnfStyle w:val="000000100000" w:firstRow="0" w:lastRow="0" w:firstColumn="0" w:lastColumn="0" w:oddVBand="0" w:evenVBand="0" w:oddHBand="1" w:evenHBand="0" w:firstRowFirstColumn="0" w:firstRowLastColumn="0" w:lastRowFirstColumn="0" w:lastRowLastColumn="0"/>
        </w:trPr>
        <w:tc>
          <w:tcPr>
            <w:tcW w:w="2031"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2731859" w14:textId="77777777" w:rsidR="00D44DCC" w:rsidRPr="002C1E2B" w:rsidRDefault="00D44DCC" w:rsidP="00D44DCC">
            <w:pPr>
              <w:pStyle w:val="BodyText"/>
              <w:spacing w:before="60" w:after="60"/>
              <w:rPr>
                <w:rFonts w:ascii="Calibri" w:hAnsi="Calibri"/>
                <w:sz w:val="20"/>
                <w:szCs w:val="20"/>
              </w:rPr>
            </w:pPr>
            <w:r w:rsidRPr="002C1E2B">
              <w:rPr>
                <w:rFonts w:ascii="Calibri" w:hAnsi="Calibri"/>
                <w:sz w:val="20"/>
                <w:szCs w:val="20"/>
              </w:rPr>
              <w:t>Interest costs on exit entitlement</w:t>
            </w:r>
          </w:p>
        </w:tc>
        <w:tc>
          <w:tcPr>
            <w:tcW w:w="742"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479F308"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0</w:t>
            </w:r>
          </w:p>
        </w:tc>
        <w:tc>
          <w:tcPr>
            <w:tcW w:w="743"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56D7EE8"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0</w:t>
            </w:r>
          </w:p>
        </w:tc>
        <w:tc>
          <w:tcPr>
            <w:tcW w:w="742"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4AA4DA4"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-4,866</w:t>
            </w:r>
          </w:p>
        </w:tc>
        <w:tc>
          <w:tcPr>
            <w:tcW w:w="742"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47171BC"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-4,866</w:t>
            </w:r>
          </w:p>
        </w:tc>
      </w:tr>
      <w:tr w:rsidR="00D44DCC" w:rsidRPr="002C1E2B" w14:paraId="749A7871" w14:textId="77777777" w:rsidTr="00D44DCC">
        <w:trPr>
          <w:cnfStyle w:val="000000010000" w:firstRow="0" w:lastRow="0" w:firstColumn="0" w:lastColumn="0" w:oddVBand="0" w:evenVBand="0" w:oddHBand="0" w:evenHBand="1" w:firstRowFirstColumn="0" w:firstRowLastColumn="0" w:lastRowFirstColumn="0" w:lastRowLastColumn="0"/>
        </w:trPr>
        <w:tc>
          <w:tcPr>
            <w:tcW w:w="2031"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7D86B60" w14:textId="77777777" w:rsidR="00D44DCC" w:rsidRPr="002C1E2B" w:rsidRDefault="00D44DCC" w:rsidP="00D44DCC">
            <w:pPr>
              <w:pStyle w:val="BodyText"/>
              <w:spacing w:before="60" w:after="60"/>
              <w:rPr>
                <w:rFonts w:ascii="Calibri" w:hAnsi="Calibri"/>
                <w:sz w:val="20"/>
                <w:szCs w:val="20"/>
              </w:rPr>
            </w:pPr>
            <w:r w:rsidRPr="002C1E2B">
              <w:rPr>
                <w:rFonts w:ascii="Calibri" w:hAnsi="Calibri"/>
                <w:sz w:val="20"/>
                <w:szCs w:val="20"/>
              </w:rPr>
              <w:t xml:space="preserve">Final exit entitlement </w:t>
            </w:r>
          </w:p>
        </w:tc>
        <w:tc>
          <w:tcPr>
            <w:tcW w:w="742"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49C2250"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258,700</w:t>
            </w:r>
          </w:p>
        </w:tc>
        <w:tc>
          <w:tcPr>
            <w:tcW w:w="743"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4DD01C5"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258,700</w:t>
            </w:r>
          </w:p>
        </w:tc>
        <w:tc>
          <w:tcPr>
            <w:tcW w:w="742"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D99D0EF"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258,700</w:t>
            </w:r>
          </w:p>
        </w:tc>
        <w:tc>
          <w:tcPr>
            <w:tcW w:w="742"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0F15017"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258,700</w:t>
            </w:r>
          </w:p>
        </w:tc>
      </w:tr>
      <w:tr w:rsidR="00D44DCC" w:rsidRPr="002C1E2B" w14:paraId="036AF31B" w14:textId="77777777" w:rsidTr="00D44DCC">
        <w:trPr>
          <w:cnfStyle w:val="000000100000" w:firstRow="0" w:lastRow="0" w:firstColumn="0" w:lastColumn="0" w:oddVBand="0" w:evenVBand="0" w:oddHBand="1" w:evenHBand="0" w:firstRowFirstColumn="0" w:firstRowLastColumn="0" w:lastRowFirstColumn="0" w:lastRowLastColumn="0"/>
        </w:trPr>
        <w:tc>
          <w:tcPr>
            <w:tcW w:w="2031"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50B6B14" w14:textId="77777777" w:rsidR="00D44DCC" w:rsidRPr="002C1E2B" w:rsidRDefault="00D44DCC" w:rsidP="00D44DCC">
            <w:pPr>
              <w:pStyle w:val="BodyText"/>
              <w:spacing w:before="60" w:after="60"/>
              <w:rPr>
                <w:rFonts w:ascii="Calibri" w:hAnsi="Calibri"/>
                <w:sz w:val="20"/>
                <w:szCs w:val="20"/>
              </w:rPr>
            </w:pPr>
            <w:r w:rsidRPr="002C1E2B">
              <w:rPr>
                <w:rFonts w:ascii="Calibri" w:hAnsi="Calibri"/>
                <w:sz w:val="20"/>
                <w:szCs w:val="20"/>
              </w:rPr>
              <w:t>Exit entitlement paid to resident</w:t>
            </w:r>
          </w:p>
        </w:tc>
        <w:tc>
          <w:tcPr>
            <w:tcW w:w="742"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217CAFE"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-258,700</w:t>
            </w:r>
          </w:p>
        </w:tc>
        <w:tc>
          <w:tcPr>
            <w:tcW w:w="743"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5D314E3"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-258,700</w:t>
            </w:r>
          </w:p>
        </w:tc>
        <w:tc>
          <w:tcPr>
            <w:tcW w:w="742"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DD54585"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-258,700</w:t>
            </w:r>
          </w:p>
        </w:tc>
        <w:tc>
          <w:tcPr>
            <w:tcW w:w="742"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9D8F63B"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-258,700</w:t>
            </w:r>
          </w:p>
        </w:tc>
      </w:tr>
      <w:tr w:rsidR="00A169E6" w:rsidRPr="002C1E2B" w14:paraId="6E942C01" w14:textId="77777777" w:rsidTr="007B2C64">
        <w:trPr>
          <w:cnfStyle w:val="000000010000" w:firstRow="0" w:lastRow="0" w:firstColumn="0" w:lastColumn="0" w:oddVBand="0" w:evenVBand="0" w:oddHBand="0" w:evenHBand="1" w:firstRowFirstColumn="0" w:firstRowLastColumn="0" w:lastRowFirstColumn="0" w:lastRowLastColumn="0"/>
        </w:trPr>
        <w:tc>
          <w:tcPr>
            <w:tcW w:w="2031" w:type="pct"/>
            <w:shd w:val="clear" w:color="auto" w:fill="F2F2F2" w:themeFill="background1" w:themeFillShade="F2"/>
          </w:tcPr>
          <w:p w14:paraId="38FCF2BB" w14:textId="77777777" w:rsidR="00D44DCC" w:rsidRPr="002C1E2B" w:rsidRDefault="00D44DCC" w:rsidP="00D44DCC">
            <w:pPr>
              <w:pStyle w:val="BodyText"/>
              <w:spacing w:before="60" w:after="60"/>
              <w:rPr>
                <w:rFonts w:ascii="Calibri" w:hAnsi="Calibri"/>
                <w:b/>
                <w:sz w:val="20"/>
                <w:szCs w:val="20"/>
              </w:rPr>
            </w:pPr>
            <w:r w:rsidRPr="002C1E2B">
              <w:rPr>
                <w:rFonts w:ascii="Calibri" w:hAnsi="Calibri"/>
                <w:b/>
                <w:sz w:val="20"/>
                <w:szCs w:val="20"/>
              </w:rPr>
              <w:t>Total costs</w:t>
            </w:r>
          </w:p>
        </w:tc>
        <w:tc>
          <w:tcPr>
            <w:tcW w:w="742" w:type="pct"/>
            <w:shd w:val="clear" w:color="auto" w:fill="F2F2F2" w:themeFill="background1" w:themeFillShade="F2"/>
          </w:tcPr>
          <w:p w14:paraId="5AF8B1F2" w14:textId="77777777" w:rsidR="00D44DCC" w:rsidRPr="002C1E2B" w:rsidRDefault="00D44DCC" w:rsidP="00D44DCC">
            <w:pPr>
              <w:spacing w:before="60" w:after="60"/>
              <w:jc w:val="right"/>
              <w:rPr>
                <w:rFonts w:ascii="Calibri" w:hAnsi="Calibri"/>
                <w:b/>
                <w:sz w:val="20"/>
                <w:szCs w:val="20"/>
              </w:rPr>
            </w:pPr>
            <w:r w:rsidRPr="002C1E2B">
              <w:rPr>
                <w:rFonts w:ascii="Calibri" w:hAnsi="Calibri"/>
                <w:b/>
                <w:sz w:val="20"/>
                <w:szCs w:val="20"/>
              </w:rPr>
              <w:t>0</w:t>
            </w:r>
          </w:p>
        </w:tc>
        <w:tc>
          <w:tcPr>
            <w:tcW w:w="743" w:type="pct"/>
            <w:shd w:val="clear" w:color="auto" w:fill="F2F2F2" w:themeFill="background1" w:themeFillShade="F2"/>
          </w:tcPr>
          <w:p w14:paraId="11CF6BBB" w14:textId="77777777" w:rsidR="00D44DCC" w:rsidRPr="002C1E2B" w:rsidRDefault="00D44DCC" w:rsidP="00D44DCC">
            <w:pPr>
              <w:spacing w:before="60" w:after="60"/>
              <w:jc w:val="right"/>
              <w:rPr>
                <w:rFonts w:ascii="Calibri" w:hAnsi="Calibri"/>
                <w:b/>
                <w:sz w:val="20"/>
                <w:szCs w:val="20"/>
              </w:rPr>
            </w:pPr>
            <w:r w:rsidRPr="002C1E2B">
              <w:rPr>
                <w:rFonts w:ascii="Calibri" w:hAnsi="Calibri"/>
                <w:b/>
                <w:sz w:val="20"/>
                <w:szCs w:val="20"/>
              </w:rPr>
              <w:t>0</w:t>
            </w:r>
          </w:p>
        </w:tc>
        <w:tc>
          <w:tcPr>
            <w:tcW w:w="742" w:type="pct"/>
            <w:shd w:val="clear" w:color="auto" w:fill="F2F2F2" w:themeFill="background1" w:themeFillShade="F2"/>
          </w:tcPr>
          <w:p w14:paraId="5D649E1A" w14:textId="77777777" w:rsidR="00D44DCC" w:rsidRPr="002C1E2B" w:rsidRDefault="00D44DCC" w:rsidP="00D44DCC">
            <w:pPr>
              <w:spacing w:before="60" w:after="60"/>
              <w:jc w:val="right"/>
              <w:rPr>
                <w:rFonts w:ascii="Calibri" w:hAnsi="Calibri"/>
                <w:b/>
                <w:sz w:val="20"/>
                <w:szCs w:val="20"/>
              </w:rPr>
            </w:pPr>
            <w:r w:rsidRPr="002C1E2B">
              <w:rPr>
                <w:rFonts w:ascii="Calibri" w:hAnsi="Calibri"/>
                <w:b/>
                <w:sz w:val="20"/>
                <w:szCs w:val="20"/>
              </w:rPr>
              <w:t>-4,866</w:t>
            </w:r>
          </w:p>
        </w:tc>
        <w:tc>
          <w:tcPr>
            <w:tcW w:w="742" w:type="pct"/>
            <w:shd w:val="clear" w:color="auto" w:fill="F2F2F2" w:themeFill="background1" w:themeFillShade="F2"/>
          </w:tcPr>
          <w:p w14:paraId="78123BFC" w14:textId="77777777" w:rsidR="00D44DCC" w:rsidRPr="002C1E2B" w:rsidRDefault="00D44DCC" w:rsidP="00D44DCC">
            <w:pPr>
              <w:spacing w:before="60" w:after="60"/>
              <w:jc w:val="right"/>
              <w:rPr>
                <w:rFonts w:ascii="Calibri" w:hAnsi="Calibri"/>
                <w:b/>
                <w:sz w:val="20"/>
                <w:szCs w:val="20"/>
              </w:rPr>
            </w:pPr>
            <w:r w:rsidRPr="002C1E2B">
              <w:rPr>
                <w:rFonts w:ascii="Calibri" w:hAnsi="Calibri"/>
                <w:b/>
                <w:sz w:val="20"/>
                <w:szCs w:val="20"/>
              </w:rPr>
              <w:t>-4,866</w:t>
            </w:r>
          </w:p>
        </w:tc>
      </w:tr>
    </w:tbl>
    <w:p w14:paraId="45690D23" w14:textId="77777777" w:rsidR="007B2C64" w:rsidRPr="00A169E6" w:rsidRDefault="00FB35E2" w:rsidP="00263234">
      <w:pPr>
        <w:pStyle w:val="BodyText"/>
        <w:rPr>
          <w:b/>
        </w:rPr>
      </w:pPr>
      <w:r>
        <w:br/>
      </w:r>
      <w:r w:rsidR="00D44DCC" w:rsidRPr="002C1E2B">
        <w:t>Without the six month rule exemption, under the base case, all new residents would be entitled to early payment of their exit entitlement. In 2037, this will be approximately 3,000.  The cost to retirement village operators of this will be on average approximately $6 million per annum over the 20 year period.</w:t>
      </w:r>
    </w:p>
    <w:p w14:paraId="6A29CB68" w14:textId="77777777" w:rsidR="00D44DCC" w:rsidRPr="002C1E2B" w:rsidRDefault="00D44DCC" w:rsidP="007B2C64">
      <w:pPr>
        <w:pStyle w:val="Caption"/>
        <w:spacing w:after="120"/>
      </w:pPr>
      <w:r w:rsidRPr="002C1E2B">
        <w:t xml:space="preserve">Table </w:t>
      </w:r>
      <w:r w:rsidRPr="002C1E2B">
        <w:fldChar w:fldCharType="begin"/>
      </w:r>
      <w:r w:rsidRPr="002C1E2B">
        <w:instrText xml:space="preserve"> STYLEREF 1 \s </w:instrText>
      </w:r>
      <w:r w:rsidRPr="002C1E2B">
        <w:fldChar w:fldCharType="separate"/>
      </w:r>
      <w:r w:rsidR="00BE6CE4">
        <w:rPr>
          <w:noProof/>
        </w:rPr>
        <w:t>5</w:t>
      </w:r>
      <w:r w:rsidRPr="002C1E2B">
        <w:fldChar w:fldCharType="end"/>
      </w:r>
      <w:r w:rsidRPr="002C1E2B">
        <w:t>.</w:t>
      </w:r>
      <w:r w:rsidRPr="002C1E2B">
        <w:fldChar w:fldCharType="begin"/>
      </w:r>
      <w:r w:rsidRPr="002C1E2B">
        <w:instrText xml:space="preserve"> SEQ Table \* ARABIC \s 1 </w:instrText>
      </w:r>
      <w:r w:rsidRPr="002C1E2B">
        <w:fldChar w:fldCharType="separate"/>
      </w:r>
      <w:r w:rsidR="00BE6CE4">
        <w:rPr>
          <w:noProof/>
        </w:rPr>
        <w:t>2</w:t>
      </w:r>
      <w:r w:rsidRPr="002C1E2B">
        <w:fldChar w:fldCharType="end"/>
      </w:r>
      <w:r w:rsidRPr="002C1E2B">
        <w:t xml:space="preserve"> – Base Case: Financial impacts on non-owner residents and village operators – total for sector</w:t>
      </w:r>
    </w:p>
    <w:tbl>
      <w:tblPr>
        <w:tblStyle w:val="OW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2226"/>
        <w:gridCol w:w="2226"/>
        <w:gridCol w:w="2226"/>
      </w:tblGrid>
      <w:tr w:rsidR="00D44DCC" w:rsidRPr="002C1E2B" w14:paraId="1E4C5273" w14:textId="77777777" w:rsidTr="00D44DCC">
        <w:trPr>
          <w:cnfStyle w:val="100000000000" w:firstRow="1" w:lastRow="0" w:firstColumn="0" w:lastColumn="0" w:oddVBand="0" w:evenVBand="0" w:oddHBand="0" w:evenHBand="0" w:firstRowFirstColumn="0" w:firstRowLastColumn="0" w:lastRowFirstColumn="0" w:lastRowLastColumn="0"/>
          <w:tblHeader/>
        </w:trPr>
        <w:tc>
          <w:tcPr>
            <w:tcW w:w="238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F497D" w:themeFill="text2"/>
          </w:tcPr>
          <w:p w14:paraId="606D50DC" w14:textId="77777777" w:rsidR="00D44DCC" w:rsidRPr="002C1E2B" w:rsidRDefault="00D44DCC" w:rsidP="00D44DCC">
            <w:pPr>
              <w:pStyle w:val="BodyText"/>
              <w:spacing w:before="60" w:after="60"/>
              <w:ind w:left="1440" w:hanging="1440"/>
              <w:rPr>
                <w:rFonts w:ascii="Calibri" w:hAnsi="Calibri"/>
                <w:b/>
                <w:color w:val="FFFFFF" w:themeColor="background1"/>
                <w:sz w:val="20"/>
                <w:szCs w:val="20"/>
              </w:rPr>
            </w:pPr>
            <w:r w:rsidRPr="002C1E2B">
              <w:rPr>
                <w:rFonts w:ascii="Calibri" w:hAnsi="Calibri"/>
                <w:b/>
                <w:color w:val="FFFFFF" w:themeColor="background1"/>
                <w:sz w:val="20"/>
                <w:szCs w:val="20"/>
              </w:rPr>
              <w:t>Base Case impacts – total for sector</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F497D" w:themeFill="text2"/>
          </w:tcPr>
          <w:p w14:paraId="5CC40055" w14:textId="77777777" w:rsidR="00D44DCC" w:rsidRPr="002C1E2B" w:rsidRDefault="00D44DCC" w:rsidP="00D44DCC">
            <w:pPr>
              <w:pStyle w:val="BodyText"/>
              <w:spacing w:before="60" w:after="60"/>
              <w:ind w:left="1440" w:hanging="1440"/>
              <w:jc w:val="center"/>
              <w:rPr>
                <w:rFonts w:ascii="Calibri" w:hAnsi="Calibri"/>
                <w:b/>
                <w:color w:val="FFFFFF" w:themeColor="background1"/>
                <w:sz w:val="20"/>
                <w:szCs w:val="20"/>
              </w:rPr>
            </w:pPr>
            <w:r w:rsidRPr="002C1E2B">
              <w:rPr>
                <w:rFonts w:ascii="Calibri" w:hAnsi="Calibri"/>
                <w:b/>
                <w:color w:val="FFFFFF" w:themeColor="background1"/>
                <w:sz w:val="20"/>
                <w:szCs w:val="20"/>
              </w:rPr>
              <w:t>2018</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F497D" w:themeFill="text2"/>
          </w:tcPr>
          <w:p w14:paraId="664D92BF" w14:textId="77777777" w:rsidR="00D44DCC" w:rsidRPr="002C1E2B" w:rsidRDefault="00D44DCC" w:rsidP="00D44DCC">
            <w:pPr>
              <w:pStyle w:val="BodyText"/>
              <w:spacing w:before="60" w:after="60"/>
              <w:ind w:left="1440" w:hanging="1440"/>
              <w:jc w:val="center"/>
              <w:rPr>
                <w:rFonts w:ascii="Calibri" w:hAnsi="Calibri"/>
                <w:b/>
                <w:color w:val="FFFFFF" w:themeColor="background1"/>
                <w:sz w:val="20"/>
                <w:szCs w:val="20"/>
              </w:rPr>
            </w:pPr>
            <w:r w:rsidRPr="002C1E2B">
              <w:rPr>
                <w:rFonts w:ascii="Calibri" w:hAnsi="Calibri"/>
                <w:b/>
                <w:color w:val="FFFFFF" w:themeColor="background1"/>
                <w:sz w:val="20"/>
                <w:szCs w:val="20"/>
              </w:rPr>
              <w:t>2037</w:t>
            </w:r>
          </w:p>
        </w:tc>
        <w:tc>
          <w:tcPr>
            <w:tcW w:w="87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F497D" w:themeFill="text2"/>
          </w:tcPr>
          <w:p w14:paraId="4903895F" w14:textId="77777777" w:rsidR="00D44DCC" w:rsidRPr="002C1E2B" w:rsidRDefault="00D44DCC" w:rsidP="00D44DCC">
            <w:pPr>
              <w:pStyle w:val="BodyText"/>
              <w:spacing w:before="60" w:after="60"/>
              <w:ind w:left="1440" w:hanging="1440"/>
              <w:jc w:val="center"/>
              <w:rPr>
                <w:rFonts w:ascii="Calibri" w:hAnsi="Calibri"/>
                <w:b/>
                <w:color w:val="FFFFFF" w:themeColor="background1"/>
                <w:sz w:val="20"/>
                <w:szCs w:val="20"/>
              </w:rPr>
            </w:pPr>
            <w:r w:rsidRPr="002C1E2B">
              <w:rPr>
                <w:rFonts w:ascii="Calibri" w:hAnsi="Calibri"/>
                <w:b/>
                <w:color w:val="FFFFFF" w:themeColor="background1"/>
                <w:sz w:val="20"/>
                <w:szCs w:val="20"/>
              </w:rPr>
              <w:t>Average</w:t>
            </w:r>
          </w:p>
          <w:p w14:paraId="27B9CF24" w14:textId="77777777" w:rsidR="00D44DCC" w:rsidRPr="002C1E2B" w:rsidRDefault="00D44DCC" w:rsidP="00D44DCC">
            <w:pPr>
              <w:pStyle w:val="BodyText"/>
              <w:spacing w:before="60" w:after="60"/>
              <w:ind w:left="1440" w:hanging="1440"/>
              <w:jc w:val="center"/>
              <w:rPr>
                <w:rFonts w:ascii="Calibri" w:hAnsi="Calibri"/>
                <w:b/>
                <w:color w:val="FFFFFF" w:themeColor="background1"/>
                <w:sz w:val="20"/>
                <w:szCs w:val="20"/>
              </w:rPr>
            </w:pPr>
            <w:r w:rsidRPr="002C1E2B">
              <w:rPr>
                <w:rFonts w:ascii="Calibri" w:hAnsi="Calibri"/>
                <w:b/>
                <w:color w:val="FFFFFF" w:themeColor="background1"/>
                <w:sz w:val="20"/>
                <w:szCs w:val="20"/>
              </w:rPr>
              <w:t>(2018 to 2037)</w:t>
            </w:r>
          </w:p>
        </w:tc>
      </w:tr>
      <w:tr w:rsidR="00D44DCC" w:rsidRPr="002C1E2B" w14:paraId="4D04A4C0" w14:textId="77777777" w:rsidTr="00D44DCC">
        <w:trPr>
          <w:cnfStyle w:val="000000100000" w:firstRow="0" w:lastRow="0" w:firstColumn="0" w:lastColumn="0" w:oddVBand="0" w:evenVBand="0" w:oddHBand="1" w:evenHBand="0" w:firstRowFirstColumn="0" w:firstRowLastColumn="0" w:lastRowFirstColumn="0" w:lastRowLastColumn="0"/>
        </w:trPr>
        <w:tc>
          <w:tcPr>
            <w:tcW w:w="238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BE5F1" w:themeFill="accent1" w:themeFillTint="33"/>
          </w:tcPr>
          <w:p w14:paraId="7103CC5B" w14:textId="77777777" w:rsidR="00D44DCC" w:rsidRPr="002C1E2B" w:rsidRDefault="00D44DCC" w:rsidP="00D44DCC">
            <w:pPr>
              <w:pStyle w:val="BodyText"/>
              <w:spacing w:before="60" w:after="60"/>
              <w:ind w:left="1440" w:hanging="1440"/>
              <w:rPr>
                <w:rFonts w:ascii="Calibri" w:hAnsi="Calibri"/>
                <w:b/>
                <w:sz w:val="20"/>
                <w:szCs w:val="20"/>
              </w:rPr>
            </w:pPr>
            <w:r w:rsidRPr="002C1E2B">
              <w:rPr>
                <w:rFonts w:ascii="Calibri" w:hAnsi="Calibri"/>
                <w:b/>
                <w:sz w:val="20"/>
                <w:szCs w:val="20"/>
              </w:rPr>
              <w:t>Population assumptions</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BE5F1" w:themeFill="accent1" w:themeFillTint="33"/>
          </w:tcPr>
          <w:p w14:paraId="39C3C34F" w14:textId="77777777" w:rsidR="00D44DCC" w:rsidRPr="002C1E2B" w:rsidRDefault="00D44DCC" w:rsidP="00D44DCC">
            <w:pPr>
              <w:spacing w:before="60" w:after="60"/>
              <w:ind w:left="1440" w:hanging="1440"/>
              <w:jc w:val="right"/>
              <w:rPr>
                <w:rFonts w:ascii="Calibri" w:hAnsi="Calibri"/>
                <w:sz w:val="20"/>
                <w:szCs w:val="20"/>
              </w:rPr>
            </w:pP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BE5F1" w:themeFill="accent1" w:themeFillTint="33"/>
          </w:tcPr>
          <w:p w14:paraId="2628781B" w14:textId="77777777" w:rsidR="00D44DCC" w:rsidRPr="002C1E2B" w:rsidRDefault="00D44DCC" w:rsidP="00D44DCC">
            <w:pPr>
              <w:spacing w:before="60" w:after="60"/>
              <w:ind w:left="1440" w:hanging="1440"/>
              <w:jc w:val="right"/>
              <w:rPr>
                <w:rFonts w:ascii="Calibri" w:hAnsi="Calibri"/>
                <w:sz w:val="20"/>
                <w:szCs w:val="20"/>
              </w:rPr>
            </w:pPr>
          </w:p>
        </w:tc>
        <w:tc>
          <w:tcPr>
            <w:tcW w:w="87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BE5F1" w:themeFill="accent1" w:themeFillTint="33"/>
          </w:tcPr>
          <w:p w14:paraId="79946571" w14:textId="77777777" w:rsidR="00D44DCC" w:rsidRPr="002C1E2B" w:rsidRDefault="00D44DCC" w:rsidP="00D44DCC">
            <w:pPr>
              <w:spacing w:before="60" w:after="60"/>
              <w:ind w:left="1440" w:hanging="1440"/>
              <w:jc w:val="right"/>
              <w:rPr>
                <w:rFonts w:ascii="Calibri" w:hAnsi="Calibri"/>
                <w:sz w:val="20"/>
                <w:szCs w:val="20"/>
              </w:rPr>
            </w:pPr>
          </w:p>
        </w:tc>
      </w:tr>
      <w:tr w:rsidR="00B654D0" w:rsidRPr="002C1E2B" w14:paraId="7C1A92EF" w14:textId="77777777" w:rsidTr="007B2C64">
        <w:trPr>
          <w:cnfStyle w:val="000000010000" w:firstRow="0" w:lastRow="0" w:firstColumn="0" w:lastColumn="0" w:oddVBand="0" w:evenVBand="0" w:oddHBand="0" w:evenHBand="1" w:firstRowFirstColumn="0" w:firstRowLastColumn="0" w:lastRowFirstColumn="0" w:lastRowLastColumn="0"/>
        </w:trPr>
        <w:tc>
          <w:tcPr>
            <w:tcW w:w="2385" w:type="pct"/>
            <w:shd w:val="clear" w:color="auto" w:fill="FFFFFF" w:themeFill="background1"/>
          </w:tcPr>
          <w:p w14:paraId="4631279A" w14:textId="77777777" w:rsidR="00D44DCC" w:rsidRPr="002C1E2B" w:rsidRDefault="00D44DCC" w:rsidP="00D44DCC">
            <w:pPr>
              <w:pStyle w:val="BodyText"/>
              <w:spacing w:before="60" w:after="60"/>
              <w:ind w:left="1440" w:hanging="1440"/>
              <w:rPr>
                <w:rFonts w:ascii="Calibri" w:hAnsi="Calibri"/>
                <w:sz w:val="20"/>
                <w:szCs w:val="20"/>
              </w:rPr>
            </w:pPr>
            <w:r w:rsidRPr="002C1E2B">
              <w:rPr>
                <w:rFonts w:ascii="Calibri" w:hAnsi="Calibri"/>
                <w:sz w:val="20"/>
                <w:szCs w:val="20"/>
              </w:rPr>
              <w:t>Residents receiving six month rule</w:t>
            </w:r>
          </w:p>
        </w:tc>
        <w:tc>
          <w:tcPr>
            <w:tcW w:w="872" w:type="pct"/>
            <w:shd w:val="clear" w:color="auto" w:fill="FFFFFF" w:themeFill="background1"/>
            <w:vAlign w:val="center"/>
          </w:tcPr>
          <w:p w14:paraId="66C90E38" w14:textId="77777777" w:rsidR="00D44DCC" w:rsidRPr="002C1E2B" w:rsidRDefault="00D44DCC" w:rsidP="00D44DCC">
            <w:pPr>
              <w:spacing w:after="0"/>
              <w:ind w:left="1440" w:hanging="1440"/>
              <w:jc w:val="right"/>
              <w:rPr>
                <w:rFonts w:ascii="Calibri" w:hAnsi="Calibri"/>
                <w:sz w:val="20"/>
                <w:szCs w:val="20"/>
              </w:rPr>
            </w:pPr>
            <w:r w:rsidRPr="002C1E2B">
              <w:rPr>
                <w:rFonts w:ascii="Calibri" w:hAnsi="Calibri"/>
                <w:sz w:val="20"/>
                <w:szCs w:val="20"/>
              </w:rPr>
              <w:t>0</w:t>
            </w:r>
          </w:p>
        </w:tc>
        <w:tc>
          <w:tcPr>
            <w:tcW w:w="872" w:type="pct"/>
            <w:shd w:val="clear" w:color="auto" w:fill="FFFFFF" w:themeFill="background1"/>
            <w:vAlign w:val="center"/>
          </w:tcPr>
          <w:p w14:paraId="4A335AED" w14:textId="77777777" w:rsidR="00D44DCC" w:rsidRPr="002C1E2B" w:rsidRDefault="00D44DCC" w:rsidP="00D44DCC">
            <w:pPr>
              <w:spacing w:after="0"/>
              <w:ind w:left="1440" w:hanging="1440"/>
              <w:jc w:val="right"/>
              <w:rPr>
                <w:rFonts w:ascii="Calibri" w:hAnsi="Calibri"/>
                <w:sz w:val="20"/>
                <w:szCs w:val="20"/>
              </w:rPr>
            </w:pPr>
            <w:r w:rsidRPr="002C1E2B">
              <w:rPr>
                <w:rFonts w:ascii="Calibri" w:hAnsi="Calibri"/>
                <w:sz w:val="20"/>
                <w:szCs w:val="20"/>
              </w:rPr>
              <w:t>3,094</w:t>
            </w:r>
          </w:p>
        </w:tc>
        <w:tc>
          <w:tcPr>
            <w:tcW w:w="871" w:type="pct"/>
            <w:shd w:val="clear" w:color="auto" w:fill="FFFFFF" w:themeFill="background1"/>
            <w:vAlign w:val="center"/>
          </w:tcPr>
          <w:p w14:paraId="2F34151C" w14:textId="77777777" w:rsidR="00D44DCC" w:rsidRPr="002C1E2B" w:rsidRDefault="00D44DCC" w:rsidP="00D44DCC">
            <w:pPr>
              <w:spacing w:after="0"/>
              <w:ind w:left="1440" w:hanging="1440"/>
              <w:jc w:val="right"/>
              <w:rPr>
                <w:rFonts w:ascii="Calibri" w:hAnsi="Calibri"/>
                <w:sz w:val="20"/>
                <w:szCs w:val="20"/>
              </w:rPr>
            </w:pPr>
            <w:r w:rsidRPr="002C1E2B">
              <w:rPr>
                <w:rFonts w:ascii="Calibri" w:hAnsi="Calibri"/>
                <w:sz w:val="20"/>
                <w:szCs w:val="20"/>
              </w:rPr>
              <w:t>1,263</w:t>
            </w:r>
          </w:p>
        </w:tc>
      </w:tr>
      <w:tr w:rsidR="00B654D0" w:rsidRPr="002C1E2B" w14:paraId="49236157" w14:textId="77777777" w:rsidTr="007B2C64">
        <w:trPr>
          <w:cnfStyle w:val="000000100000" w:firstRow="0" w:lastRow="0" w:firstColumn="0" w:lastColumn="0" w:oddVBand="0" w:evenVBand="0" w:oddHBand="1" w:evenHBand="0" w:firstRowFirstColumn="0" w:firstRowLastColumn="0" w:lastRowFirstColumn="0" w:lastRowLastColumn="0"/>
        </w:trPr>
        <w:tc>
          <w:tcPr>
            <w:tcW w:w="2385" w:type="pct"/>
            <w:shd w:val="clear" w:color="auto" w:fill="FFFFFF" w:themeFill="background1"/>
          </w:tcPr>
          <w:p w14:paraId="2283CAC5" w14:textId="77777777" w:rsidR="00D44DCC" w:rsidRPr="002C1E2B" w:rsidRDefault="00D44DCC" w:rsidP="00D44DCC">
            <w:pPr>
              <w:pStyle w:val="BodyText"/>
              <w:spacing w:before="60" w:after="60"/>
              <w:ind w:left="1440" w:hanging="1440"/>
              <w:rPr>
                <w:rFonts w:ascii="Calibri" w:hAnsi="Calibri"/>
                <w:sz w:val="20"/>
                <w:szCs w:val="20"/>
              </w:rPr>
            </w:pPr>
            <w:r w:rsidRPr="002C1E2B">
              <w:rPr>
                <w:rFonts w:ascii="Calibri" w:hAnsi="Calibri"/>
                <w:sz w:val="20"/>
                <w:szCs w:val="20"/>
              </w:rPr>
              <w:t>Residents receiving  RAD based payment</w:t>
            </w:r>
          </w:p>
        </w:tc>
        <w:tc>
          <w:tcPr>
            <w:tcW w:w="872" w:type="pct"/>
            <w:shd w:val="clear" w:color="auto" w:fill="FFFFFF" w:themeFill="background1"/>
            <w:vAlign w:val="center"/>
          </w:tcPr>
          <w:p w14:paraId="3506A948" w14:textId="77777777" w:rsidR="00D44DCC" w:rsidRPr="002C1E2B" w:rsidRDefault="00D44DCC" w:rsidP="00D44DCC">
            <w:pPr>
              <w:spacing w:after="0"/>
              <w:ind w:left="1440" w:hanging="1440"/>
              <w:jc w:val="right"/>
              <w:rPr>
                <w:rFonts w:ascii="Calibri" w:hAnsi="Calibri"/>
                <w:sz w:val="20"/>
                <w:szCs w:val="20"/>
              </w:rPr>
            </w:pPr>
            <w:r w:rsidRPr="002C1E2B">
              <w:rPr>
                <w:rFonts w:ascii="Calibri" w:hAnsi="Calibri"/>
                <w:sz w:val="20"/>
                <w:szCs w:val="20"/>
              </w:rPr>
              <w:t>0</w:t>
            </w:r>
          </w:p>
        </w:tc>
        <w:tc>
          <w:tcPr>
            <w:tcW w:w="872" w:type="pct"/>
            <w:shd w:val="clear" w:color="auto" w:fill="FFFFFF" w:themeFill="background1"/>
            <w:vAlign w:val="center"/>
          </w:tcPr>
          <w:p w14:paraId="5B98EE18" w14:textId="77777777" w:rsidR="00D44DCC" w:rsidRPr="002C1E2B" w:rsidRDefault="00D44DCC" w:rsidP="00D44DCC">
            <w:pPr>
              <w:spacing w:after="0"/>
              <w:ind w:left="1440" w:hanging="1440"/>
              <w:jc w:val="right"/>
              <w:rPr>
                <w:rFonts w:ascii="Calibri" w:hAnsi="Calibri"/>
                <w:sz w:val="20"/>
                <w:szCs w:val="20"/>
              </w:rPr>
            </w:pPr>
            <w:r w:rsidRPr="002C1E2B">
              <w:rPr>
                <w:rFonts w:ascii="Calibri" w:hAnsi="Calibri"/>
                <w:sz w:val="20"/>
                <w:szCs w:val="20"/>
              </w:rPr>
              <w:t>0</w:t>
            </w:r>
          </w:p>
        </w:tc>
        <w:tc>
          <w:tcPr>
            <w:tcW w:w="871" w:type="pct"/>
            <w:shd w:val="clear" w:color="auto" w:fill="FFFFFF" w:themeFill="background1"/>
            <w:vAlign w:val="center"/>
          </w:tcPr>
          <w:p w14:paraId="14F2FEBD" w14:textId="77777777" w:rsidR="00D44DCC" w:rsidRPr="002C1E2B" w:rsidRDefault="00D44DCC" w:rsidP="00D44DCC">
            <w:pPr>
              <w:spacing w:after="0"/>
              <w:ind w:left="1440" w:hanging="1440"/>
              <w:jc w:val="right"/>
              <w:rPr>
                <w:rFonts w:ascii="Calibri" w:hAnsi="Calibri"/>
                <w:sz w:val="20"/>
                <w:szCs w:val="20"/>
              </w:rPr>
            </w:pPr>
            <w:r w:rsidRPr="002C1E2B">
              <w:rPr>
                <w:rFonts w:ascii="Calibri" w:hAnsi="Calibri"/>
                <w:sz w:val="20"/>
                <w:szCs w:val="20"/>
              </w:rPr>
              <w:t>0</w:t>
            </w:r>
          </w:p>
        </w:tc>
      </w:tr>
      <w:tr w:rsidR="00B654D0" w:rsidRPr="002C1E2B" w14:paraId="2AC91BEE" w14:textId="77777777" w:rsidTr="00263234">
        <w:trPr>
          <w:cnfStyle w:val="000000010000" w:firstRow="0" w:lastRow="0" w:firstColumn="0" w:lastColumn="0" w:oddVBand="0" w:evenVBand="0" w:oddHBand="0" w:evenHBand="1" w:firstRowFirstColumn="0" w:firstRowLastColumn="0" w:lastRowFirstColumn="0" w:lastRowLastColumn="0"/>
        </w:trPr>
        <w:tc>
          <w:tcPr>
            <w:tcW w:w="2385" w:type="pct"/>
            <w:shd w:val="clear" w:color="auto" w:fill="FFFFFF" w:themeFill="background1"/>
          </w:tcPr>
          <w:p w14:paraId="6D5A27C9" w14:textId="77777777" w:rsidR="00D44DCC" w:rsidRPr="002C1E2B" w:rsidRDefault="00D44DCC" w:rsidP="00D44DCC">
            <w:pPr>
              <w:pStyle w:val="BodyText"/>
              <w:spacing w:before="60" w:after="60"/>
              <w:ind w:left="1440" w:hanging="1440"/>
              <w:rPr>
                <w:rFonts w:ascii="Calibri" w:hAnsi="Calibri"/>
                <w:sz w:val="20"/>
                <w:szCs w:val="20"/>
              </w:rPr>
            </w:pPr>
            <w:r w:rsidRPr="002C1E2B">
              <w:rPr>
                <w:rFonts w:ascii="Calibri" w:hAnsi="Calibri"/>
                <w:sz w:val="20"/>
                <w:szCs w:val="20"/>
              </w:rPr>
              <w:t xml:space="preserve">Residents receiving DAP based payment </w:t>
            </w:r>
          </w:p>
        </w:tc>
        <w:tc>
          <w:tcPr>
            <w:tcW w:w="872" w:type="pct"/>
            <w:shd w:val="clear" w:color="auto" w:fill="FFFFFF" w:themeFill="background1"/>
            <w:vAlign w:val="center"/>
          </w:tcPr>
          <w:p w14:paraId="36B53A6A" w14:textId="77777777" w:rsidR="00D44DCC" w:rsidRPr="002C1E2B" w:rsidRDefault="00D44DCC" w:rsidP="00D44DCC">
            <w:pPr>
              <w:spacing w:after="0"/>
              <w:ind w:left="1440" w:hanging="1440"/>
              <w:jc w:val="right"/>
              <w:rPr>
                <w:rFonts w:ascii="Calibri" w:hAnsi="Calibri"/>
                <w:sz w:val="20"/>
                <w:szCs w:val="20"/>
              </w:rPr>
            </w:pPr>
            <w:r w:rsidRPr="002C1E2B">
              <w:rPr>
                <w:rFonts w:ascii="Calibri" w:hAnsi="Calibri"/>
                <w:sz w:val="20"/>
                <w:szCs w:val="20"/>
              </w:rPr>
              <w:t>0</w:t>
            </w:r>
          </w:p>
        </w:tc>
        <w:tc>
          <w:tcPr>
            <w:tcW w:w="872" w:type="pct"/>
            <w:shd w:val="clear" w:color="auto" w:fill="FFFFFF" w:themeFill="background1"/>
            <w:vAlign w:val="center"/>
          </w:tcPr>
          <w:p w14:paraId="618EB9AA" w14:textId="77777777" w:rsidR="00D44DCC" w:rsidRPr="002C1E2B" w:rsidRDefault="00D44DCC" w:rsidP="00D44DCC">
            <w:pPr>
              <w:spacing w:after="0"/>
              <w:ind w:left="1440" w:hanging="1440"/>
              <w:jc w:val="right"/>
              <w:rPr>
                <w:rFonts w:ascii="Calibri" w:hAnsi="Calibri"/>
                <w:sz w:val="20"/>
                <w:szCs w:val="20"/>
              </w:rPr>
            </w:pPr>
            <w:r w:rsidRPr="002C1E2B">
              <w:rPr>
                <w:rFonts w:ascii="Calibri" w:hAnsi="Calibri"/>
                <w:sz w:val="20"/>
                <w:szCs w:val="20"/>
              </w:rPr>
              <w:t>0</w:t>
            </w:r>
          </w:p>
        </w:tc>
        <w:tc>
          <w:tcPr>
            <w:tcW w:w="871" w:type="pct"/>
            <w:shd w:val="clear" w:color="auto" w:fill="FFFFFF" w:themeFill="background1"/>
            <w:vAlign w:val="center"/>
          </w:tcPr>
          <w:p w14:paraId="3B75A1B3" w14:textId="77777777" w:rsidR="00D44DCC" w:rsidRPr="002C1E2B" w:rsidRDefault="00D44DCC" w:rsidP="00D44DCC">
            <w:pPr>
              <w:spacing w:after="0"/>
              <w:ind w:left="1440" w:hanging="1440"/>
              <w:jc w:val="right"/>
              <w:rPr>
                <w:rFonts w:ascii="Calibri" w:hAnsi="Calibri"/>
                <w:sz w:val="20"/>
                <w:szCs w:val="20"/>
              </w:rPr>
            </w:pPr>
            <w:r w:rsidRPr="002C1E2B">
              <w:rPr>
                <w:rFonts w:ascii="Calibri" w:hAnsi="Calibri"/>
                <w:sz w:val="20"/>
                <w:szCs w:val="20"/>
              </w:rPr>
              <w:t>0</w:t>
            </w:r>
          </w:p>
        </w:tc>
      </w:tr>
      <w:tr w:rsidR="00A169E6" w:rsidRPr="002C1E2B" w14:paraId="6F160A19" w14:textId="77777777" w:rsidTr="00263234">
        <w:trPr>
          <w:cnfStyle w:val="000000100000" w:firstRow="0" w:lastRow="0" w:firstColumn="0" w:lastColumn="0" w:oddVBand="0" w:evenVBand="0" w:oddHBand="1" w:evenHBand="0" w:firstRowFirstColumn="0" w:firstRowLastColumn="0" w:lastRowFirstColumn="0" w:lastRowLastColumn="0"/>
        </w:trPr>
        <w:tc>
          <w:tcPr>
            <w:tcW w:w="2385" w:type="pct"/>
            <w:shd w:val="clear" w:color="auto" w:fill="FFFFFF" w:themeFill="background1"/>
          </w:tcPr>
          <w:p w14:paraId="00415361" w14:textId="77777777" w:rsidR="005800FE" w:rsidRPr="002C1E2B" w:rsidRDefault="00A649B7" w:rsidP="00D44DCC">
            <w:pPr>
              <w:pStyle w:val="BodyText"/>
              <w:spacing w:before="60" w:after="60"/>
              <w:ind w:left="1440" w:hanging="1440"/>
              <w:rPr>
                <w:rFonts w:ascii="Calibri" w:hAnsi="Calibri"/>
                <w:sz w:val="20"/>
                <w:szCs w:val="20"/>
              </w:rPr>
            </w:pPr>
            <w:r>
              <w:rPr>
                <w:rFonts w:ascii="Calibri" w:hAnsi="Calibri"/>
                <w:sz w:val="20"/>
                <w:szCs w:val="20"/>
              </w:rPr>
              <w:t>Residents receiving not eligible for early payment</w:t>
            </w:r>
          </w:p>
        </w:tc>
        <w:tc>
          <w:tcPr>
            <w:tcW w:w="872" w:type="pct"/>
            <w:shd w:val="clear" w:color="auto" w:fill="FFFFFF" w:themeFill="background1"/>
            <w:vAlign w:val="center"/>
          </w:tcPr>
          <w:p w14:paraId="65286283" w14:textId="77777777" w:rsidR="005800FE" w:rsidRPr="002C1E2B" w:rsidRDefault="00A649B7" w:rsidP="00D44DCC">
            <w:pPr>
              <w:spacing w:after="0"/>
              <w:ind w:left="1440" w:hanging="1440"/>
              <w:jc w:val="right"/>
              <w:rPr>
                <w:rFonts w:ascii="Calibri" w:hAnsi="Calibri"/>
                <w:sz w:val="20"/>
                <w:szCs w:val="20"/>
              </w:rPr>
            </w:pPr>
            <w:r>
              <w:rPr>
                <w:rFonts w:ascii="Calibri" w:hAnsi="Calibri"/>
                <w:sz w:val="20"/>
                <w:szCs w:val="20"/>
              </w:rPr>
              <w:t>1,030</w:t>
            </w:r>
          </w:p>
        </w:tc>
        <w:tc>
          <w:tcPr>
            <w:tcW w:w="872" w:type="pct"/>
            <w:shd w:val="clear" w:color="auto" w:fill="FFFFFF" w:themeFill="background1"/>
            <w:vAlign w:val="center"/>
          </w:tcPr>
          <w:p w14:paraId="59583739" w14:textId="77777777" w:rsidR="005800FE" w:rsidRPr="002C1E2B" w:rsidRDefault="00A649B7" w:rsidP="00D44DCC">
            <w:pPr>
              <w:spacing w:after="0"/>
              <w:ind w:left="1440" w:hanging="1440"/>
              <w:jc w:val="right"/>
              <w:rPr>
                <w:rFonts w:ascii="Calibri" w:hAnsi="Calibri"/>
                <w:sz w:val="20"/>
                <w:szCs w:val="20"/>
              </w:rPr>
            </w:pPr>
            <w:r>
              <w:rPr>
                <w:rFonts w:ascii="Calibri" w:hAnsi="Calibri"/>
                <w:sz w:val="20"/>
                <w:szCs w:val="20"/>
              </w:rPr>
              <w:t>0</w:t>
            </w:r>
          </w:p>
        </w:tc>
        <w:tc>
          <w:tcPr>
            <w:tcW w:w="871" w:type="pct"/>
            <w:shd w:val="clear" w:color="auto" w:fill="FFFFFF" w:themeFill="background1"/>
            <w:vAlign w:val="center"/>
          </w:tcPr>
          <w:p w14:paraId="284B62B2" w14:textId="77777777" w:rsidR="005800FE" w:rsidRPr="002C1E2B" w:rsidRDefault="00A649B7" w:rsidP="00D44DCC">
            <w:pPr>
              <w:spacing w:after="0"/>
              <w:ind w:left="1440" w:hanging="1440"/>
              <w:jc w:val="right"/>
              <w:rPr>
                <w:rFonts w:ascii="Calibri" w:hAnsi="Calibri"/>
                <w:sz w:val="20"/>
                <w:szCs w:val="20"/>
              </w:rPr>
            </w:pPr>
            <w:r>
              <w:rPr>
                <w:rFonts w:ascii="Calibri" w:hAnsi="Calibri"/>
                <w:sz w:val="20"/>
                <w:szCs w:val="20"/>
              </w:rPr>
              <w:t>1,106</w:t>
            </w:r>
          </w:p>
        </w:tc>
      </w:tr>
      <w:tr w:rsidR="00B654D0" w:rsidRPr="002C1E2B" w14:paraId="4140F39C" w14:textId="77777777" w:rsidTr="007B2C64">
        <w:trPr>
          <w:cnfStyle w:val="000000010000" w:firstRow="0" w:lastRow="0" w:firstColumn="0" w:lastColumn="0" w:oddVBand="0" w:evenVBand="0" w:oddHBand="0" w:evenHBand="1" w:firstRowFirstColumn="0" w:firstRowLastColumn="0" w:lastRowFirstColumn="0" w:lastRowLastColumn="0"/>
        </w:trPr>
        <w:tc>
          <w:tcPr>
            <w:tcW w:w="2385" w:type="pct"/>
            <w:shd w:val="clear" w:color="auto" w:fill="DBE5F1" w:themeFill="accent1" w:themeFillTint="33"/>
          </w:tcPr>
          <w:p w14:paraId="3B8E4D34" w14:textId="77777777" w:rsidR="00D44DCC" w:rsidRPr="002C1E2B" w:rsidRDefault="00D44DCC" w:rsidP="00D44DCC">
            <w:pPr>
              <w:pStyle w:val="BodyText"/>
              <w:spacing w:before="60" w:after="60"/>
              <w:ind w:left="1440" w:hanging="1440"/>
              <w:rPr>
                <w:rFonts w:ascii="Calibri" w:hAnsi="Calibri"/>
                <w:b/>
                <w:sz w:val="20"/>
                <w:szCs w:val="20"/>
              </w:rPr>
            </w:pPr>
            <w:r w:rsidRPr="002C1E2B">
              <w:rPr>
                <w:rFonts w:ascii="Calibri" w:hAnsi="Calibri"/>
                <w:b/>
                <w:sz w:val="20"/>
                <w:szCs w:val="20"/>
              </w:rPr>
              <w:t>Cost to residents moving to aged care</w:t>
            </w:r>
          </w:p>
        </w:tc>
        <w:tc>
          <w:tcPr>
            <w:tcW w:w="872" w:type="pct"/>
            <w:shd w:val="clear" w:color="auto" w:fill="DBE5F1" w:themeFill="accent1" w:themeFillTint="33"/>
            <w:vAlign w:val="center"/>
          </w:tcPr>
          <w:p w14:paraId="5D34A1ED" w14:textId="77777777" w:rsidR="00D44DCC" w:rsidRPr="002C1E2B" w:rsidRDefault="00D44DCC" w:rsidP="00D44DCC">
            <w:pPr>
              <w:spacing w:after="0"/>
              <w:ind w:left="1440" w:hanging="1440"/>
              <w:jc w:val="right"/>
              <w:rPr>
                <w:rFonts w:ascii="Calibri" w:hAnsi="Calibri"/>
                <w:sz w:val="20"/>
                <w:szCs w:val="20"/>
              </w:rPr>
            </w:pPr>
            <w:r w:rsidRPr="002C1E2B">
              <w:rPr>
                <w:rFonts w:ascii="Calibri" w:hAnsi="Calibri"/>
                <w:sz w:val="20"/>
                <w:szCs w:val="20"/>
              </w:rPr>
              <w:t> </w:t>
            </w:r>
          </w:p>
        </w:tc>
        <w:tc>
          <w:tcPr>
            <w:tcW w:w="872" w:type="pct"/>
            <w:shd w:val="clear" w:color="auto" w:fill="DBE5F1" w:themeFill="accent1" w:themeFillTint="33"/>
            <w:vAlign w:val="center"/>
          </w:tcPr>
          <w:p w14:paraId="4734D95D" w14:textId="77777777" w:rsidR="00D44DCC" w:rsidRPr="002C1E2B" w:rsidRDefault="00D44DCC" w:rsidP="00D44DCC">
            <w:pPr>
              <w:spacing w:after="0"/>
              <w:ind w:left="1440" w:hanging="1440"/>
              <w:jc w:val="right"/>
              <w:rPr>
                <w:rFonts w:ascii="Calibri" w:hAnsi="Calibri"/>
                <w:sz w:val="20"/>
                <w:szCs w:val="20"/>
              </w:rPr>
            </w:pPr>
            <w:r w:rsidRPr="002C1E2B">
              <w:rPr>
                <w:rFonts w:ascii="Calibri" w:hAnsi="Calibri"/>
                <w:sz w:val="20"/>
                <w:szCs w:val="20"/>
              </w:rPr>
              <w:t> </w:t>
            </w:r>
          </w:p>
        </w:tc>
        <w:tc>
          <w:tcPr>
            <w:tcW w:w="871" w:type="pct"/>
            <w:shd w:val="clear" w:color="auto" w:fill="DBE5F1" w:themeFill="accent1" w:themeFillTint="33"/>
            <w:vAlign w:val="center"/>
          </w:tcPr>
          <w:p w14:paraId="51839D93" w14:textId="77777777" w:rsidR="00D44DCC" w:rsidRPr="002C1E2B" w:rsidRDefault="00D44DCC" w:rsidP="00D44DCC">
            <w:pPr>
              <w:spacing w:after="0"/>
              <w:ind w:left="1440" w:hanging="1440"/>
              <w:jc w:val="right"/>
              <w:rPr>
                <w:rFonts w:ascii="Calibri" w:hAnsi="Calibri"/>
                <w:sz w:val="20"/>
                <w:szCs w:val="20"/>
              </w:rPr>
            </w:pPr>
            <w:r w:rsidRPr="002C1E2B">
              <w:rPr>
                <w:rFonts w:ascii="Calibri" w:hAnsi="Calibri"/>
                <w:sz w:val="20"/>
                <w:szCs w:val="20"/>
              </w:rPr>
              <w:t> </w:t>
            </w:r>
          </w:p>
        </w:tc>
      </w:tr>
      <w:tr w:rsidR="00B654D0" w:rsidRPr="002C1E2B" w14:paraId="408D03B5" w14:textId="77777777" w:rsidTr="007B2C64">
        <w:trPr>
          <w:cnfStyle w:val="000000100000" w:firstRow="0" w:lastRow="0" w:firstColumn="0" w:lastColumn="0" w:oddVBand="0" w:evenVBand="0" w:oddHBand="1" w:evenHBand="0" w:firstRowFirstColumn="0" w:firstRowLastColumn="0" w:lastRowFirstColumn="0" w:lastRowLastColumn="0"/>
        </w:trPr>
        <w:tc>
          <w:tcPr>
            <w:tcW w:w="2385" w:type="pct"/>
            <w:shd w:val="clear" w:color="auto" w:fill="FFFFFF" w:themeFill="background1"/>
          </w:tcPr>
          <w:p w14:paraId="73CE6E07" w14:textId="77777777" w:rsidR="00D44DCC" w:rsidRPr="002C1E2B" w:rsidRDefault="00D44DCC" w:rsidP="00D44DCC">
            <w:pPr>
              <w:pStyle w:val="BodyText"/>
              <w:spacing w:before="60" w:after="60"/>
              <w:ind w:left="1440" w:hanging="1440"/>
              <w:rPr>
                <w:rFonts w:ascii="Calibri" w:hAnsi="Calibri"/>
                <w:sz w:val="20"/>
                <w:szCs w:val="20"/>
              </w:rPr>
            </w:pPr>
            <w:r w:rsidRPr="002C1E2B">
              <w:rPr>
                <w:rFonts w:ascii="Calibri" w:hAnsi="Calibri"/>
                <w:sz w:val="20"/>
                <w:szCs w:val="20"/>
              </w:rPr>
              <w:t>Residents receiving six month rule</w:t>
            </w:r>
          </w:p>
        </w:tc>
        <w:tc>
          <w:tcPr>
            <w:tcW w:w="872" w:type="pct"/>
            <w:shd w:val="clear" w:color="auto" w:fill="FFFFFF" w:themeFill="background1"/>
            <w:vAlign w:val="center"/>
          </w:tcPr>
          <w:p w14:paraId="515FF1E3" w14:textId="77777777" w:rsidR="00D44DCC" w:rsidRPr="002C1E2B" w:rsidRDefault="00D44DCC" w:rsidP="00D44DCC">
            <w:pPr>
              <w:spacing w:after="0"/>
              <w:ind w:left="1440" w:hanging="1440"/>
              <w:jc w:val="right"/>
              <w:rPr>
                <w:rFonts w:ascii="Calibri" w:hAnsi="Calibri"/>
                <w:sz w:val="20"/>
                <w:szCs w:val="20"/>
              </w:rPr>
            </w:pPr>
            <w:r w:rsidRPr="002C1E2B">
              <w:rPr>
                <w:rFonts w:ascii="Calibri" w:hAnsi="Calibri"/>
                <w:sz w:val="20"/>
                <w:szCs w:val="20"/>
              </w:rPr>
              <w:t>0</w:t>
            </w:r>
          </w:p>
        </w:tc>
        <w:tc>
          <w:tcPr>
            <w:tcW w:w="872" w:type="pct"/>
            <w:shd w:val="clear" w:color="auto" w:fill="FFFFFF" w:themeFill="background1"/>
            <w:vAlign w:val="center"/>
          </w:tcPr>
          <w:p w14:paraId="68CF6828" w14:textId="77777777" w:rsidR="00D44DCC" w:rsidRPr="002C1E2B" w:rsidRDefault="00D44DCC" w:rsidP="00D44DCC">
            <w:pPr>
              <w:spacing w:after="0"/>
              <w:ind w:left="1440" w:hanging="1440"/>
              <w:jc w:val="right"/>
              <w:rPr>
                <w:rFonts w:ascii="Calibri" w:hAnsi="Calibri"/>
                <w:sz w:val="20"/>
                <w:szCs w:val="20"/>
              </w:rPr>
            </w:pPr>
            <w:r w:rsidRPr="002C1E2B">
              <w:rPr>
                <w:rFonts w:ascii="Calibri" w:hAnsi="Calibri"/>
                <w:sz w:val="20"/>
                <w:szCs w:val="20"/>
              </w:rPr>
              <w:t>-26,205,405</w:t>
            </w:r>
          </w:p>
        </w:tc>
        <w:tc>
          <w:tcPr>
            <w:tcW w:w="871" w:type="pct"/>
            <w:shd w:val="clear" w:color="auto" w:fill="FFFFFF" w:themeFill="background1"/>
            <w:vAlign w:val="center"/>
          </w:tcPr>
          <w:p w14:paraId="77DBA670" w14:textId="77777777" w:rsidR="00D44DCC" w:rsidRPr="002C1E2B" w:rsidRDefault="00D44DCC" w:rsidP="00D44DCC">
            <w:pPr>
              <w:spacing w:after="0"/>
              <w:ind w:left="1440" w:hanging="1440"/>
              <w:jc w:val="right"/>
              <w:rPr>
                <w:rFonts w:ascii="Calibri" w:hAnsi="Calibri"/>
                <w:sz w:val="20"/>
                <w:szCs w:val="20"/>
              </w:rPr>
            </w:pPr>
            <w:r w:rsidRPr="002C1E2B">
              <w:rPr>
                <w:rFonts w:ascii="Calibri" w:hAnsi="Calibri"/>
                <w:sz w:val="20"/>
                <w:szCs w:val="20"/>
              </w:rPr>
              <w:t>-10,698,140</w:t>
            </w:r>
          </w:p>
        </w:tc>
      </w:tr>
      <w:tr w:rsidR="00B654D0" w:rsidRPr="002C1E2B" w14:paraId="50226546" w14:textId="77777777" w:rsidTr="00263234">
        <w:trPr>
          <w:cnfStyle w:val="000000010000" w:firstRow="0" w:lastRow="0" w:firstColumn="0" w:lastColumn="0" w:oddVBand="0" w:evenVBand="0" w:oddHBand="0" w:evenHBand="1" w:firstRowFirstColumn="0" w:firstRowLastColumn="0" w:lastRowFirstColumn="0" w:lastRowLastColumn="0"/>
        </w:trPr>
        <w:tc>
          <w:tcPr>
            <w:tcW w:w="2385" w:type="pct"/>
            <w:shd w:val="clear" w:color="auto" w:fill="FFFFFF" w:themeFill="background1"/>
          </w:tcPr>
          <w:p w14:paraId="7CD41BAE" w14:textId="77777777" w:rsidR="00D44DCC" w:rsidRPr="002C1E2B" w:rsidRDefault="00D44DCC" w:rsidP="00D44DCC">
            <w:pPr>
              <w:pStyle w:val="BodyText"/>
              <w:spacing w:before="60" w:after="60"/>
              <w:ind w:left="1440" w:hanging="1440"/>
              <w:rPr>
                <w:rFonts w:ascii="Calibri" w:hAnsi="Calibri"/>
                <w:sz w:val="20"/>
                <w:szCs w:val="20"/>
              </w:rPr>
            </w:pPr>
            <w:r w:rsidRPr="002C1E2B">
              <w:rPr>
                <w:rFonts w:ascii="Calibri" w:hAnsi="Calibri"/>
                <w:sz w:val="20"/>
                <w:szCs w:val="20"/>
              </w:rPr>
              <w:lastRenderedPageBreak/>
              <w:t>Residents receiving  RAD based payment</w:t>
            </w:r>
          </w:p>
        </w:tc>
        <w:tc>
          <w:tcPr>
            <w:tcW w:w="872" w:type="pct"/>
            <w:shd w:val="clear" w:color="auto" w:fill="FFFFFF" w:themeFill="background1"/>
            <w:vAlign w:val="center"/>
          </w:tcPr>
          <w:p w14:paraId="7036D5BF" w14:textId="77777777" w:rsidR="00D44DCC" w:rsidRPr="002C1E2B" w:rsidRDefault="00D44DCC" w:rsidP="00D44DCC">
            <w:pPr>
              <w:spacing w:after="0"/>
              <w:ind w:left="1440" w:hanging="1440"/>
              <w:jc w:val="right"/>
              <w:rPr>
                <w:rFonts w:ascii="Calibri" w:hAnsi="Calibri"/>
                <w:sz w:val="20"/>
                <w:szCs w:val="20"/>
              </w:rPr>
            </w:pPr>
            <w:r w:rsidRPr="002C1E2B">
              <w:rPr>
                <w:rFonts w:ascii="Calibri" w:hAnsi="Calibri"/>
                <w:sz w:val="20"/>
                <w:szCs w:val="20"/>
              </w:rPr>
              <w:t>0</w:t>
            </w:r>
          </w:p>
        </w:tc>
        <w:tc>
          <w:tcPr>
            <w:tcW w:w="872" w:type="pct"/>
            <w:shd w:val="clear" w:color="auto" w:fill="FFFFFF" w:themeFill="background1"/>
            <w:vAlign w:val="center"/>
          </w:tcPr>
          <w:p w14:paraId="02B3040A" w14:textId="77777777" w:rsidR="00D44DCC" w:rsidRPr="002C1E2B" w:rsidRDefault="00D44DCC" w:rsidP="00D44DCC">
            <w:pPr>
              <w:spacing w:after="0"/>
              <w:ind w:left="1440" w:hanging="1440"/>
              <w:jc w:val="right"/>
              <w:rPr>
                <w:rFonts w:ascii="Calibri" w:hAnsi="Calibri"/>
                <w:sz w:val="20"/>
                <w:szCs w:val="20"/>
              </w:rPr>
            </w:pPr>
            <w:r w:rsidRPr="002C1E2B">
              <w:rPr>
                <w:rFonts w:ascii="Calibri" w:hAnsi="Calibri"/>
                <w:sz w:val="20"/>
                <w:szCs w:val="20"/>
              </w:rPr>
              <w:t>0</w:t>
            </w:r>
          </w:p>
        </w:tc>
        <w:tc>
          <w:tcPr>
            <w:tcW w:w="871" w:type="pct"/>
            <w:shd w:val="clear" w:color="auto" w:fill="FFFFFF" w:themeFill="background1"/>
            <w:vAlign w:val="center"/>
          </w:tcPr>
          <w:p w14:paraId="28AEACA8" w14:textId="77777777" w:rsidR="00D44DCC" w:rsidRPr="002C1E2B" w:rsidRDefault="00D44DCC" w:rsidP="00D44DCC">
            <w:pPr>
              <w:spacing w:after="0"/>
              <w:ind w:left="1440" w:hanging="1440"/>
              <w:jc w:val="right"/>
              <w:rPr>
                <w:rFonts w:ascii="Calibri" w:hAnsi="Calibri"/>
                <w:sz w:val="20"/>
                <w:szCs w:val="20"/>
              </w:rPr>
            </w:pPr>
            <w:r w:rsidRPr="002C1E2B">
              <w:rPr>
                <w:rFonts w:ascii="Calibri" w:hAnsi="Calibri"/>
                <w:sz w:val="20"/>
                <w:szCs w:val="20"/>
              </w:rPr>
              <w:t>0 </w:t>
            </w:r>
          </w:p>
        </w:tc>
      </w:tr>
      <w:tr w:rsidR="00B654D0" w:rsidRPr="002C1E2B" w14:paraId="3515EBB1" w14:textId="77777777" w:rsidTr="007B2C64">
        <w:trPr>
          <w:cnfStyle w:val="000000100000" w:firstRow="0" w:lastRow="0" w:firstColumn="0" w:lastColumn="0" w:oddVBand="0" w:evenVBand="0" w:oddHBand="1" w:evenHBand="0" w:firstRowFirstColumn="0" w:firstRowLastColumn="0" w:lastRowFirstColumn="0" w:lastRowLastColumn="0"/>
        </w:trPr>
        <w:tc>
          <w:tcPr>
            <w:tcW w:w="2385" w:type="pct"/>
            <w:shd w:val="clear" w:color="auto" w:fill="FFFFFF" w:themeFill="background1"/>
          </w:tcPr>
          <w:p w14:paraId="529420C5" w14:textId="77777777" w:rsidR="00D44DCC" w:rsidRPr="002C1E2B" w:rsidRDefault="00D44DCC" w:rsidP="00D44DCC">
            <w:pPr>
              <w:pStyle w:val="BodyText"/>
              <w:spacing w:before="60" w:after="60"/>
              <w:ind w:left="1440" w:hanging="1440"/>
              <w:rPr>
                <w:rFonts w:ascii="Calibri" w:hAnsi="Calibri"/>
                <w:sz w:val="20"/>
                <w:szCs w:val="20"/>
              </w:rPr>
            </w:pPr>
            <w:r w:rsidRPr="002C1E2B">
              <w:rPr>
                <w:rFonts w:ascii="Calibri" w:hAnsi="Calibri"/>
                <w:sz w:val="20"/>
                <w:szCs w:val="20"/>
              </w:rPr>
              <w:t xml:space="preserve">Residents receiving DAP based payment </w:t>
            </w:r>
          </w:p>
        </w:tc>
        <w:tc>
          <w:tcPr>
            <w:tcW w:w="872" w:type="pct"/>
            <w:shd w:val="clear" w:color="auto" w:fill="FFFFFF" w:themeFill="background1"/>
            <w:vAlign w:val="center"/>
          </w:tcPr>
          <w:p w14:paraId="17BA0674" w14:textId="77777777" w:rsidR="00D44DCC" w:rsidRPr="002C1E2B" w:rsidRDefault="00D44DCC" w:rsidP="00D44DCC">
            <w:pPr>
              <w:spacing w:after="0"/>
              <w:ind w:left="1440" w:hanging="1440"/>
              <w:jc w:val="right"/>
              <w:rPr>
                <w:rFonts w:ascii="Calibri" w:hAnsi="Calibri"/>
                <w:sz w:val="20"/>
                <w:szCs w:val="20"/>
              </w:rPr>
            </w:pPr>
            <w:r w:rsidRPr="002C1E2B">
              <w:rPr>
                <w:rFonts w:ascii="Calibri" w:hAnsi="Calibri"/>
                <w:sz w:val="20"/>
                <w:szCs w:val="20"/>
              </w:rPr>
              <w:t>0</w:t>
            </w:r>
          </w:p>
        </w:tc>
        <w:tc>
          <w:tcPr>
            <w:tcW w:w="872" w:type="pct"/>
            <w:shd w:val="clear" w:color="auto" w:fill="FFFFFF" w:themeFill="background1"/>
            <w:vAlign w:val="center"/>
          </w:tcPr>
          <w:p w14:paraId="56963E4C" w14:textId="77777777" w:rsidR="00D44DCC" w:rsidRPr="002C1E2B" w:rsidRDefault="00D44DCC" w:rsidP="00D44DCC">
            <w:pPr>
              <w:spacing w:after="0"/>
              <w:ind w:left="1440" w:hanging="1440"/>
              <w:jc w:val="right"/>
              <w:rPr>
                <w:rFonts w:ascii="Calibri" w:hAnsi="Calibri"/>
                <w:sz w:val="20"/>
                <w:szCs w:val="20"/>
              </w:rPr>
            </w:pPr>
            <w:r w:rsidRPr="002C1E2B">
              <w:rPr>
                <w:rFonts w:ascii="Calibri" w:hAnsi="Calibri"/>
                <w:sz w:val="20"/>
                <w:szCs w:val="20"/>
              </w:rPr>
              <w:t>0</w:t>
            </w:r>
          </w:p>
        </w:tc>
        <w:tc>
          <w:tcPr>
            <w:tcW w:w="871" w:type="pct"/>
            <w:shd w:val="clear" w:color="auto" w:fill="FFFFFF" w:themeFill="background1"/>
            <w:vAlign w:val="center"/>
          </w:tcPr>
          <w:p w14:paraId="5CE0BF40" w14:textId="77777777" w:rsidR="00D44DCC" w:rsidRPr="002C1E2B" w:rsidRDefault="00D44DCC" w:rsidP="00D44DCC">
            <w:pPr>
              <w:spacing w:after="0"/>
              <w:ind w:left="1440" w:hanging="1440"/>
              <w:jc w:val="right"/>
              <w:rPr>
                <w:rFonts w:ascii="Calibri" w:hAnsi="Calibri"/>
                <w:sz w:val="20"/>
                <w:szCs w:val="20"/>
              </w:rPr>
            </w:pPr>
            <w:r w:rsidRPr="002C1E2B">
              <w:rPr>
                <w:rFonts w:ascii="Calibri" w:hAnsi="Calibri"/>
                <w:sz w:val="20"/>
                <w:szCs w:val="20"/>
              </w:rPr>
              <w:t>0 </w:t>
            </w:r>
          </w:p>
        </w:tc>
      </w:tr>
      <w:tr w:rsidR="00A169E6" w:rsidRPr="002C1E2B" w14:paraId="1EC89CD5" w14:textId="77777777" w:rsidTr="00263234">
        <w:trPr>
          <w:cnfStyle w:val="000000010000" w:firstRow="0" w:lastRow="0" w:firstColumn="0" w:lastColumn="0" w:oddVBand="0" w:evenVBand="0" w:oddHBand="0" w:evenHBand="1" w:firstRowFirstColumn="0" w:firstRowLastColumn="0" w:lastRowFirstColumn="0" w:lastRowLastColumn="0"/>
        </w:trPr>
        <w:tc>
          <w:tcPr>
            <w:tcW w:w="2385" w:type="pct"/>
            <w:shd w:val="clear" w:color="auto" w:fill="FFFFFF" w:themeFill="background1"/>
          </w:tcPr>
          <w:p w14:paraId="24FFBF4B" w14:textId="77777777" w:rsidR="00A649B7" w:rsidRPr="002C1E2B" w:rsidRDefault="00A649B7" w:rsidP="00D44DCC">
            <w:pPr>
              <w:pStyle w:val="BodyText"/>
              <w:spacing w:before="60" w:after="60"/>
              <w:ind w:left="1440" w:hanging="1440"/>
              <w:rPr>
                <w:rFonts w:ascii="Calibri" w:hAnsi="Calibri"/>
                <w:sz w:val="20"/>
                <w:szCs w:val="20"/>
              </w:rPr>
            </w:pPr>
            <w:r>
              <w:rPr>
                <w:rFonts w:ascii="Calibri" w:hAnsi="Calibri"/>
                <w:sz w:val="20"/>
                <w:szCs w:val="20"/>
              </w:rPr>
              <w:t>Residents not eligible for early payment</w:t>
            </w:r>
          </w:p>
        </w:tc>
        <w:tc>
          <w:tcPr>
            <w:tcW w:w="872" w:type="pct"/>
            <w:shd w:val="clear" w:color="auto" w:fill="FFFFFF" w:themeFill="background1"/>
            <w:vAlign w:val="center"/>
          </w:tcPr>
          <w:p w14:paraId="025A597F" w14:textId="77777777" w:rsidR="00A649B7" w:rsidRPr="002C1E2B" w:rsidRDefault="005F6481" w:rsidP="00D44DCC">
            <w:pPr>
              <w:spacing w:after="0"/>
              <w:ind w:left="1440" w:hanging="1440"/>
              <w:jc w:val="right"/>
              <w:rPr>
                <w:rFonts w:ascii="Calibri" w:hAnsi="Calibri"/>
                <w:sz w:val="20"/>
                <w:szCs w:val="20"/>
              </w:rPr>
            </w:pPr>
            <w:r>
              <w:rPr>
                <w:rFonts w:ascii="Calibri" w:hAnsi="Calibri"/>
                <w:sz w:val="20"/>
                <w:szCs w:val="20"/>
              </w:rPr>
              <w:t>-13,634,569</w:t>
            </w:r>
          </w:p>
        </w:tc>
        <w:tc>
          <w:tcPr>
            <w:tcW w:w="872" w:type="pct"/>
            <w:shd w:val="clear" w:color="auto" w:fill="FFFFFF" w:themeFill="background1"/>
            <w:vAlign w:val="center"/>
          </w:tcPr>
          <w:p w14:paraId="5F2807EB" w14:textId="77777777" w:rsidR="00A649B7" w:rsidRPr="002C1E2B" w:rsidRDefault="005F6481" w:rsidP="00D44DCC">
            <w:pPr>
              <w:spacing w:after="0"/>
              <w:ind w:left="1440" w:hanging="1440"/>
              <w:jc w:val="right"/>
              <w:rPr>
                <w:rFonts w:ascii="Calibri" w:hAnsi="Calibri"/>
                <w:sz w:val="20"/>
                <w:szCs w:val="20"/>
              </w:rPr>
            </w:pPr>
            <w:r>
              <w:rPr>
                <w:rFonts w:ascii="Calibri" w:hAnsi="Calibri"/>
                <w:sz w:val="20"/>
                <w:szCs w:val="20"/>
              </w:rPr>
              <w:t>0</w:t>
            </w:r>
          </w:p>
        </w:tc>
        <w:tc>
          <w:tcPr>
            <w:tcW w:w="871" w:type="pct"/>
            <w:shd w:val="clear" w:color="auto" w:fill="FFFFFF" w:themeFill="background1"/>
            <w:vAlign w:val="center"/>
          </w:tcPr>
          <w:p w14:paraId="1DC4B7B7" w14:textId="77777777" w:rsidR="00A649B7" w:rsidRPr="002C1E2B" w:rsidRDefault="005F6481" w:rsidP="00D44DCC">
            <w:pPr>
              <w:spacing w:after="0"/>
              <w:ind w:left="1440" w:hanging="1440"/>
              <w:jc w:val="right"/>
              <w:rPr>
                <w:rFonts w:ascii="Calibri" w:hAnsi="Calibri"/>
                <w:sz w:val="20"/>
                <w:szCs w:val="20"/>
              </w:rPr>
            </w:pPr>
            <w:r>
              <w:rPr>
                <w:rFonts w:ascii="Calibri" w:hAnsi="Calibri"/>
                <w:sz w:val="20"/>
                <w:szCs w:val="20"/>
              </w:rPr>
              <w:t>-14,641,083</w:t>
            </w:r>
          </w:p>
        </w:tc>
      </w:tr>
      <w:tr w:rsidR="00B654D0" w:rsidRPr="002C1E2B" w14:paraId="4861DE7B" w14:textId="77777777" w:rsidTr="007B2C64">
        <w:trPr>
          <w:cnfStyle w:val="000000100000" w:firstRow="0" w:lastRow="0" w:firstColumn="0" w:lastColumn="0" w:oddVBand="0" w:evenVBand="0" w:oddHBand="1" w:evenHBand="0" w:firstRowFirstColumn="0" w:firstRowLastColumn="0" w:lastRowFirstColumn="0" w:lastRowLastColumn="0"/>
        </w:trPr>
        <w:tc>
          <w:tcPr>
            <w:tcW w:w="2385" w:type="pct"/>
            <w:shd w:val="clear" w:color="auto" w:fill="FFFFFF" w:themeFill="background1"/>
          </w:tcPr>
          <w:p w14:paraId="11355772" w14:textId="77777777" w:rsidR="00D44DCC" w:rsidRPr="002C1E2B" w:rsidRDefault="00D44DCC" w:rsidP="00D44DCC">
            <w:pPr>
              <w:pStyle w:val="BodyText"/>
              <w:spacing w:before="60" w:after="60"/>
              <w:ind w:left="1440" w:hanging="1440"/>
              <w:rPr>
                <w:rFonts w:ascii="Calibri" w:hAnsi="Calibri"/>
                <w:b/>
                <w:sz w:val="20"/>
                <w:szCs w:val="20"/>
              </w:rPr>
            </w:pPr>
            <w:r w:rsidRPr="002C1E2B">
              <w:rPr>
                <w:rFonts w:ascii="Calibri" w:hAnsi="Calibri"/>
                <w:b/>
                <w:sz w:val="20"/>
                <w:szCs w:val="20"/>
              </w:rPr>
              <w:t>Total cost to residents moving to aged care</w:t>
            </w:r>
          </w:p>
        </w:tc>
        <w:tc>
          <w:tcPr>
            <w:tcW w:w="872" w:type="pct"/>
            <w:shd w:val="clear" w:color="auto" w:fill="FFFFFF" w:themeFill="background1"/>
            <w:vAlign w:val="center"/>
          </w:tcPr>
          <w:p w14:paraId="46686F81" w14:textId="3CCE3A30" w:rsidR="00D44DCC" w:rsidRPr="005F6481" w:rsidRDefault="005F6481" w:rsidP="00D44DCC">
            <w:pPr>
              <w:spacing w:after="0"/>
              <w:ind w:left="1440" w:hanging="1440"/>
              <w:jc w:val="right"/>
              <w:rPr>
                <w:rFonts w:ascii="Calibri" w:hAnsi="Calibri"/>
                <w:b/>
                <w:bCs/>
                <w:sz w:val="20"/>
                <w:szCs w:val="20"/>
              </w:rPr>
            </w:pPr>
            <w:r w:rsidRPr="00263234">
              <w:rPr>
                <w:rFonts w:ascii="Calibri" w:hAnsi="Calibri"/>
                <w:b/>
                <w:sz w:val="20"/>
                <w:szCs w:val="20"/>
              </w:rPr>
              <w:t>-13,634,569</w:t>
            </w:r>
          </w:p>
        </w:tc>
        <w:tc>
          <w:tcPr>
            <w:tcW w:w="872" w:type="pct"/>
            <w:shd w:val="clear" w:color="auto" w:fill="FFFFFF" w:themeFill="background1"/>
            <w:vAlign w:val="center"/>
          </w:tcPr>
          <w:p w14:paraId="2F8A7F75" w14:textId="77777777" w:rsidR="00D44DCC" w:rsidRPr="002C1E2B" w:rsidRDefault="00D44DCC" w:rsidP="00D44DCC">
            <w:pPr>
              <w:spacing w:after="0"/>
              <w:ind w:left="1440" w:hanging="1440"/>
              <w:jc w:val="right"/>
              <w:rPr>
                <w:rFonts w:ascii="Calibri" w:hAnsi="Calibri"/>
                <w:b/>
                <w:bCs/>
                <w:sz w:val="20"/>
                <w:szCs w:val="20"/>
              </w:rPr>
            </w:pPr>
            <w:r w:rsidRPr="002C1E2B">
              <w:rPr>
                <w:rFonts w:ascii="Calibri" w:hAnsi="Calibri"/>
                <w:b/>
                <w:bCs/>
                <w:sz w:val="20"/>
                <w:szCs w:val="20"/>
              </w:rPr>
              <w:t>-26,205,405</w:t>
            </w:r>
          </w:p>
        </w:tc>
        <w:tc>
          <w:tcPr>
            <w:tcW w:w="871" w:type="pct"/>
            <w:shd w:val="clear" w:color="auto" w:fill="FFFFFF" w:themeFill="background1"/>
            <w:vAlign w:val="center"/>
          </w:tcPr>
          <w:p w14:paraId="6F486BF1" w14:textId="4E9B1196" w:rsidR="00D44DCC" w:rsidRPr="002C1E2B" w:rsidRDefault="005F6481" w:rsidP="00D44DCC">
            <w:pPr>
              <w:spacing w:after="0"/>
              <w:ind w:left="1440" w:hanging="1440"/>
              <w:jc w:val="right"/>
              <w:rPr>
                <w:rFonts w:ascii="Calibri" w:hAnsi="Calibri"/>
                <w:b/>
                <w:bCs/>
                <w:sz w:val="20"/>
                <w:szCs w:val="20"/>
              </w:rPr>
            </w:pPr>
            <w:r>
              <w:rPr>
                <w:rFonts w:ascii="Calibri" w:hAnsi="Calibri"/>
                <w:b/>
                <w:bCs/>
                <w:sz w:val="20"/>
                <w:szCs w:val="20"/>
              </w:rPr>
              <w:t>-25,339,224</w:t>
            </w:r>
          </w:p>
        </w:tc>
      </w:tr>
      <w:tr w:rsidR="00B654D0" w:rsidRPr="002C1E2B" w14:paraId="671DF0D8" w14:textId="77777777" w:rsidTr="007B2C64">
        <w:trPr>
          <w:cnfStyle w:val="000000010000" w:firstRow="0" w:lastRow="0" w:firstColumn="0" w:lastColumn="0" w:oddVBand="0" w:evenVBand="0" w:oddHBand="0" w:evenHBand="1" w:firstRowFirstColumn="0" w:firstRowLastColumn="0" w:lastRowFirstColumn="0" w:lastRowLastColumn="0"/>
        </w:trPr>
        <w:tc>
          <w:tcPr>
            <w:tcW w:w="2385" w:type="pct"/>
            <w:shd w:val="clear" w:color="auto" w:fill="DBE5F1" w:themeFill="accent1" w:themeFillTint="33"/>
          </w:tcPr>
          <w:p w14:paraId="6DA0FE1B" w14:textId="77777777" w:rsidR="00D44DCC" w:rsidRPr="002C1E2B" w:rsidRDefault="00D44DCC" w:rsidP="00D44DCC">
            <w:pPr>
              <w:pStyle w:val="BodyText"/>
              <w:spacing w:before="60" w:after="60"/>
              <w:ind w:left="1440" w:hanging="1440"/>
              <w:rPr>
                <w:rFonts w:ascii="Calibri" w:hAnsi="Calibri"/>
                <w:sz w:val="20"/>
                <w:szCs w:val="20"/>
              </w:rPr>
            </w:pPr>
            <w:r w:rsidRPr="002C1E2B">
              <w:rPr>
                <w:rFonts w:ascii="Calibri" w:hAnsi="Calibri"/>
                <w:b/>
                <w:sz w:val="20"/>
                <w:szCs w:val="20"/>
              </w:rPr>
              <w:t>Cost to retirement village operators</w:t>
            </w:r>
          </w:p>
        </w:tc>
        <w:tc>
          <w:tcPr>
            <w:tcW w:w="872" w:type="pct"/>
            <w:shd w:val="clear" w:color="auto" w:fill="DBE5F1" w:themeFill="accent1" w:themeFillTint="33"/>
            <w:vAlign w:val="center"/>
          </w:tcPr>
          <w:p w14:paraId="54414173" w14:textId="77777777" w:rsidR="00D44DCC" w:rsidRPr="002C1E2B" w:rsidRDefault="00D44DCC" w:rsidP="00D44DCC">
            <w:pPr>
              <w:spacing w:after="0"/>
              <w:ind w:left="1440" w:hanging="1440"/>
              <w:jc w:val="right"/>
              <w:rPr>
                <w:rFonts w:ascii="Calibri" w:hAnsi="Calibri"/>
                <w:sz w:val="20"/>
                <w:szCs w:val="20"/>
              </w:rPr>
            </w:pPr>
            <w:r w:rsidRPr="002C1E2B">
              <w:rPr>
                <w:rFonts w:ascii="Calibri" w:hAnsi="Calibri"/>
                <w:sz w:val="20"/>
                <w:szCs w:val="20"/>
              </w:rPr>
              <w:t> </w:t>
            </w:r>
          </w:p>
        </w:tc>
        <w:tc>
          <w:tcPr>
            <w:tcW w:w="872" w:type="pct"/>
            <w:shd w:val="clear" w:color="auto" w:fill="DBE5F1" w:themeFill="accent1" w:themeFillTint="33"/>
            <w:vAlign w:val="center"/>
          </w:tcPr>
          <w:p w14:paraId="6678CB57" w14:textId="77777777" w:rsidR="00D44DCC" w:rsidRPr="002C1E2B" w:rsidRDefault="00D44DCC" w:rsidP="00D44DCC">
            <w:pPr>
              <w:spacing w:after="0"/>
              <w:ind w:left="1440" w:hanging="1440"/>
              <w:jc w:val="right"/>
              <w:rPr>
                <w:rFonts w:ascii="Calibri" w:hAnsi="Calibri"/>
                <w:sz w:val="20"/>
                <w:szCs w:val="20"/>
              </w:rPr>
            </w:pPr>
            <w:r w:rsidRPr="002C1E2B">
              <w:rPr>
                <w:rFonts w:ascii="Calibri" w:hAnsi="Calibri"/>
                <w:sz w:val="20"/>
                <w:szCs w:val="20"/>
              </w:rPr>
              <w:t> </w:t>
            </w:r>
          </w:p>
        </w:tc>
        <w:tc>
          <w:tcPr>
            <w:tcW w:w="871" w:type="pct"/>
            <w:shd w:val="clear" w:color="auto" w:fill="DBE5F1" w:themeFill="accent1" w:themeFillTint="33"/>
            <w:vAlign w:val="center"/>
          </w:tcPr>
          <w:p w14:paraId="431DBE65" w14:textId="77777777" w:rsidR="00D44DCC" w:rsidRPr="002C1E2B" w:rsidRDefault="00D44DCC" w:rsidP="00D44DCC">
            <w:pPr>
              <w:spacing w:after="0"/>
              <w:ind w:left="1440" w:hanging="1440"/>
              <w:jc w:val="right"/>
              <w:rPr>
                <w:rFonts w:ascii="Calibri" w:hAnsi="Calibri"/>
                <w:sz w:val="20"/>
                <w:szCs w:val="20"/>
              </w:rPr>
            </w:pPr>
            <w:r w:rsidRPr="002C1E2B">
              <w:rPr>
                <w:rFonts w:ascii="Calibri" w:hAnsi="Calibri"/>
                <w:sz w:val="20"/>
                <w:szCs w:val="20"/>
              </w:rPr>
              <w:t> </w:t>
            </w:r>
          </w:p>
        </w:tc>
      </w:tr>
      <w:tr w:rsidR="00B654D0" w:rsidRPr="002C1E2B" w14:paraId="639CF749" w14:textId="77777777" w:rsidTr="007B2C64">
        <w:trPr>
          <w:cnfStyle w:val="000000100000" w:firstRow="0" w:lastRow="0" w:firstColumn="0" w:lastColumn="0" w:oddVBand="0" w:evenVBand="0" w:oddHBand="1" w:evenHBand="0" w:firstRowFirstColumn="0" w:firstRowLastColumn="0" w:lastRowFirstColumn="0" w:lastRowLastColumn="0"/>
        </w:trPr>
        <w:tc>
          <w:tcPr>
            <w:tcW w:w="2385" w:type="pct"/>
            <w:shd w:val="clear" w:color="auto" w:fill="FFFFFF" w:themeFill="background1"/>
          </w:tcPr>
          <w:p w14:paraId="02AD8B9A" w14:textId="77777777" w:rsidR="00D44DCC" w:rsidRPr="002C1E2B" w:rsidRDefault="00D44DCC" w:rsidP="00D44DCC">
            <w:pPr>
              <w:pStyle w:val="BodyText"/>
              <w:spacing w:before="60" w:after="60"/>
              <w:ind w:left="1440" w:hanging="1440"/>
              <w:rPr>
                <w:rFonts w:ascii="Calibri" w:hAnsi="Calibri"/>
                <w:sz w:val="20"/>
                <w:szCs w:val="20"/>
              </w:rPr>
            </w:pPr>
            <w:r w:rsidRPr="002C1E2B">
              <w:rPr>
                <w:rFonts w:ascii="Calibri" w:hAnsi="Calibri"/>
                <w:sz w:val="20"/>
                <w:szCs w:val="20"/>
              </w:rPr>
              <w:t>Residents receiving six month rule</w:t>
            </w:r>
          </w:p>
        </w:tc>
        <w:tc>
          <w:tcPr>
            <w:tcW w:w="872" w:type="pct"/>
            <w:shd w:val="clear" w:color="auto" w:fill="FFFFFF" w:themeFill="background1"/>
            <w:vAlign w:val="center"/>
          </w:tcPr>
          <w:p w14:paraId="56D15375" w14:textId="77777777" w:rsidR="00D44DCC" w:rsidRPr="002C1E2B" w:rsidRDefault="00D44DCC" w:rsidP="00D44DCC">
            <w:pPr>
              <w:spacing w:after="0"/>
              <w:ind w:left="1440" w:hanging="1440"/>
              <w:jc w:val="right"/>
              <w:rPr>
                <w:rFonts w:ascii="Calibri" w:hAnsi="Calibri"/>
                <w:sz w:val="20"/>
                <w:szCs w:val="20"/>
              </w:rPr>
            </w:pPr>
            <w:r w:rsidRPr="002C1E2B">
              <w:rPr>
                <w:rFonts w:ascii="Calibri" w:hAnsi="Calibri"/>
                <w:sz w:val="20"/>
                <w:szCs w:val="20"/>
              </w:rPr>
              <w:t>0</w:t>
            </w:r>
          </w:p>
        </w:tc>
        <w:tc>
          <w:tcPr>
            <w:tcW w:w="872" w:type="pct"/>
            <w:shd w:val="clear" w:color="auto" w:fill="FFFFFF" w:themeFill="background1"/>
            <w:vAlign w:val="center"/>
          </w:tcPr>
          <w:p w14:paraId="377B9868" w14:textId="77777777" w:rsidR="00D44DCC" w:rsidRPr="002C1E2B" w:rsidRDefault="00D44DCC" w:rsidP="00D44DCC">
            <w:pPr>
              <w:spacing w:after="0"/>
              <w:ind w:left="1440" w:hanging="1440"/>
              <w:jc w:val="right"/>
              <w:rPr>
                <w:rFonts w:ascii="Calibri" w:hAnsi="Calibri"/>
                <w:sz w:val="20"/>
                <w:szCs w:val="20"/>
              </w:rPr>
            </w:pPr>
            <w:r w:rsidRPr="002C1E2B">
              <w:rPr>
                <w:rFonts w:ascii="Calibri" w:hAnsi="Calibri"/>
                <w:sz w:val="20"/>
                <w:szCs w:val="20"/>
              </w:rPr>
              <w:t>-15,117,646</w:t>
            </w:r>
          </w:p>
        </w:tc>
        <w:tc>
          <w:tcPr>
            <w:tcW w:w="871" w:type="pct"/>
            <w:shd w:val="clear" w:color="auto" w:fill="FFFFFF" w:themeFill="background1"/>
            <w:vAlign w:val="center"/>
          </w:tcPr>
          <w:p w14:paraId="1B92A3A7" w14:textId="77777777" w:rsidR="00D44DCC" w:rsidRPr="002C1E2B" w:rsidRDefault="00D44DCC" w:rsidP="00D44DCC">
            <w:pPr>
              <w:spacing w:after="0"/>
              <w:ind w:left="1440" w:hanging="1440"/>
              <w:jc w:val="right"/>
              <w:rPr>
                <w:rFonts w:ascii="Calibri" w:hAnsi="Calibri"/>
                <w:sz w:val="20"/>
                <w:szCs w:val="20"/>
              </w:rPr>
            </w:pPr>
            <w:r w:rsidRPr="002C1E2B">
              <w:rPr>
                <w:rFonts w:ascii="Calibri" w:hAnsi="Calibri"/>
                <w:sz w:val="20"/>
                <w:szCs w:val="20"/>
              </w:rPr>
              <w:t>-6,171,655</w:t>
            </w:r>
          </w:p>
        </w:tc>
      </w:tr>
      <w:tr w:rsidR="00B654D0" w:rsidRPr="002C1E2B" w14:paraId="53A5CEA9" w14:textId="77777777" w:rsidTr="007B2C64">
        <w:trPr>
          <w:cnfStyle w:val="000000010000" w:firstRow="0" w:lastRow="0" w:firstColumn="0" w:lastColumn="0" w:oddVBand="0" w:evenVBand="0" w:oddHBand="0" w:evenHBand="1" w:firstRowFirstColumn="0" w:firstRowLastColumn="0" w:lastRowFirstColumn="0" w:lastRowLastColumn="0"/>
        </w:trPr>
        <w:tc>
          <w:tcPr>
            <w:tcW w:w="2385" w:type="pct"/>
            <w:shd w:val="clear" w:color="auto" w:fill="FFFFFF" w:themeFill="background1"/>
          </w:tcPr>
          <w:p w14:paraId="17C79F83" w14:textId="77777777" w:rsidR="00D44DCC" w:rsidRPr="002C1E2B" w:rsidRDefault="00D44DCC" w:rsidP="00D44DCC">
            <w:pPr>
              <w:pStyle w:val="BodyText"/>
              <w:spacing w:before="60" w:after="60"/>
              <w:ind w:left="1440" w:hanging="1440"/>
              <w:rPr>
                <w:rFonts w:ascii="Calibri" w:hAnsi="Calibri"/>
                <w:sz w:val="20"/>
                <w:szCs w:val="20"/>
              </w:rPr>
            </w:pPr>
            <w:r w:rsidRPr="002C1E2B">
              <w:rPr>
                <w:rFonts w:ascii="Calibri" w:hAnsi="Calibri"/>
                <w:sz w:val="20"/>
                <w:szCs w:val="20"/>
              </w:rPr>
              <w:t>Residents receiving RAD based payment</w:t>
            </w:r>
          </w:p>
        </w:tc>
        <w:tc>
          <w:tcPr>
            <w:tcW w:w="872" w:type="pct"/>
            <w:shd w:val="clear" w:color="auto" w:fill="FFFFFF" w:themeFill="background1"/>
            <w:vAlign w:val="center"/>
          </w:tcPr>
          <w:p w14:paraId="603F1EF5" w14:textId="77777777" w:rsidR="00D44DCC" w:rsidRPr="002C1E2B" w:rsidRDefault="00D44DCC" w:rsidP="00D44DCC">
            <w:pPr>
              <w:spacing w:after="0"/>
              <w:ind w:left="1440" w:hanging="1440"/>
              <w:jc w:val="right"/>
              <w:rPr>
                <w:rFonts w:ascii="Calibri" w:hAnsi="Calibri"/>
                <w:sz w:val="20"/>
                <w:szCs w:val="20"/>
              </w:rPr>
            </w:pPr>
            <w:r w:rsidRPr="002C1E2B">
              <w:rPr>
                <w:rFonts w:ascii="Calibri" w:hAnsi="Calibri"/>
                <w:sz w:val="20"/>
                <w:szCs w:val="20"/>
              </w:rPr>
              <w:t>0</w:t>
            </w:r>
          </w:p>
        </w:tc>
        <w:tc>
          <w:tcPr>
            <w:tcW w:w="872" w:type="pct"/>
            <w:shd w:val="clear" w:color="auto" w:fill="FFFFFF" w:themeFill="background1"/>
            <w:vAlign w:val="center"/>
          </w:tcPr>
          <w:p w14:paraId="709389F2" w14:textId="77777777" w:rsidR="00D44DCC" w:rsidRPr="002C1E2B" w:rsidRDefault="00D44DCC" w:rsidP="00D44DCC">
            <w:pPr>
              <w:spacing w:after="0"/>
              <w:ind w:left="1440" w:hanging="1440"/>
              <w:jc w:val="right"/>
              <w:rPr>
                <w:rFonts w:ascii="Calibri" w:hAnsi="Calibri"/>
                <w:sz w:val="20"/>
                <w:szCs w:val="20"/>
              </w:rPr>
            </w:pPr>
            <w:r w:rsidRPr="002C1E2B">
              <w:rPr>
                <w:rFonts w:ascii="Calibri" w:hAnsi="Calibri"/>
                <w:sz w:val="20"/>
                <w:szCs w:val="20"/>
              </w:rPr>
              <w:t>0</w:t>
            </w:r>
          </w:p>
        </w:tc>
        <w:tc>
          <w:tcPr>
            <w:tcW w:w="871" w:type="pct"/>
            <w:shd w:val="clear" w:color="auto" w:fill="FFFFFF" w:themeFill="background1"/>
            <w:vAlign w:val="center"/>
          </w:tcPr>
          <w:p w14:paraId="67200D29" w14:textId="77777777" w:rsidR="00D44DCC" w:rsidRPr="002C1E2B" w:rsidRDefault="00D44DCC" w:rsidP="00D44DCC">
            <w:pPr>
              <w:spacing w:after="0"/>
              <w:ind w:left="1440" w:hanging="1440"/>
              <w:jc w:val="right"/>
              <w:rPr>
                <w:rFonts w:ascii="Calibri" w:hAnsi="Calibri"/>
                <w:sz w:val="20"/>
                <w:szCs w:val="20"/>
              </w:rPr>
            </w:pPr>
            <w:r w:rsidRPr="002C1E2B">
              <w:rPr>
                <w:rFonts w:ascii="Calibri" w:hAnsi="Calibri"/>
                <w:sz w:val="20"/>
                <w:szCs w:val="20"/>
              </w:rPr>
              <w:t>0</w:t>
            </w:r>
          </w:p>
        </w:tc>
      </w:tr>
      <w:tr w:rsidR="00B654D0" w:rsidRPr="002C1E2B" w14:paraId="28B9176D" w14:textId="77777777" w:rsidTr="00263234">
        <w:trPr>
          <w:cnfStyle w:val="000000100000" w:firstRow="0" w:lastRow="0" w:firstColumn="0" w:lastColumn="0" w:oddVBand="0" w:evenVBand="0" w:oddHBand="1" w:evenHBand="0" w:firstRowFirstColumn="0" w:firstRowLastColumn="0" w:lastRowFirstColumn="0" w:lastRowLastColumn="0"/>
        </w:trPr>
        <w:tc>
          <w:tcPr>
            <w:tcW w:w="2385" w:type="pct"/>
            <w:shd w:val="clear" w:color="auto" w:fill="FFFFFF" w:themeFill="background1"/>
          </w:tcPr>
          <w:p w14:paraId="1AF61166" w14:textId="77777777" w:rsidR="00D44DCC" w:rsidRPr="002C1E2B" w:rsidRDefault="00D44DCC" w:rsidP="00D44DCC">
            <w:pPr>
              <w:pStyle w:val="BodyText"/>
              <w:spacing w:before="60" w:after="60"/>
              <w:ind w:left="1440" w:hanging="1440"/>
              <w:rPr>
                <w:rFonts w:ascii="Calibri" w:hAnsi="Calibri"/>
                <w:sz w:val="20"/>
                <w:szCs w:val="20"/>
              </w:rPr>
            </w:pPr>
            <w:r w:rsidRPr="002C1E2B">
              <w:rPr>
                <w:rFonts w:ascii="Calibri" w:hAnsi="Calibri"/>
                <w:sz w:val="20"/>
                <w:szCs w:val="20"/>
              </w:rPr>
              <w:t xml:space="preserve">Residents receiving DAP based payment </w:t>
            </w:r>
          </w:p>
        </w:tc>
        <w:tc>
          <w:tcPr>
            <w:tcW w:w="872" w:type="pct"/>
            <w:shd w:val="clear" w:color="auto" w:fill="FFFFFF" w:themeFill="background1"/>
            <w:vAlign w:val="center"/>
          </w:tcPr>
          <w:p w14:paraId="6D062E06" w14:textId="77777777" w:rsidR="00D44DCC" w:rsidRPr="002C1E2B" w:rsidRDefault="00D44DCC" w:rsidP="00D44DCC">
            <w:pPr>
              <w:spacing w:after="0"/>
              <w:ind w:left="1440" w:hanging="1440"/>
              <w:jc w:val="right"/>
              <w:rPr>
                <w:rFonts w:ascii="Calibri" w:hAnsi="Calibri"/>
                <w:sz w:val="20"/>
                <w:szCs w:val="20"/>
              </w:rPr>
            </w:pPr>
            <w:r w:rsidRPr="002C1E2B">
              <w:rPr>
                <w:rFonts w:ascii="Calibri" w:hAnsi="Calibri"/>
                <w:sz w:val="20"/>
                <w:szCs w:val="20"/>
              </w:rPr>
              <w:t>0</w:t>
            </w:r>
          </w:p>
        </w:tc>
        <w:tc>
          <w:tcPr>
            <w:tcW w:w="872" w:type="pct"/>
            <w:shd w:val="clear" w:color="auto" w:fill="FFFFFF" w:themeFill="background1"/>
            <w:vAlign w:val="center"/>
          </w:tcPr>
          <w:p w14:paraId="21209052" w14:textId="77777777" w:rsidR="00D44DCC" w:rsidRPr="002C1E2B" w:rsidRDefault="00D44DCC" w:rsidP="00D44DCC">
            <w:pPr>
              <w:spacing w:after="0"/>
              <w:ind w:left="1440" w:hanging="1440"/>
              <w:jc w:val="right"/>
              <w:rPr>
                <w:rFonts w:ascii="Calibri" w:hAnsi="Calibri"/>
                <w:sz w:val="20"/>
                <w:szCs w:val="20"/>
              </w:rPr>
            </w:pPr>
            <w:r w:rsidRPr="002C1E2B">
              <w:rPr>
                <w:rFonts w:ascii="Calibri" w:hAnsi="Calibri"/>
                <w:sz w:val="20"/>
                <w:szCs w:val="20"/>
              </w:rPr>
              <w:t>0</w:t>
            </w:r>
          </w:p>
        </w:tc>
        <w:tc>
          <w:tcPr>
            <w:tcW w:w="871" w:type="pct"/>
            <w:shd w:val="clear" w:color="auto" w:fill="FFFFFF" w:themeFill="background1"/>
            <w:vAlign w:val="center"/>
          </w:tcPr>
          <w:p w14:paraId="794D6217" w14:textId="77777777" w:rsidR="00D44DCC" w:rsidRPr="002C1E2B" w:rsidRDefault="00D44DCC" w:rsidP="00D44DCC">
            <w:pPr>
              <w:spacing w:after="0"/>
              <w:ind w:left="1440" w:hanging="1440"/>
              <w:jc w:val="right"/>
              <w:rPr>
                <w:rFonts w:ascii="Calibri" w:hAnsi="Calibri"/>
                <w:sz w:val="20"/>
                <w:szCs w:val="20"/>
              </w:rPr>
            </w:pPr>
            <w:r w:rsidRPr="002C1E2B">
              <w:rPr>
                <w:rFonts w:ascii="Calibri" w:hAnsi="Calibri"/>
                <w:sz w:val="20"/>
                <w:szCs w:val="20"/>
              </w:rPr>
              <w:t>0</w:t>
            </w:r>
          </w:p>
        </w:tc>
      </w:tr>
      <w:tr w:rsidR="00A169E6" w:rsidRPr="002C1E2B" w14:paraId="50037ED3" w14:textId="77777777" w:rsidTr="00263234">
        <w:trPr>
          <w:cnfStyle w:val="000000010000" w:firstRow="0" w:lastRow="0" w:firstColumn="0" w:lastColumn="0" w:oddVBand="0" w:evenVBand="0" w:oddHBand="0" w:evenHBand="1" w:firstRowFirstColumn="0" w:firstRowLastColumn="0" w:lastRowFirstColumn="0" w:lastRowLastColumn="0"/>
        </w:trPr>
        <w:tc>
          <w:tcPr>
            <w:tcW w:w="2385" w:type="pct"/>
            <w:shd w:val="clear" w:color="auto" w:fill="FFFFFF" w:themeFill="background1"/>
          </w:tcPr>
          <w:p w14:paraId="5FC468DE" w14:textId="77777777" w:rsidR="00A649B7" w:rsidRPr="002C1E2B" w:rsidRDefault="00A649B7" w:rsidP="00D44DCC">
            <w:pPr>
              <w:pStyle w:val="BodyText"/>
              <w:spacing w:before="60" w:after="60"/>
              <w:ind w:left="1440" w:hanging="1440"/>
              <w:rPr>
                <w:rFonts w:ascii="Calibri" w:hAnsi="Calibri"/>
                <w:sz w:val="20"/>
                <w:szCs w:val="20"/>
              </w:rPr>
            </w:pPr>
            <w:r>
              <w:rPr>
                <w:rFonts w:ascii="Calibri" w:hAnsi="Calibri"/>
                <w:sz w:val="20"/>
                <w:szCs w:val="20"/>
              </w:rPr>
              <w:t>Residents not eligible for early payment</w:t>
            </w:r>
          </w:p>
        </w:tc>
        <w:tc>
          <w:tcPr>
            <w:tcW w:w="872" w:type="pct"/>
            <w:shd w:val="clear" w:color="auto" w:fill="FFFFFF" w:themeFill="background1"/>
            <w:vAlign w:val="center"/>
          </w:tcPr>
          <w:p w14:paraId="0CF7F64D" w14:textId="77777777" w:rsidR="00A649B7" w:rsidRPr="002C1E2B" w:rsidRDefault="00A649B7" w:rsidP="00D44DCC">
            <w:pPr>
              <w:spacing w:after="0"/>
              <w:ind w:left="1440" w:hanging="1440"/>
              <w:jc w:val="right"/>
              <w:rPr>
                <w:rFonts w:ascii="Calibri" w:hAnsi="Calibri"/>
                <w:sz w:val="20"/>
                <w:szCs w:val="20"/>
              </w:rPr>
            </w:pPr>
            <w:r>
              <w:rPr>
                <w:rFonts w:ascii="Calibri" w:hAnsi="Calibri"/>
                <w:sz w:val="20"/>
                <w:szCs w:val="20"/>
              </w:rPr>
              <w:t>0</w:t>
            </w:r>
          </w:p>
        </w:tc>
        <w:tc>
          <w:tcPr>
            <w:tcW w:w="872" w:type="pct"/>
            <w:shd w:val="clear" w:color="auto" w:fill="FFFFFF" w:themeFill="background1"/>
            <w:vAlign w:val="center"/>
          </w:tcPr>
          <w:p w14:paraId="1FB09FCC" w14:textId="77777777" w:rsidR="00A649B7" w:rsidRPr="002C1E2B" w:rsidRDefault="00A649B7" w:rsidP="00D44DCC">
            <w:pPr>
              <w:spacing w:after="0"/>
              <w:ind w:left="1440" w:hanging="1440"/>
              <w:jc w:val="right"/>
              <w:rPr>
                <w:rFonts w:ascii="Calibri" w:hAnsi="Calibri"/>
                <w:sz w:val="20"/>
                <w:szCs w:val="20"/>
              </w:rPr>
            </w:pPr>
            <w:r>
              <w:rPr>
                <w:rFonts w:ascii="Calibri" w:hAnsi="Calibri"/>
                <w:sz w:val="20"/>
                <w:szCs w:val="20"/>
              </w:rPr>
              <w:t>0</w:t>
            </w:r>
          </w:p>
        </w:tc>
        <w:tc>
          <w:tcPr>
            <w:tcW w:w="871" w:type="pct"/>
            <w:shd w:val="clear" w:color="auto" w:fill="FFFFFF" w:themeFill="background1"/>
            <w:vAlign w:val="center"/>
          </w:tcPr>
          <w:p w14:paraId="55EF14F3" w14:textId="77777777" w:rsidR="00A649B7" w:rsidRPr="002C1E2B" w:rsidRDefault="00A649B7" w:rsidP="00D44DCC">
            <w:pPr>
              <w:spacing w:after="0"/>
              <w:ind w:left="1440" w:hanging="1440"/>
              <w:jc w:val="right"/>
              <w:rPr>
                <w:rFonts w:ascii="Calibri" w:hAnsi="Calibri"/>
                <w:sz w:val="20"/>
                <w:szCs w:val="20"/>
              </w:rPr>
            </w:pPr>
            <w:r>
              <w:rPr>
                <w:rFonts w:ascii="Calibri" w:hAnsi="Calibri"/>
                <w:sz w:val="20"/>
                <w:szCs w:val="20"/>
              </w:rPr>
              <w:t>0</w:t>
            </w:r>
          </w:p>
        </w:tc>
      </w:tr>
      <w:tr w:rsidR="00B654D0" w:rsidRPr="002C1E2B" w14:paraId="19729862" w14:textId="77777777" w:rsidTr="007B2C64">
        <w:trPr>
          <w:cnfStyle w:val="000000100000" w:firstRow="0" w:lastRow="0" w:firstColumn="0" w:lastColumn="0" w:oddVBand="0" w:evenVBand="0" w:oddHBand="1" w:evenHBand="0" w:firstRowFirstColumn="0" w:firstRowLastColumn="0" w:lastRowFirstColumn="0" w:lastRowLastColumn="0"/>
        </w:trPr>
        <w:tc>
          <w:tcPr>
            <w:tcW w:w="2385" w:type="pct"/>
            <w:shd w:val="clear" w:color="auto" w:fill="FFFFFF" w:themeFill="background1"/>
          </w:tcPr>
          <w:p w14:paraId="3125489C" w14:textId="77777777" w:rsidR="00D44DCC" w:rsidRPr="002C1E2B" w:rsidRDefault="00D44DCC" w:rsidP="00D44DCC">
            <w:pPr>
              <w:pStyle w:val="BodyText"/>
              <w:spacing w:before="60" w:after="60"/>
              <w:ind w:left="1440" w:hanging="1440"/>
              <w:rPr>
                <w:rFonts w:ascii="Calibri" w:hAnsi="Calibri"/>
                <w:sz w:val="20"/>
                <w:szCs w:val="20"/>
              </w:rPr>
            </w:pPr>
            <w:r w:rsidRPr="002C1E2B">
              <w:rPr>
                <w:rFonts w:ascii="Calibri" w:hAnsi="Calibri"/>
                <w:b/>
                <w:sz w:val="20"/>
                <w:szCs w:val="20"/>
              </w:rPr>
              <w:t>Total cost to retirement village operators</w:t>
            </w:r>
          </w:p>
        </w:tc>
        <w:tc>
          <w:tcPr>
            <w:tcW w:w="872" w:type="pct"/>
            <w:shd w:val="clear" w:color="auto" w:fill="FFFFFF" w:themeFill="background1"/>
            <w:vAlign w:val="center"/>
          </w:tcPr>
          <w:p w14:paraId="7E5F47FC" w14:textId="77777777" w:rsidR="00D44DCC" w:rsidRPr="002C1E2B" w:rsidRDefault="00D44DCC" w:rsidP="00D44DCC">
            <w:pPr>
              <w:spacing w:after="0"/>
              <w:ind w:left="1440" w:hanging="1440"/>
              <w:jc w:val="right"/>
              <w:rPr>
                <w:rFonts w:ascii="Calibri" w:hAnsi="Calibri"/>
                <w:b/>
                <w:bCs/>
                <w:sz w:val="20"/>
                <w:szCs w:val="20"/>
              </w:rPr>
            </w:pPr>
            <w:r w:rsidRPr="002C1E2B">
              <w:rPr>
                <w:rFonts w:ascii="Calibri" w:hAnsi="Calibri"/>
                <w:b/>
                <w:bCs/>
                <w:sz w:val="20"/>
                <w:szCs w:val="20"/>
              </w:rPr>
              <w:t>0</w:t>
            </w:r>
          </w:p>
        </w:tc>
        <w:tc>
          <w:tcPr>
            <w:tcW w:w="872" w:type="pct"/>
            <w:shd w:val="clear" w:color="auto" w:fill="FFFFFF" w:themeFill="background1"/>
            <w:vAlign w:val="center"/>
          </w:tcPr>
          <w:p w14:paraId="28597B0B" w14:textId="77777777" w:rsidR="00D44DCC" w:rsidRPr="002C1E2B" w:rsidRDefault="00D44DCC" w:rsidP="00D44DCC">
            <w:pPr>
              <w:spacing w:after="0"/>
              <w:ind w:left="1440" w:hanging="1440"/>
              <w:jc w:val="right"/>
              <w:rPr>
                <w:rFonts w:ascii="Calibri" w:hAnsi="Calibri"/>
                <w:b/>
                <w:bCs/>
                <w:sz w:val="20"/>
                <w:szCs w:val="20"/>
              </w:rPr>
            </w:pPr>
            <w:r w:rsidRPr="002C1E2B">
              <w:rPr>
                <w:rFonts w:ascii="Calibri" w:hAnsi="Calibri"/>
                <w:b/>
                <w:bCs/>
                <w:sz w:val="20"/>
                <w:szCs w:val="20"/>
              </w:rPr>
              <w:t>-15,117,646</w:t>
            </w:r>
          </w:p>
        </w:tc>
        <w:tc>
          <w:tcPr>
            <w:tcW w:w="871" w:type="pct"/>
            <w:shd w:val="clear" w:color="auto" w:fill="FFFFFF" w:themeFill="background1"/>
            <w:vAlign w:val="center"/>
          </w:tcPr>
          <w:p w14:paraId="0BD22F70" w14:textId="77777777" w:rsidR="00D44DCC" w:rsidRPr="002C1E2B" w:rsidRDefault="00D44DCC" w:rsidP="00D44DCC">
            <w:pPr>
              <w:spacing w:after="0"/>
              <w:ind w:left="1440" w:hanging="1440"/>
              <w:jc w:val="right"/>
              <w:rPr>
                <w:rFonts w:ascii="Calibri" w:hAnsi="Calibri"/>
                <w:b/>
                <w:bCs/>
                <w:sz w:val="20"/>
                <w:szCs w:val="20"/>
              </w:rPr>
            </w:pPr>
            <w:r w:rsidRPr="002C1E2B">
              <w:rPr>
                <w:rFonts w:ascii="Calibri" w:hAnsi="Calibri"/>
                <w:b/>
                <w:bCs/>
                <w:sz w:val="20"/>
                <w:szCs w:val="20"/>
              </w:rPr>
              <w:t>-6,171,655</w:t>
            </w:r>
          </w:p>
        </w:tc>
      </w:tr>
    </w:tbl>
    <w:p w14:paraId="5C4CA005" w14:textId="77777777" w:rsidR="00D44DCC" w:rsidRPr="002C1E2B" w:rsidRDefault="00D44DCC" w:rsidP="00D44DCC">
      <w:pPr>
        <w:pStyle w:val="Heading3"/>
      </w:pPr>
      <w:r w:rsidRPr="002C1E2B">
        <w:t>Option 1 – DAP or RAD rule</w:t>
      </w:r>
    </w:p>
    <w:p w14:paraId="02A3D768" w14:textId="77777777" w:rsidR="00D44DCC" w:rsidRPr="002C1E2B" w:rsidRDefault="00D44DCC" w:rsidP="00D44DCC">
      <w:pPr>
        <w:pStyle w:val="BodyText"/>
      </w:pPr>
      <w:r w:rsidRPr="002C1E2B">
        <w:t>Under Option 1, the six month rule exemption will continue to be used across the sector. Unlike the base case, non-owner residents moving from retirement villages to aged care will have access to a choice of a DAP or a RAD aged care rule up to the estimated exit entitlement.</w:t>
      </w:r>
    </w:p>
    <w:p w14:paraId="628B605C" w14:textId="77777777" w:rsidR="00D44DCC" w:rsidRPr="002C1E2B" w:rsidRDefault="00D44DCC" w:rsidP="00D44DCC">
      <w:pPr>
        <w:pStyle w:val="BodyText"/>
      </w:pPr>
      <w:r w:rsidRPr="002C1E2B">
        <w:lastRenderedPageBreak/>
        <w:t xml:space="preserve">It is estimated that 65 per cent of residents will elect for a RAD rule after six months and 35 per cent will choose the ongoing DAP rule. The retirement village sector is growing by about 5 per cent per annum and the number of residents choosing RAD and DAP-based rules is also expected to grow at this rate. </w:t>
      </w:r>
    </w:p>
    <w:p w14:paraId="17FC9061" w14:textId="77777777" w:rsidR="00D44DCC" w:rsidRPr="002C1E2B" w:rsidRDefault="00D44DCC" w:rsidP="00D44DCC">
      <w:pPr>
        <w:pStyle w:val="Caption"/>
        <w:spacing w:after="120"/>
      </w:pPr>
      <w:r w:rsidRPr="002C1E2B">
        <w:t xml:space="preserve">Figure </w:t>
      </w:r>
      <w:r w:rsidR="00C11D17">
        <w:fldChar w:fldCharType="begin"/>
      </w:r>
      <w:r w:rsidR="00C11D17">
        <w:instrText xml:space="preserve"> STYLEREF 1 \s </w:instrText>
      </w:r>
      <w:r w:rsidR="00C11D17">
        <w:fldChar w:fldCharType="separate"/>
      </w:r>
      <w:r w:rsidR="00BE6CE4">
        <w:rPr>
          <w:noProof/>
        </w:rPr>
        <w:t>5</w:t>
      </w:r>
      <w:r w:rsidR="00C11D17">
        <w:fldChar w:fldCharType="end"/>
      </w:r>
      <w:r w:rsidR="00C11D17">
        <w:t>.</w:t>
      </w:r>
      <w:r w:rsidR="00C11D17">
        <w:fldChar w:fldCharType="begin"/>
      </w:r>
      <w:r w:rsidR="00C11D17">
        <w:instrText xml:space="preserve"> SEQ Figure \* ARABIC \s 1 </w:instrText>
      </w:r>
      <w:r w:rsidR="00C11D17">
        <w:fldChar w:fldCharType="separate"/>
      </w:r>
      <w:r w:rsidR="00BE6CE4">
        <w:rPr>
          <w:noProof/>
        </w:rPr>
        <w:t>1</w:t>
      </w:r>
      <w:r w:rsidR="00C11D17">
        <w:fldChar w:fldCharType="end"/>
      </w:r>
      <w:r w:rsidRPr="002C1E2B">
        <w:t xml:space="preserve"> – Option 1: Number of non-owner residents eligible for aged care rule</w:t>
      </w:r>
    </w:p>
    <w:p w14:paraId="4F3B9362" w14:textId="77777777" w:rsidR="00D44DCC" w:rsidRPr="002C1E2B" w:rsidRDefault="00D44DCC" w:rsidP="00A169E6">
      <w:pPr>
        <w:pStyle w:val="BodyText"/>
        <w:rPr>
          <w:highlight w:val="yellow"/>
        </w:rPr>
      </w:pPr>
      <w:r w:rsidRPr="002C1E2B">
        <w:rPr>
          <w:noProof/>
          <w:lang w:eastAsia="en-AU"/>
        </w:rPr>
        <w:drawing>
          <wp:inline distT="0" distB="0" distL="0" distR="0" wp14:anchorId="0E5CFC29" wp14:editId="20426306">
            <wp:extent cx="5732145" cy="26530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732145" cy="2653030"/>
                    </a:xfrm>
                    <a:prstGeom prst="rect">
                      <a:avLst/>
                    </a:prstGeom>
                    <a:noFill/>
                    <a:ln>
                      <a:noFill/>
                    </a:ln>
                  </pic:spPr>
                </pic:pic>
              </a:graphicData>
            </a:graphic>
          </wp:inline>
        </w:drawing>
      </w:r>
    </w:p>
    <w:p w14:paraId="3B91EEA5" w14:textId="77777777" w:rsidR="00D44DCC" w:rsidRPr="002C1E2B" w:rsidRDefault="00D44DCC" w:rsidP="00D44DCC">
      <w:pPr>
        <w:pStyle w:val="BodyText"/>
        <w:rPr>
          <w:highlight w:val="yellow"/>
        </w:rPr>
      </w:pPr>
      <w:r w:rsidRPr="002C1E2B">
        <w:t>The table below sets out the financial costs to retirement village residents and operators associated with this option.</w:t>
      </w:r>
    </w:p>
    <w:p w14:paraId="687CF3D3" w14:textId="77777777" w:rsidR="00D44DCC" w:rsidRPr="002C1E2B" w:rsidRDefault="00D44DCC" w:rsidP="00D44DCC">
      <w:pPr>
        <w:pStyle w:val="Caption"/>
        <w:spacing w:after="120"/>
      </w:pPr>
      <w:r w:rsidRPr="002C1E2B">
        <w:t xml:space="preserve">Table </w:t>
      </w:r>
      <w:r w:rsidRPr="002C1E2B">
        <w:fldChar w:fldCharType="begin"/>
      </w:r>
      <w:r w:rsidRPr="002C1E2B">
        <w:instrText xml:space="preserve"> STYLEREF 1 \s </w:instrText>
      </w:r>
      <w:r w:rsidRPr="002C1E2B">
        <w:fldChar w:fldCharType="separate"/>
      </w:r>
      <w:r w:rsidR="00BE6CE4">
        <w:rPr>
          <w:noProof/>
        </w:rPr>
        <w:t>5</w:t>
      </w:r>
      <w:r w:rsidRPr="002C1E2B">
        <w:fldChar w:fldCharType="end"/>
      </w:r>
      <w:r w:rsidRPr="002C1E2B">
        <w:t>.</w:t>
      </w:r>
      <w:r w:rsidRPr="002C1E2B">
        <w:fldChar w:fldCharType="begin"/>
      </w:r>
      <w:r w:rsidRPr="002C1E2B">
        <w:instrText xml:space="preserve"> SEQ Table \* ARABIC \s 1 </w:instrText>
      </w:r>
      <w:r w:rsidRPr="002C1E2B">
        <w:fldChar w:fldCharType="separate"/>
      </w:r>
      <w:r w:rsidR="00BE6CE4">
        <w:rPr>
          <w:noProof/>
        </w:rPr>
        <w:t>3</w:t>
      </w:r>
      <w:r w:rsidRPr="002C1E2B">
        <w:fldChar w:fldCharType="end"/>
      </w:r>
      <w:r w:rsidRPr="002C1E2B">
        <w:t xml:space="preserve"> – Option 1: Financial impacts on non-owner residents and villages operator – per resident</w:t>
      </w:r>
    </w:p>
    <w:tbl>
      <w:tblPr>
        <w:tblStyle w:val="OW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9"/>
        <w:gridCol w:w="1904"/>
        <w:gridCol w:w="1904"/>
      </w:tblGrid>
      <w:tr w:rsidR="004E6459" w:rsidRPr="002C1E2B" w14:paraId="044243DE" w14:textId="77777777" w:rsidTr="00263234">
        <w:trPr>
          <w:cnfStyle w:val="100000000000" w:firstRow="1" w:lastRow="0" w:firstColumn="0" w:lastColumn="0" w:oddVBand="0" w:evenVBand="0" w:oddHBand="0" w:evenHBand="0" w:firstRowFirstColumn="0" w:firstRowLastColumn="0" w:lastRowFirstColumn="0" w:lastRowLastColumn="0"/>
          <w:tblHeader/>
        </w:trPr>
        <w:tc>
          <w:tcPr>
            <w:tcW w:w="2888" w:type="pct"/>
            <w:shd w:val="clear" w:color="auto" w:fill="1F497D" w:themeFill="text2"/>
          </w:tcPr>
          <w:p w14:paraId="1CA2D539" w14:textId="77777777" w:rsidR="00D44DCC" w:rsidRPr="002C1E2B" w:rsidRDefault="00D44DCC" w:rsidP="00D44DCC">
            <w:pPr>
              <w:pStyle w:val="BodyText"/>
              <w:spacing w:before="60" w:after="60"/>
              <w:rPr>
                <w:rFonts w:ascii="Calibri" w:hAnsi="Calibri"/>
                <w:b/>
                <w:color w:val="FFFFFF" w:themeColor="background1"/>
                <w:sz w:val="20"/>
                <w:szCs w:val="20"/>
              </w:rPr>
            </w:pPr>
            <w:r w:rsidRPr="002C1E2B">
              <w:rPr>
                <w:rFonts w:ascii="Calibri" w:hAnsi="Calibri"/>
                <w:b/>
                <w:color w:val="FFFFFF" w:themeColor="background1"/>
                <w:sz w:val="20"/>
                <w:szCs w:val="20"/>
              </w:rPr>
              <w:t>Option 1 impacts - per resident</w:t>
            </w:r>
          </w:p>
        </w:tc>
        <w:tc>
          <w:tcPr>
            <w:tcW w:w="1056" w:type="pct"/>
            <w:shd w:val="clear" w:color="auto" w:fill="1F497D" w:themeFill="text2"/>
          </w:tcPr>
          <w:p w14:paraId="2DDAB0F1" w14:textId="77777777" w:rsidR="00D44DCC" w:rsidRPr="002C1E2B" w:rsidRDefault="00D44DCC" w:rsidP="00D44DCC">
            <w:pPr>
              <w:pStyle w:val="BodyText"/>
              <w:spacing w:before="60" w:after="60"/>
              <w:jc w:val="center"/>
              <w:rPr>
                <w:rFonts w:ascii="Calibri" w:hAnsi="Calibri"/>
                <w:b/>
                <w:color w:val="FFFFFF" w:themeColor="background1"/>
                <w:sz w:val="20"/>
                <w:szCs w:val="20"/>
              </w:rPr>
            </w:pPr>
            <w:r w:rsidRPr="002C1E2B">
              <w:rPr>
                <w:rFonts w:ascii="Calibri" w:hAnsi="Calibri"/>
                <w:b/>
                <w:color w:val="FFFFFF" w:themeColor="background1"/>
                <w:sz w:val="20"/>
                <w:szCs w:val="20"/>
              </w:rPr>
              <w:t>Resident with RAD</w:t>
            </w:r>
          </w:p>
        </w:tc>
        <w:tc>
          <w:tcPr>
            <w:tcW w:w="1056" w:type="pct"/>
            <w:shd w:val="clear" w:color="auto" w:fill="1F497D" w:themeFill="text2"/>
          </w:tcPr>
          <w:p w14:paraId="39C2E119" w14:textId="77777777" w:rsidR="00D44DCC" w:rsidRPr="002C1E2B" w:rsidRDefault="00D44DCC" w:rsidP="00D44DCC">
            <w:pPr>
              <w:pStyle w:val="BodyText"/>
              <w:spacing w:before="60" w:after="60"/>
              <w:jc w:val="center"/>
              <w:rPr>
                <w:rFonts w:ascii="Calibri" w:hAnsi="Calibri"/>
                <w:b/>
                <w:color w:val="FFFFFF" w:themeColor="background1"/>
                <w:sz w:val="20"/>
                <w:szCs w:val="20"/>
              </w:rPr>
            </w:pPr>
            <w:r w:rsidRPr="002C1E2B">
              <w:rPr>
                <w:rFonts w:ascii="Calibri" w:hAnsi="Calibri"/>
                <w:b/>
                <w:color w:val="FFFFFF" w:themeColor="background1"/>
                <w:sz w:val="20"/>
                <w:szCs w:val="20"/>
              </w:rPr>
              <w:t>Resident with DAP</w:t>
            </w:r>
          </w:p>
        </w:tc>
      </w:tr>
      <w:tr w:rsidR="00D44DCC" w:rsidRPr="002C1E2B" w14:paraId="6123A871" w14:textId="77777777" w:rsidTr="00263234">
        <w:trPr>
          <w:cnfStyle w:val="000000100000" w:firstRow="0" w:lastRow="0" w:firstColumn="0" w:lastColumn="0" w:oddVBand="0" w:evenVBand="0" w:oddHBand="1" w:evenHBand="0" w:firstRowFirstColumn="0" w:firstRowLastColumn="0" w:lastRowFirstColumn="0" w:lastRowLastColumn="0"/>
        </w:trPr>
        <w:tc>
          <w:tcPr>
            <w:tcW w:w="2888"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7D324F92" w14:textId="77777777" w:rsidR="00D44DCC" w:rsidRPr="002C1E2B" w:rsidRDefault="00D44DCC" w:rsidP="00D44DCC">
            <w:pPr>
              <w:pStyle w:val="BodyText"/>
              <w:spacing w:before="60" w:after="60"/>
              <w:rPr>
                <w:rFonts w:ascii="Calibri" w:hAnsi="Calibri"/>
                <w:sz w:val="20"/>
                <w:szCs w:val="20"/>
              </w:rPr>
            </w:pPr>
            <w:r w:rsidRPr="002C1E2B">
              <w:rPr>
                <w:rFonts w:ascii="Calibri" w:hAnsi="Calibri"/>
                <w:sz w:val="20"/>
                <w:szCs w:val="20"/>
              </w:rPr>
              <w:t>Residents with RAD/DAP</w:t>
            </w: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0E238F86"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65%</w:t>
            </w: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0545C859"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35%</w:t>
            </w:r>
          </w:p>
        </w:tc>
      </w:tr>
      <w:tr w:rsidR="00D44DCC" w:rsidRPr="002C1E2B" w14:paraId="17D99892" w14:textId="77777777" w:rsidTr="00263234">
        <w:trPr>
          <w:cnfStyle w:val="000000010000" w:firstRow="0" w:lastRow="0" w:firstColumn="0" w:lastColumn="0" w:oddVBand="0" w:evenVBand="0" w:oddHBand="0" w:evenHBand="1" w:firstRowFirstColumn="0" w:firstRowLastColumn="0" w:lastRowFirstColumn="0" w:lastRowLastColumn="0"/>
        </w:trPr>
        <w:tc>
          <w:tcPr>
            <w:tcW w:w="2888"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BE5F1" w:themeFill="accent1" w:themeFillTint="33"/>
          </w:tcPr>
          <w:p w14:paraId="3001D40A" w14:textId="77777777" w:rsidR="00D44DCC" w:rsidRPr="002C1E2B" w:rsidRDefault="00D44DCC" w:rsidP="00D44DCC">
            <w:pPr>
              <w:pStyle w:val="BodyText"/>
              <w:spacing w:before="60" w:after="60"/>
              <w:rPr>
                <w:rFonts w:ascii="Calibri" w:hAnsi="Calibri"/>
                <w:b/>
                <w:sz w:val="20"/>
                <w:szCs w:val="20"/>
              </w:rPr>
            </w:pPr>
            <w:r w:rsidRPr="002C1E2B">
              <w:rPr>
                <w:rFonts w:ascii="Calibri" w:hAnsi="Calibri"/>
                <w:b/>
                <w:sz w:val="20"/>
                <w:szCs w:val="20"/>
              </w:rPr>
              <w:t xml:space="preserve">Resident impacts </w:t>
            </w: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BE5F1" w:themeFill="accent1" w:themeFillTint="33"/>
          </w:tcPr>
          <w:p w14:paraId="51304711" w14:textId="77777777" w:rsidR="00D44DCC" w:rsidRPr="002C1E2B" w:rsidRDefault="00D44DCC" w:rsidP="00D44DCC">
            <w:pPr>
              <w:spacing w:before="60" w:after="60"/>
              <w:jc w:val="right"/>
              <w:rPr>
                <w:rFonts w:ascii="Calibri" w:hAnsi="Calibri"/>
                <w:sz w:val="20"/>
                <w:szCs w:val="20"/>
              </w:rPr>
            </w:pP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BE5F1" w:themeFill="accent1" w:themeFillTint="33"/>
          </w:tcPr>
          <w:p w14:paraId="4423434C" w14:textId="77777777" w:rsidR="00D44DCC" w:rsidRPr="002C1E2B" w:rsidRDefault="00D44DCC" w:rsidP="00D44DCC">
            <w:pPr>
              <w:spacing w:before="60" w:after="60"/>
              <w:jc w:val="right"/>
              <w:rPr>
                <w:rFonts w:ascii="Calibri" w:hAnsi="Calibri"/>
                <w:sz w:val="20"/>
                <w:szCs w:val="20"/>
              </w:rPr>
            </w:pPr>
          </w:p>
        </w:tc>
      </w:tr>
      <w:tr w:rsidR="00D44DCC" w:rsidRPr="002C1E2B" w14:paraId="201F0AE2" w14:textId="77777777" w:rsidTr="00263234">
        <w:trPr>
          <w:cnfStyle w:val="000000100000" w:firstRow="0" w:lastRow="0" w:firstColumn="0" w:lastColumn="0" w:oddVBand="0" w:evenVBand="0" w:oddHBand="1" w:evenHBand="0" w:firstRowFirstColumn="0" w:firstRowLastColumn="0" w:lastRowFirstColumn="0" w:lastRowLastColumn="0"/>
        </w:trPr>
        <w:tc>
          <w:tcPr>
            <w:tcW w:w="2888"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1BEEA57" w14:textId="77777777" w:rsidR="00D44DCC" w:rsidRPr="002C1E2B" w:rsidRDefault="00D44DCC" w:rsidP="00D44DCC">
            <w:pPr>
              <w:pStyle w:val="BodyText"/>
              <w:spacing w:before="60" w:after="60"/>
              <w:rPr>
                <w:rFonts w:ascii="Calibri" w:hAnsi="Calibri"/>
                <w:sz w:val="20"/>
                <w:szCs w:val="20"/>
              </w:rPr>
            </w:pPr>
            <w:r w:rsidRPr="002C1E2B">
              <w:rPr>
                <w:rFonts w:ascii="Calibri" w:hAnsi="Calibri"/>
                <w:sz w:val="20"/>
                <w:szCs w:val="20"/>
              </w:rPr>
              <w:t>Aged care costs</w:t>
            </w: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430C227"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0</w:t>
            </w: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D953500"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0</w:t>
            </w:r>
          </w:p>
        </w:tc>
      </w:tr>
      <w:tr w:rsidR="00D44DCC" w:rsidRPr="002C1E2B" w14:paraId="481287B4" w14:textId="77777777" w:rsidTr="00263234">
        <w:trPr>
          <w:cnfStyle w:val="000000010000" w:firstRow="0" w:lastRow="0" w:firstColumn="0" w:lastColumn="0" w:oddVBand="0" w:evenVBand="0" w:oddHBand="0" w:evenHBand="1" w:firstRowFirstColumn="0" w:firstRowLastColumn="0" w:lastRowFirstColumn="0" w:lastRowLastColumn="0"/>
        </w:trPr>
        <w:tc>
          <w:tcPr>
            <w:tcW w:w="2888"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1F13752" w14:textId="77777777" w:rsidR="00D44DCC" w:rsidRPr="002C1E2B" w:rsidRDefault="00D44DCC" w:rsidP="00D44DCC">
            <w:pPr>
              <w:pStyle w:val="BodyText"/>
              <w:spacing w:before="60" w:after="60"/>
              <w:rPr>
                <w:rFonts w:ascii="Calibri" w:hAnsi="Calibri"/>
                <w:sz w:val="20"/>
                <w:szCs w:val="20"/>
              </w:rPr>
            </w:pPr>
            <w:r w:rsidRPr="002C1E2B">
              <w:rPr>
                <w:rFonts w:ascii="Calibri" w:hAnsi="Calibri"/>
                <w:sz w:val="20"/>
                <w:szCs w:val="20"/>
              </w:rPr>
              <w:t>Interest costs</w:t>
            </w: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DE43FF8"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0</w:t>
            </w: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876FE9C"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0</w:t>
            </w:r>
          </w:p>
        </w:tc>
      </w:tr>
      <w:tr w:rsidR="00D44DCC" w:rsidRPr="002C1E2B" w14:paraId="7F54B211" w14:textId="77777777" w:rsidTr="00263234">
        <w:trPr>
          <w:cnfStyle w:val="000000100000" w:firstRow="0" w:lastRow="0" w:firstColumn="0" w:lastColumn="0" w:oddVBand="0" w:evenVBand="0" w:oddHBand="1" w:evenHBand="0" w:firstRowFirstColumn="0" w:firstRowLastColumn="0" w:lastRowFirstColumn="0" w:lastRowLastColumn="0"/>
        </w:trPr>
        <w:tc>
          <w:tcPr>
            <w:tcW w:w="2888"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9ECE6DA" w14:textId="77777777" w:rsidR="00D44DCC" w:rsidRPr="002C1E2B" w:rsidRDefault="00D44DCC" w:rsidP="00D44DCC">
            <w:pPr>
              <w:pStyle w:val="BodyText"/>
              <w:spacing w:before="60" w:after="60"/>
              <w:rPr>
                <w:rFonts w:ascii="Calibri" w:hAnsi="Calibri"/>
                <w:sz w:val="20"/>
                <w:szCs w:val="20"/>
              </w:rPr>
            </w:pPr>
            <w:r w:rsidRPr="002C1E2B">
              <w:rPr>
                <w:rFonts w:ascii="Calibri" w:hAnsi="Calibri"/>
                <w:sz w:val="20"/>
                <w:szCs w:val="20"/>
              </w:rPr>
              <w:t>Deductions from entitlement</w:t>
            </w: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060E03B"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-7,451</w:t>
            </w: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F87299F"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-13,038</w:t>
            </w:r>
          </w:p>
        </w:tc>
      </w:tr>
      <w:tr w:rsidR="00D44DCC" w:rsidRPr="002C1E2B" w14:paraId="7D12E55D" w14:textId="77777777" w:rsidTr="00263234">
        <w:trPr>
          <w:cnfStyle w:val="000000010000" w:firstRow="0" w:lastRow="0" w:firstColumn="0" w:lastColumn="0" w:oddVBand="0" w:evenVBand="0" w:oddHBand="0" w:evenHBand="1" w:firstRowFirstColumn="0" w:firstRowLastColumn="0" w:lastRowFirstColumn="0" w:lastRowLastColumn="0"/>
        </w:trPr>
        <w:tc>
          <w:tcPr>
            <w:tcW w:w="2888"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2F2" w:themeFill="background1" w:themeFillShade="F2"/>
          </w:tcPr>
          <w:p w14:paraId="6F40395F" w14:textId="77777777" w:rsidR="00D44DCC" w:rsidRPr="002C1E2B" w:rsidRDefault="00D44DCC" w:rsidP="00D44DCC">
            <w:pPr>
              <w:pStyle w:val="BodyText"/>
              <w:spacing w:before="60" w:after="60"/>
              <w:rPr>
                <w:rFonts w:ascii="Calibri" w:hAnsi="Calibri"/>
                <w:b/>
                <w:sz w:val="20"/>
                <w:szCs w:val="20"/>
              </w:rPr>
            </w:pPr>
            <w:r w:rsidRPr="002C1E2B">
              <w:rPr>
                <w:rFonts w:ascii="Calibri" w:hAnsi="Calibri"/>
                <w:b/>
                <w:sz w:val="20"/>
                <w:szCs w:val="20"/>
              </w:rPr>
              <w:t>Total costs</w:t>
            </w: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2F2" w:themeFill="background1" w:themeFillShade="F2"/>
          </w:tcPr>
          <w:p w14:paraId="0DE5F3D1" w14:textId="77777777" w:rsidR="00D44DCC" w:rsidRPr="002C1E2B" w:rsidRDefault="00D44DCC" w:rsidP="00D44DCC">
            <w:pPr>
              <w:spacing w:before="60" w:after="60"/>
              <w:jc w:val="right"/>
              <w:rPr>
                <w:rFonts w:ascii="Calibri" w:hAnsi="Calibri"/>
                <w:b/>
                <w:sz w:val="20"/>
                <w:szCs w:val="20"/>
              </w:rPr>
            </w:pPr>
            <w:r w:rsidRPr="002C1E2B">
              <w:rPr>
                <w:rFonts w:ascii="Calibri" w:hAnsi="Calibri"/>
                <w:b/>
                <w:sz w:val="20"/>
                <w:szCs w:val="20"/>
              </w:rPr>
              <w:t>-7,451</w:t>
            </w: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2F2" w:themeFill="background1" w:themeFillShade="F2"/>
          </w:tcPr>
          <w:p w14:paraId="49C7479B" w14:textId="77777777" w:rsidR="00D44DCC" w:rsidRPr="002C1E2B" w:rsidRDefault="00D44DCC" w:rsidP="00D44DCC">
            <w:pPr>
              <w:spacing w:before="60" w:after="60"/>
              <w:jc w:val="right"/>
              <w:rPr>
                <w:rFonts w:ascii="Calibri" w:hAnsi="Calibri"/>
                <w:b/>
                <w:sz w:val="20"/>
                <w:szCs w:val="20"/>
              </w:rPr>
            </w:pPr>
            <w:r w:rsidRPr="002C1E2B">
              <w:rPr>
                <w:rFonts w:ascii="Calibri" w:hAnsi="Calibri"/>
                <w:b/>
                <w:sz w:val="20"/>
                <w:szCs w:val="20"/>
              </w:rPr>
              <w:t>-13,038</w:t>
            </w:r>
          </w:p>
        </w:tc>
      </w:tr>
      <w:tr w:rsidR="00D44DCC" w:rsidRPr="002C1E2B" w14:paraId="70B1043C" w14:textId="77777777" w:rsidTr="00263234">
        <w:trPr>
          <w:cnfStyle w:val="000000100000" w:firstRow="0" w:lastRow="0" w:firstColumn="0" w:lastColumn="0" w:oddVBand="0" w:evenVBand="0" w:oddHBand="1" w:evenHBand="0" w:firstRowFirstColumn="0" w:firstRowLastColumn="0" w:lastRowFirstColumn="0" w:lastRowLastColumn="0"/>
        </w:trPr>
        <w:tc>
          <w:tcPr>
            <w:tcW w:w="2888"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BE5F1" w:themeFill="accent1" w:themeFillTint="33"/>
          </w:tcPr>
          <w:p w14:paraId="58F61BBE" w14:textId="77777777" w:rsidR="00D44DCC" w:rsidRPr="002C1E2B" w:rsidRDefault="00D44DCC" w:rsidP="00D44DCC">
            <w:pPr>
              <w:pStyle w:val="BodyText"/>
              <w:spacing w:before="60" w:after="60"/>
              <w:rPr>
                <w:rFonts w:ascii="Calibri" w:hAnsi="Calibri"/>
                <w:b/>
                <w:sz w:val="20"/>
                <w:szCs w:val="20"/>
              </w:rPr>
            </w:pPr>
            <w:r w:rsidRPr="002C1E2B">
              <w:rPr>
                <w:rFonts w:ascii="Calibri" w:hAnsi="Calibri"/>
                <w:b/>
                <w:sz w:val="20"/>
                <w:szCs w:val="20"/>
              </w:rPr>
              <w:t xml:space="preserve">Retirement village costs </w:t>
            </w: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BE5F1" w:themeFill="accent1" w:themeFillTint="33"/>
          </w:tcPr>
          <w:p w14:paraId="749324B5" w14:textId="77777777" w:rsidR="00D44DCC" w:rsidRPr="002C1E2B" w:rsidRDefault="00D44DCC" w:rsidP="00D44DCC">
            <w:pPr>
              <w:spacing w:before="60" w:after="60"/>
              <w:jc w:val="right"/>
              <w:rPr>
                <w:rFonts w:ascii="Calibri" w:hAnsi="Calibri"/>
                <w:b/>
                <w:sz w:val="20"/>
                <w:szCs w:val="20"/>
              </w:rPr>
            </w:pP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BE5F1" w:themeFill="accent1" w:themeFillTint="33"/>
          </w:tcPr>
          <w:p w14:paraId="4BF4280B" w14:textId="77777777" w:rsidR="00D44DCC" w:rsidRPr="002C1E2B" w:rsidRDefault="00D44DCC" w:rsidP="00D44DCC">
            <w:pPr>
              <w:spacing w:before="60" w:after="60"/>
              <w:jc w:val="right"/>
              <w:rPr>
                <w:rFonts w:ascii="Calibri" w:hAnsi="Calibri"/>
                <w:b/>
                <w:sz w:val="20"/>
                <w:szCs w:val="20"/>
              </w:rPr>
            </w:pPr>
          </w:p>
        </w:tc>
      </w:tr>
      <w:tr w:rsidR="00D44DCC" w:rsidRPr="002C1E2B" w14:paraId="129A6CB3" w14:textId="77777777" w:rsidTr="00263234">
        <w:trPr>
          <w:cnfStyle w:val="000000010000" w:firstRow="0" w:lastRow="0" w:firstColumn="0" w:lastColumn="0" w:oddVBand="0" w:evenVBand="0" w:oddHBand="0" w:evenHBand="1" w:firstRowFirstColumn="0" w:firstRowLastColumn="0" w:lastRowFirstColumn="0" w:lastRowLastColumn="0"/>
        </w:trPr>
        <w:tc>
          <w:tcPr>
            <w:tcW w:w="2888"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1FC749F" w14:textId="77777777" w:rsidR="00D44DCC" w:rsidRPr="002C1E2B" w:rsidRDefault="00D44DCC" w:rsidP="00D44DCC">
            <w:pPr>
              <w:pStyle w:val="BodyText"/>
              <w:spacing w:before="60" w:after="60"/>
              <w:rPr>
                <w:rFonts w:ascii="Calibri" w:hAnsi="Calibri"/>
                <w:sz w:val="20"/>
                <w:szCs w:val="20"/>
              </w:rPr>
            </w:pPr>
            <w:r w:rsidRPr="002C1E2B">
              <w:rPr>
                <w:rFonts w:ascii="Calibri" w:hAnsi="Calibri"/>
                <w:sz w:val="20"/>
                <w:szCs w:val="20"/>
              </w:rPr>
              <w:t>Aged care costs</w:t>
            </w: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D12D725"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-7,451</w:t>
            </w: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6D4890C"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-13,038</w:t>
            </w:r>
          </w:p>
        </w:tc>
      </w:tr>
      <w:tr w:rsidR="00D44DCC" w:rsidRPr="002C1E2B" w14:paraId="3DF82BB7" w14:textId="77777777" w:rsidTr="00263234">
        <w:trPr>
          <w:cnfStyle w:val="000000100000" w:firstRow="0" w:lastRow="0" w:firstColumn="0" w:lastColumn="0" w:oddVBand="0" w:evenVBand="0" w:oddHBand="1" w:evenHBand="0" w:firstRowFirstColumn="0" w:firstRowLastColumn="0" w:lastRowFirstColumn="0" w:lastRowLastColumn="0"/>
        </w:trPr>
        <w:tc>
          <w:tcPr>
            <w:tcW w:w="2888"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948D29D" w14:textId="77777777" w:rsidR="00D44DCC" w:rsidRPr="002C1E2B" w:rsidRDefault="00D44DCC" w:rsidP="00D44DCC">
            <w:pPr>
              <w:pStyle w:val="BodyText"/>
              <w:spacing w:before="60" w:after="60"/>
              <w:rPr>
                <w:rFonts w:ascii="Calibri" w:hAnsi="Calibri"/>
                <w:sz w:val="20"/>
                <w:szCs w:val="20"/>
              </w:rPr>
            </w:pPr>
            <w:r w:rsidRPr="002C1E2B">
              <w:rPr>
                <w:rFonts w:ascii="Calibri" w:hAnsi="Calibri"/>
                <w:sz w:val="20"/>
                <w:szCs w:val="20"/>
              </w:rPr>
              <w:t>Interest costs on exit entitlement</w:t>
            </w: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9C4A4BC"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-4,966</w:t>
            </w: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7F06FA7"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-312</w:t>
            </w:r>
          </w:p>
        </w:tc>
      </w:tr>
      <w:tr w:rsidR="00D44DCC" w:rsidRPr="002C1E2B" w14:paraId="449B0B53" w14:textId="77777777" w:rsidTr="00263234">
        <w:trPr>
          <w:cnfStyle w:val="000000010000" w:firstRow="0" w:lastRow="0" w:firstColumn="0" w:lastColumn="0" w:oddVBand="0" w:evenVBand="0" w:oddHBand="0" w:evenHBand="1" w:firstRowFirstColumn="0" w:firstRowLastColumn="0" w:lastRowFirstColumn="0" w:lastRowLastColumn="0"/>
        </w:trPr>
        <w:tc>
          <w:tcPr>
            <w:tcW w:w="2888"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4B1E158" w14:textId="77777777" w:rsidR="00D44DCC" w:rsidRPr="002C1E2B" w:rsidRDefault="00D44DCC" w:rsidP="00D44DCC">
            <w:pPr>
              <w:pStyle w:val="BodyText"/>
              <w:spacing w:before="60" w:after="60"/>
              <w:rPr>
                <w:rFonts w:ascii="Calibri" w:hAnsi="Calibri"/>
                <w:sz w:val="20"/>
                <w:szCs w:val="20"/>
              </w:rPr>
            </w:pPr>
            <w:r w:rsidRPr="002C1E2B">
              <w:rPr>
                <w:rFonts w:ascii="Calibri" w:hAnsi="Calibri"/>
                <w:sz w:val="20"/>
                <w:szCs w:val="20"/>
              </w:rPr>
              <w:t xml:space="preserve">Final exit entitlement </w:t>
            </w: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71EF350"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258,700</w:t>
            </w: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9693821" w14:textId="77777777" w:rsidR="00D44DCC" w:rsidRPr="002C1E2B" w:rsidRDefault="00D44DCC" w:rsidP="00D44DCC">
            <w:pPr>
              <w:spacing w:before="60" w:after="60"/>
              <w:jc w:val="right"/>
              <w:rPr>
                <w:rFonts w:ascii="Calibri" w:hAnsi="Calibri"/>
                <w:b/>
                <w:sz w:val="20"/>
                <w:szCs w:val="20"/>
              </w:rPr>
            </w:pPr>
            <w:r w:rsidRPr="002C1E2B">
              <w:rPr>
                <w:rFonts w:ascii="Calibri" w:hAnsi="Calibri"/>
                <w:sz w:val="20"/>
                <w:szCs w:val="20"/>
              </w:rPr>
              <w:t>258,700</w:t>
            </w:r>
          </w:p>
        </w:tc>
      </w:tr>
      <w:tr w:rsidR="00D44DCC" w:rsidRPr="002C1E2B" w14:paraId="5B73C11D" w14:textId="77777777" w:rsidTr="00263234">
        <w:trPr>
          <w:cnfStyle w:val="000000100000" w:firstRow="0" w:lastRow="0" w:firstColumn="0" w:lastColumn="0" w:oddVBand="0" w:evenVBand="0" w:oddHBand="1" w:evenHBand="0" w:firstRowFirstColumn="0" w:firstRowLastColumn="0" w:lastRowFirstColumn="0" w:lastRowLastColumn="0"/>
        </w:trPr>
        <w:tc>
          <w:tcPr>
            <w:tcW w:w="2888"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B0E57FB" w14:textId="77777777" w:rsidR="00D44DCC" w:rsidRPr="002C1E2B" w:rsidRDefault="00D44DCC" w:rsidP="00D44DCC">
            <w:pPr>
              <w:pStyle w:val="BodyText"/>
              <w:spacing w:before="60" w:after="60"/>
              <w:rPr>
                <w:rFonts w:ascii="Calibri" w:hAnsi="Calibri"/>
                <w:sz w:val="20"/>
                <w:szCs w:val="20"/>
              </w:rPr>
            </w:pPr>
            <w:r w:rsidRPr="002C1E2B">
              <w:rPr>
                <w:rFonts w:ascii="Calibri" w:hAnsi="Calibri"/>
                <w:sz w:val="20"/>
                <w:szCs w:val="20"/>
              </w:rPr>
              <w:t>Exit entitlement paid to resident</w:t>
            </w: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051F015"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-251,249</w:t>
            </w: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2741C70"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-245,662</w:t>
            </w:r>
          </w:p>
        </w:tc>
      </w:tr>
      <w:tr w:rsidR="00D44DCC" w:rsidRPr="002C1E2B" w14:paraId="7BE1BBDD" w14:textId="77777777" w:rsidTr="00263234">
        <w:trPr>
          <w:cnfStyle w:val="000000010000" w:firstRow="0" w:lastRow="0" w:firstColumn="0" w:lastColumn="0" w:oddVBand="0" w:evenVBand="0" w:oddHBand="0" w:evenHBand="1" w:firstRowFirstColumn="0" w:firstRowLastColumn="0" w:lastRowFirstColumn="0" w:lastRowLastColumn="0"/>
        </w:trPr>
        <w:tc>
          <w:tcPr>
            <w:tcW w:w="2888"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2F2" w:themeFill="background1" w:themeFillShade="F2"/>
          </w:tcPr>
          <w:p w14:paraId="02C459DE" w14:textId="77777777" w:rsidR="00D44DCC" w:rsidRPr="002C1E2B" w:rsidRDefault="00D44DCC" w:rsidP="00D44DCC">
            <w:pPr>
              <w:pStyle w:val="BodyText"/>
              <w:spacing w:before="60" w:after="60"/>
              <w:rPr>
                <w:rFonts w:ascii="Calibri" w:hAnsi="Calibri"/>
                <w:b/>
                <w:sz w:val="20"/>
                <w:szCs w:val="20"/>
              </w:rPr>
            </w:pPr>
            <w:r w:rsidRPr="002C1E2B">
              <w:rPr>
                <w:rFonts w:ascii="Calibri" w:hAnsi="Calibri"/>
                <w:b/>
                <w:sz w:val="20"/>
                <w:szCs w:val="20"/>
              </w:rPr>
              <w:t>Total costs</w:t>
            </w: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2F2" w:themeFill="background1" w:themeFillShade="F2"/>
          </w:tcPr>
          <w:p w14:paraId="41B85571" w14:textId="77777777" w:rsidR="00D44DCC" w:rsidRPr="002C1E2B" w:rsidRDefault="00D44DCC" w:rsidP="00D44DCC">
            <w:pPr>
              <w:spacing w:before="60" w:after="60"/>
              <w:jc w:val="right"/>
              <w:rPr>
                <w:rFonts w:ascii="Calibri" w:hAnsi="Calibri"/>
                <w:b/>
                <w:sz w:val="20"/>
                <w:szCs w:val="20"/>
              </w:rPr>
            </w:pPr>
            <w:r w:rsidRPr="002C1E2B">
              <w:rPr>
                <w:rFonts w:ascii="Calibri" w:hAnsi="Calibri"/>
                <w:b/>
                <w:sz w:val="20"/>
                <w:szCs w:val="20"/>
              </w:rPr>
              <w:t>-4,966</w:t>
            </w: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2F2" w:themeFill="background1" w:themeFillShade="F2"/>
          </w:tcPr>
          <w:p w14:paraId="57B2A7F1" w14:textId="77777777" w:rsidR="00D44DCC" w:rsidRPr="002C1E2B" w:rsidRDefault="00D44DCC" w:rsidP="00D44DCC">
            <w:pPr>
              <w:spacing w:before="60" w:after="60"/>
              <w:jc w:val="right"/>
              <w:rPr>
                <w:rFonts w:ascii="Calibri" w:hAnsi="Calibri"/>
                <w:b/>
                <w:sz w:val="20"/>
                <w:szCs w:val="20"/>
              </w:rPr>
            </w:pPr>
            <w:r w:rsidRPr="002C1E2B">
              <w:rPr>
                <w:rFonts w:ascii="Calibri" w:hAnsi="Calibri"/>
                <w:b/>
                <w:sz w:val="20"/>
                <w:szCs w:val="20"/>
              </w:rPr>
              <w:t>-312</w:t>
            </w:r>
          </w:p>
        </w:tc>
      </w:tr>
    </w:tbl>
    <w:p w14:paraId="1DF0FC08" w14:textId="77777777" w:rsidR="00D44DCC" w:rsidRPr="002C1E2B" w:rsidRDefault="00D44DCC" w:rsidP="00D44DCC">
      <w:pPr>
        <w:pStyle w:val="BodyText"/>
      </w:pPr>
    </w:p>
    <w:p w14:paraId="41018437" w14:textId="77777777" w:rsidR="00D44DCC" w:rsidRPr="002C1E2B" w:rsidRDefault="00D44DCC" w:rsidP="00D44DCC">
      <w:pPr>
        <w:pStyle w:val="BodyText"/>
      </w:pPr>
      <w:r w:rsidRPr="002C1E2B">
        <w:lastRenderedPageBreak/>
        <w:t>Under Option 1, more residents are entitled to early payment of their exit entitlement initially – approximately 2,400 per year, compared to approximately 1,300 each year under the base case. The cost to the retirement village sector of this option is relatively low – operators would be $1.7 million worse-off on average each year over 20 years, compared to the base case. This cost is driven by exiting residents being entitled to early payments initially and also by retirement villages being able to deduct any DAP payments they have made on behalf of the resident from their final exit entitlement.</w:t>
      </w:r>
    </w:p>
    <w:p w14:paraId="723A0C7E" w14:textId="77777777" w:rsidR="00D44DCC" w:rsidRPr="002C1E2B" w:rsidRDefault="00D44DCC" w:rsidP="007B2C64">
      <w:pPr>
        <w:pStyle w:val="Caption"/>
        <w:spacing w:after="120"/>
      </w:pPr>
      <w:r w:rsidRPr="002C1E2B">
        <w:t xml:space="preserve">Table </w:t>
      </w:r>
      <w:r w:rsidRPr="002C1E2B">
        <w:fldChar w:fldCharType="begin"/>
      </w:r>
      <w:r w:rsidRPr="002C1E2B">
        <w:instrText xml:space="preserve"> STYLEREF 1 \s </w:instrText>
      </w:r>
      <w:r w:rsidRPr="002C1E2B">
        <w:fldChar w:fldCharType="separate"/>
      </w:r>
      <w:r w:rsidR="00BE6CE4">
        <w:rPr>
          <w:noProof/>
        </w:rPr>
        <w:t>5</w:t>
      </w:r>
      <w:r w:rsidRPr="002C1E2B">
        <w:fldChar w:fldCharType="end"/>
      </w:r>
      <w:r w:rsidRPr="002C1E2B">
        <w:t>.</w:t>
      </w:r>
      <w:r w:rsidRPr="002C1E2B">
        <w:fldChar w:fldCharType="begin"/>
      </w:r>
      <w:r w:rsidRPr="002C1E2B">
        <w:instrText xml:space="preserve"> SEQ Table \* ARABIC \s 1 </w:instrText>
      </w:r>
      <w:r w:rsidRPr="002C1E2B">
        <w:fldChar w:fldCharType="separate"/>
      </w:r>
      <w:r w:rsidR="00BE6CE4">
        <w:rPr>
          <w:noProof/>
        </w:rPr>
        <w:t>4</w:t>
      </w:r>
      <w:r w:rsidRPr="002C1E2B">
        <w:fldChar w:fldCharType="end"/>
      </w:r>
      <w:r w:rsidRPr="002C1E2B">
        <w:t xml:space="preserve"> – Option 1: Financial impacts on residents and villages – total for sector relative to base case</w:t>
      </w:r>
    </w:p>
    <w:tbl>
      <w:tblPr>
        <w:tblStyle w:val="OW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0"/>
        <w:gridCol w:w="1573"/>
        <w:gridCol w:w="1573"/>
        <w:gridCol w:w="1571"/>
      </w:tblGrid>
      <w:tr w:rsidR="00D44DCC" w:rsidRPr="002C1E2B" w14:paraId="538E6883" w14:textId="77777777" w:rsidTr="00D44DCC">
        <w:trPr>
          <w:cnfStyle w:val="100000000000" w:firstRow="1" w:lastRow="0" w:firstColumn="0" w:lastColumn="0" w:oddVBand="0" w:evenVBand="0" w:oddHBand="0" w:evenHBand="0" w:firstRowFirstColumn="0" w:firstRowLastColumn="0" w:lastRowFirstColumn="0" w:lastRowLastColumn="0"/>
        </w:trPr>
        <w:tc>
          <w:tcPr>
            <w:tcW w:w="238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F497D" w:themeFill="text2"/>
          </w:tcPr>
          <w:p w14:paraId="37FE27CC" w14:textId="77777777" w:rsidR="00D44DCC" w:rsidRPr="002C1E2B" w:rsidRDefault="00D44DCC" w:rsidP="00D44DCC">
            <w:pPr>
              <w:pStyle w:val="BodyText"/>
              <w:spacing w:before="60" w:after="60"/>
              <w:rPr>
                <w:rFonts w:ascii="Calibri" w:hAnsi="Calibri"/>
                <w:b/>
                <w:color w:val="FFFFFF" w:themeColor="background1"/>
                <w:sz w:val="20"/>
                <w:szCs w:val="20"/>
              </w:rPr>
            </w:pPr>
            <w:r w:rsidRPr="002C1E2B">
              <w:rPr>
                <w:rFonts w:ascii="Calibri" w:hAnsi="Calibri"/>
                <w:b/>
                <w:color w:val="FFFFFF" w:themeColor="background1"/>
                <w:sz w:val="20"/>
                <w:szCs w:val="20"/>
              </w:rPr>
              <w:t>Option 1 impacts – total for sector</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F497D" w:themeFill="text2"/>
          </w:tcPr>
          <w:p w14:paraId="2C4997D9" w14:textId="77777777" w:rsidR="00D44DCC" w:rsidRPr="002C1E2B" w:rsidRDefault="00D44DCC" w:rsidP="00D44DCC">
            <w:pPr>
              <w:pStyle w:val="BodyText"/>
              <w:spacing w:before="60" w:after="60"/>
              <w:jc w:val="center"/>
              <w:rPr>
                <w:rFonts w:ascii="Calibri" w:hAnsi="Calibri"/>
                <w:b/>
                <w:color w:val="FFFFFF" w:themeColor="background1"/>
                <w:sz w:val="20"/>
                <w:szCs w:val="20"/>
              </w:rPr>
            </w:pPr>
            <w:r w:rsidRPr="002C1E2B">
              <w:rPr>
                <w:rFonts w:ascii="Calibri" w:hAnsi="Calibri"/>
                <w:b/>
                <w:color w:val="FFFFFF" w:themeColor="background1"/>
                <w:sz w:val="20"/>
                <w:szCs w:val="20"/>
              </w:rPr>
              <w:t>2018</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F497D" w:themeFill="text2"/>
          </w:tcPr>
          <w:p w14:paraId="1E533866" w14:textId="77777777" w:rsidR="00D44DCC" w:rsidRPr="002C1E2B" w:rsidRDefault="00D44DCC" w:rsidP="00D44DCC">
            <w:pPr>
              <w:pStyle w:val="BodyText"/>
              <w:spacing w:before="60" w:after="60"/>
              <w:jc w:val="center"/>
              <w:rPr>
                <w:rFonts w:ascii="Calibri" w:hAnsi="Calibri"/>
                <w:b/>
                <w:color w:val="FFFFFF" w:themeColor="background1"/>
                <w:sz w:val="20"/>
                <w:szCs w:val="20"/>
              </w:rPr>
            </w:pPr>
            <w:r w:rsidRPr="002C1E2B">
              <w:rPr>
                <w:rFonts w:ascii="Calibri" w:hAnsi="Calibri"/>
                <w:b/>
                <w:color w:val="FFFFFF" w:themeColor="background1"/>
                <w:sz w:val="20"/>
                <w:szCs w:val="20"/>
              </w:rPr>
              <w:t>2037</w:t>
            </w:r>
          </w:p>
        </w:tc>
        <w:tc>
          <w:tcPr>
            <w:tcW w:w="87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F497D" w:themeFill="text2"/>
          </w:tcPr>
          <w:p w14:paraId="79A76F5A" w14:textId="77777777" w:rsidR="00D44DCC" w:rsidRPr="002C1E2B" w:rsidRDefault="00D44DCC" w:rsidP="00D44DCC">
            <w:pPr>
              <w:pStyle w:val="BodyText"/>
              <w:spacing w:before="60" w:after="60"/>
              <w:jc w:val="center"/>
              <w:rPr>
                <w:rFonts w:ascii="Calibri" w:hAnsi="Calibri"/>
                <w:b/>
                <w:color w:val="FFFFFF" w:themeColor="background1"/>
                <w:sz w:val="20"/>
                <w:szCs w:val="20"/>
              </w:rPr>
            </w:pPr>
            <w:r w:rsidRPr="002C1E2B">
              <w:rPr>
                <w:rFonts w:ascii="Calibri" w:hAnsi="Calibri"/>
                <w:b/>
                <w:color w:val="FFFFFF" w:themeColor="background1"/>
                <w:sz w:val="20"/>
                <w:szCs w:val="20"/>
              </w:rPr>
              <w:t>Average</w:t>
            </w:r>
          </w:p>
          <w:p w14:paraId="2767C8C8" w14:textId="77777777" w:rsidR="00D44DCC" w:rsidRPr="002C1E2B" w:rsidRDefault="00D44DCC" w:rsidP="00D44DCC">
            <w:pPr>
              <w:pStyle w:val="BodyText"/>
              <w:spacing w:before="60" w:after="60"/>
              <w:jc w:val="center"/>
              <w:rPr>
                <w:rFonts w:ascii="Calibri" w:hAnsi="Calibri"/>
                <w:b/>
                <w:color w:val="FFFFFF" w:themeColor="background1"/>
                <w:sz w:val="20"/>
                <w:szCs w:val="20"/>
              </w:rPr>
            </w:pPr>
            <w:r w:rsidRPr="002C1E2B">
              <w:rPr>
                <w:rFonts w:ascii="Calibri" w:hAnsi="Calibri"/>
                <w:b/>
                <w:color w:val="FFFFFF" w:themeColor="background1"/>
                <w:sz w:val="20"/>
                <w:szCs w:val="20"/>
              </w:rPr>
              <w:t>(2018 to 2037)</w:t>
            </w:r>
          </w:p>
        </w:tc>
      </w:tr>
      <w:tr w:rsidR="00D44DCC" w:rsidRPr="002C1E2B" w14:paraId="7BABE708" w14:textId="77777777" w:rsidTr="00D44DCC">
        <w:trPr>
          <w:cnfStyle w:val="000000100000" w:firstRow="0" w:lastRow="0" w:firstColumn="0" w:lastColumn="0" w:oddVBand="0" w:evenVBand="0" w:oddHBand="1" w:evenHBand="0" w:firstRowFirstColumn="0" w:firstRowLastColumn="0" w:lastRowFirstColumn="0" w:lastRowLastColumn="0"/>
        </w:trPr>
        <w:tc>
          <w:tcPr>
            <w:tcW w:w="238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BE5F1" w:themeFill="accent1" w:themeFillTint="33"/>
          </w:tcPr>
          <w:p w14:paraId="194C4AD9" w14:textId="77777777" w:rsidR="00D44DCC" w:rsidRPr="002C1E2B" w:rsidRDefault="00D44DCC" w:rsidP="00D44DCC">
            <w:pPr>
              <w:pStyle w:val="BodyText"/>
              <w:spacing w:before="60" w:after="60"/>
              <w:rPr>
                <w:rFonts w:ascii="Calibri" w:hAnsi="Calibri"/>
                <w:b/>
                <w:sz w:val="20"/>
                <w:szCs w:val="20"/>
              </w:rPr>
            </w:pPr>
            <w:r w:rsidRPr="002C1E2B">
              <w:rPr>
                <w:rFonts w:ascii="Calibri" w:hAnsi="Calibri"/>
                <w:b/>
                <w:sz w:val="20"/>
                <w:szCs w:val="20"/>
              </w:rPr>
              <w:t>Population assumptions</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BE5F1" w:themeFill="accent1" w:themeFillTint="33"/>
          </w:tcPr>
          <w:p w14:paraId="1EE037D5" w14:textId="77777777" w:rsidR="00D44DCC" w:rsidRPr="002C1E2B" w:rsidRDefault="00D44DCC" w:rsidP="00D44DCC">
            <w:pPr>
              <w:spacing w:before="60" w:after="60"/>
              <w:jc w:val="right"/>
              <w:rPr>
                <w:rFonts w:ascii="Calibri" w:hAnsi="Calibri"/>
                <w:sz w:val="20"/>
                <w:szCs w:val="20"/>
              </w:rPr>
            </w:pP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BE5F1" w:themeFill="accent1" w:themeFillTint="33"/>
          </w:tcPr>
          <w:p w14:paraId="1ACAA76B" w14:textId="77777777" w:rsidR="00D44DCC" w:rsidRPr="002C1E2B" w:rsidRDefault="00D44DCC" w:rsidP="00D44DCC">
            <w:pPr>
              <w:spacing w:before="60" w:after="60"/>
              <w:jc w:val="right"/>
              <w:rPr>
                <w:rFonts w:ascii="Calibri" w:hAnsi="Calibri"/>
                <w:sz w:val="20"/>
                <w:szCs w:val="20"/>
              </w:rPr>
            </w:pPr>
          </w:p>
        </w:tc>
        <w:tc>
          <w:tcPr>
            <w:tcW w:w="87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BE5F1" w:themeFill="accent1" w:themeFillTint="33"/>
          </w:tcPr>
          <w:p w14:paraId="6B8580D2" w14:textId="77777777" w:rsidR="00D44DCC" w:rsidRPr="002C1E2B" w:rsidRDefault="00D44DCC" w:rsidP="00D44DCC">
            <w:pPr>
              <w:spacing w:before="60" w:after="60"/>
              <w:jc w:val="right"/>
              <w:rPr>
                <w:rFonts w:ascii="Calibri" w:hAnsi="Calibri"/>
                <w:sz w:val="20"/>
                <w:szCs w:val="20"/>
              </w:rPr>
            </w:pPr>
          </w:p>
        </w:tc>
      </w:tr>
      <w:tr w:rsidR="00D44DCC" w:rsidRPr="002C1E2B" w14:paraId="27EAF4A8" w14:textId="77777777" w:rsidTr="007B2C64">
        <w:trPr>
          <w:cnfStyle w:val="000000010000" w:firstRow="0" w:lastRow="0" w:firstColumn="0" w:lastColumn="0" w:oddVBand="0" w:evenVBand="0" w:oddHBand="0" w:evenHBand="1" w:firstRowFirstColumn="0" w:firstRowLastColumn="0" w:lastRowFirstColumn="0" w:lastRowLastColumn="0"/>
        </w:trPr>
        <w:tc>
          <w:tcPr>
            <w:tcW w:w="238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0CCB0995" w14:textId="77777777" w:rsidR="00D44DCC" w:rsidRPr="002C1E2B" w:rsidRDefault="00D44DCC" w:rsidP="00D44DCC">
            <w:pPr>
              <w:spacing w:before="60" w:after="60"/>
              <w:rPr>
                <w:rFonts w:ascii="Calibri" w:hAnsi="Calibri"/>
                <w:sz w:val="20"/>
                <w:szCs w:val="20"/>
              </w:rPr>
            </w:pPr>
            <w:r w:rsidRPr="002C1E2B">
              <w:rPr>
                <w:rFonts w:ascii="Calibri" w:hAnsi="Calibri"/>
                <w:sz w:val="20"/>
                <w:szCs w:val="20"/>
              </w:rPr>
              <w:t>Residents receiving six month rule</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643B4D5A"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0</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521366B0"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0</w:t>
            </w:r>
          </w:p>
        </w:tc>
        <w:tc>
          <w:tcPr>
            <w:tcW w:w="87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4D57447B"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0</w:t>
            </w:r>
          </w:p>
        </w:tc>
      </w:tr>
      <w:tr w:rsidR="00D44DCC" w:rsidRPr="002C1E2B" w14:paraId="5A7F93C1" w14:textId="77777777" w:rsidTr="007B2C64">
        <w:trPr>
          <w:cnfStyle w:val="000000100000" w:firstRow="0" w:lastRow="0" w:firstColumn="0" w:lastColumn="0" w:oddVBand="0" w:evenVBand="0" w:oddHBand="1" w:evenHBand="0" w:firstRowFirstColumn="0" w:firstRowLastColumn="0" w:lastRowFirstColumn="0" w:lastRowLastColumn="0"/>
        </w:trPr>
        <w:tc>
          <w:tcPr>
            <w:tcW w:w="238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7BB89FED" w14:textId="77777777" w:rsidR="00D44DCC" w:rsidRPr="002C1E2B" w:rsidRDefault="00D44DCC" w:rsidP="00D44DCC">
            <w:pPr>
              <w:spacing w:before="60" w:after="60"/>
              <w:rPr>
                <w:rFonts w:ascii="Calibri" w:hAnsi="Calibri"/>
                <w:sz w:val="20"/>
                <w:szCs w:val="20"/>
              </w:rPr>
            </w:pPr>
            <w:r w:rsidRPr="002C1E2B">
              <w:rPr>
                <w:rFonts w:ascii="Calibri" w:hAnsi="Calibri"/>
                <w:sz w:val="20"/>
                <w:szCs w:val="20"/>
              </w:rPr>
              <w:t>Existing residents receiving  RAD based payment</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74DC5190"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669</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4331F4ED"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0</w:t>
            </w:r>
          </w:p>
        </w:tc>
        <w:tc>
          <w:tcPr>
            <w:tcW w:w="87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6E8E0C6D"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719</w:t>
            </w:r>
          </w:p>
        </w:tc>
      </w:tr>
      <w:tr w:rsidR="00D44DCC" w:rsidRPr="002C1E2B" w14:paraId="6A4D4E4E" w14:textId="77777777" w:rsidTr="007B2C64">
        <w:trPr>
          <w:cnfStyle w:val="000000010000" w:firstRow="0" w:lastRow="0" w:firstColumn="0" w:lastColumn="0" w:oddVBand="0" w:evenVBand="0" w:oddHBand="0" w:evenHBand="1" w:firstRowFirstColumn="0" w:firstRowLastColumn="0" w:lastRowFirstColumn="0" w:lastRowLastColumn="0"/>
        </w:trPr>
        <w:tc>
          <w:tcPr>
            <w:tcW w:w="238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6B542B00" w14:textId="77777777" w:rsidR="00D44DCC" w:rsidRPr="002C1E2B" w:rsidRDefault="00D44DCC" w:rsidP="00D44DCC">
            <w:pPr>
              <w:spacing w:before="60" w:after="60"/>
              <w:rPr>
                <w:rFonts w:ascii="Calibri" w:hAnsi="Calibri"/>
                <w:sz w:val="20"/>
                <w:szCs w:val="20"/>
              </w:rPr>
            </w:pPr>
            <w:r w:rsidRPr="002C1E2B">
              <w:rPr>
                <w:rFonts w:ascii="Calibri" w:hAnsi="Calibri"/>
                <w:sz w:val="20"/>
                <w:szCs w:val="20"/>
              </w:rPr>
              <w:t>New residents receiving  RAD based payment</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1702A1AE"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0</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5B013B4B"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2,011</w:t>
            </w:r>
          </w:p>
        </w:tc>
        <w:tc>
          <w:tcPr>
            <w:tcW w:w="87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594C9718"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821</w:t>
            </w:r>
          </w:p>
        </w:tc>
      </w:tr>
      <w:tr w:rsidR="00D44DCC" w:rsidRPr="002C1E2B" w14:paraId="66126374" w14:textId="77777777" w:rsidTr="007B2C64">
        <w:trPr>
          <w:cnfStyle w:val="000000100000" w:firstRow="0" w:lastRow="0" w:firstColumn="0" w:lastColumn="0" w:oddVBand="0" w:evenVBand="0" w:oddHBand="1" w:evenHBand="0" w:firstRowFirstColumn="0" w:firstRowLastColumn="0" w:lastRowFirstColumn="0" w:lastRowLastColumn="0"/>
        </w:trPr>
        <w:tc>
          <w:tcPr>
            <w:tcW w:w="238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32C1F754" w14:textId="77777777" w:rsidR="00D44DCC" w:rsidRPr="002C1E2B" w:rsidRDefault="00D44DCC" w:rsidP="00D44DCC">
            <w:pPr>
              <w:spacing w:before="60" w:after="60"/>
              <w:rPr>
                <w:rFonts w:ascii="Calibri" w:hAnsi="Calibri"/>
                <w:sz w:val="20"/>
                <w:szCs w:val="20"/>
              </w:rPr>
            </w:pPr>
            <w:r w:rsidRPr="002C1E2B">
              <w:rPr>
                <w:rFonts w:ascii="Calibri" w:hAnsi="Calibri"/>
                <w:sz w:val="20"/>
                <w:szCs w:val="20"/>
              </w:rPr>
              <w:t xml:space="preserve">Existing residents receiving DAP based payment </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563A280F"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360</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101F996D"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0</w:t>
            </w:r>
          </w:p>
        </w:tc>
        <w:tc>
          <w:tcPr>
            <w:tcW w:w="87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274D9323"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387</w:t>
            </w:r>
          </w:p>
        </w:tc>
      </w:tr>
      <w:tr w:rsidR="00D44DCC" w:rsidRPr="002C1E2B" w14:paraId="24E0518D" w14:textId="77777777" w:rsidTr="007B2C64">
        <w:trPr>
          <w:cnfStyle w:val="000000010000" w:firstRow="0" w:lastRow="0" w:firstColumn="0" w:lastColumn="0" w:oddVBand="0" w:evenVBand="0" w:oddHBand="0" w:evenHBand="1" w:firstRowFirstColumn="0" w:firstRowLastColumn="0" w:lastRowFirstColumn="0" w:lastRowLastColumn="0"/>
        </w:trPr>
        <w:tc>
          <w:tcPr>
            <w:tcW w:w="238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6A7E4CC1" w14:textId="77777777" w:rsidR="00D44DCC" w:rsidRPr="002C1E2B" w:rsidRDefault="00D44DCC" w:rsidP="00D44DCC">
            <w:pPr>
              <w:spacing w:before="60" w:after="60"/>
              <w:rPr>
                <w:rFonts w:ascii="Calibri" w:hAnsi="Calibri"/>
                <w:sz w:val="20"/>
                <w:szCs w:val="20"/>
              </w:rPr>
            </w:pPr>
            <w:r w:rsidRPr="002C1E2B">
              <w:rPr>
                <w:rFonts w:ascii="Calibri" w:hAnsi="Calibri"/>
                <w:sz w:val="20"/>
                <w:szCs w:val="20"/>
              </w:rPr>
              <w:t xml:space="preserve">New residents receiving DAP based payment </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0A536C5F"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0</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3D712D56"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1,083</w:t>
            </w:r>
          </w:p>
        </w:tc>
        <w:tc>
          <w:tcPr>
            <w:tcW w:w="87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39E51841"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442</w:t>
            </w:r>
          </w:p>
        </w:tc>
      </w:tr>
      <w:tr w:rsidR="00D44DCC" w:rsidRPr="002C1E2B" w14:paraId="1B6604C7" w14:textId="77777777" w:rsidTr="00D44DCC">
        <w:trPr>
          <w:cnfStyle w:val="000000100000" w:firstRow="0" w:lastRow="0" w:firstColumn="0" w:lastColumn="0" w:oddVBand="0" w:evenVBand="0" w:oddHBand="1" w:evenHBand="0" w:firstRowFirstColumn="0" w:firstRowLastColumn="0" w:lastRowFirstColumn="0" w:lastRowLastColumn="0"/>
        </w:trPr>
        <w:tc>
          <w:tcPr>
            <w:tcW w:w="238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BE5F1" w:themeFill="accent1" w:themeFillTint="33"/>
          </w:tcPr>
          <w:p w14:paraId="4CA56331" w14:textId="77777777" w:rsidR="00D44DCC" w:rsidRPr="002C1E2B" w:rsidRDefault="00D44DCC" w:rsidP="00D44DCC">
            <w:pPr>
              <w:pStyle w:val="BodyText"/>
              <w:spacing w:before="60" w:after="60"/>
              <w:rPr>
                <w:rFonts w:ascii="Calibri" w:hAnsi="Calibri"/>
                <w:b/>
                <w:sz w:val="20"/>
                <w:szCs w:val="20"/>
              </w:rPr>
            </w:pPr>
            <w:r w:rsidRPr="002C1E2B">
              <w:rPr>
                <w:rFonts w:ascii="Calibri" w:hAnsi="Calibri"/>
                <w:b/>
                <w:sz w:val="20"/>
                <w:szCs w:val="20"/>
              </w:rPr>
              <w:t>Cost to residents</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BE5F1" w:themeFill="accent1" w:themeFillTint="33"/>
          </w:tcPr>
          <w:p w14:paraId="7FDB27E3" w14:textId="77777777" w:rsidR="00D44DCC" w:rsidRPr="002C1E2B" w:rsidRDefault="00D44DCC" w:rsidP="00D44DCC">
            <w:pPr>
              <w:spacing w:before="60" w:after="60"/>
              <w:jc w:val="right"/>
              <w:rPr>
                <w:rFonts w:ascii="Calibri" w:hAnsi="Calibri"/>
                <w:sz w:val="20"/>
                <w:szCs w:val="20"/>
              </w:rPr>
            </w:pP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BE5F1" w:themeFill="accent1" w:themeFillTint="33"/>
          </w:tcPr>
          <w:p w14:paraId="15962E8C" w14:textId="77777777" w:rsidR="00D44DCC" w:rsidRPr="002C1E2B" w:rsidRDefault="00D44DCC" w:rsidP="00D44DCC">
            <w:pPr>
              <w:spacing w:before="60" w:after="60"/>
              <w:jc w:val="right"/>
              <w:rPr>
                <w:rFonts w:ascii="Calibri" w:hAnsi="Calibri"/>
                <w:sz w:val="20"/>
                <w:szCs w:val="20"/>
              </w:rPr>
            </w:pPr>
          </w:p>
        </w:tc>
        <w:tc>
          <w:tcPr>
            <w:tcW w:w="87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BE5F1" w:themeFill="accent1" w:themeFillTint="33"/>
          </w:tcPr>
          <w:p w14:paraId="3D8466BC" w14:textId="77777777" w:rsidR="00D44DCC" w:rsidRPr="002C1E2B" w:rsidRDefault="00D44DCC" w:rsidP="00D44DCC">
            <w:pPr>
              <w:spacing w:before="60" w:after="60"/>
              <w:jc w:val="right"/>
              <w:rPr>
                <w:rFonts w:ascii="Calibri" w:hAnsi="Calibri"/>
                <w:sz w:val="20"/>
                <w:szCs w:val="20"/>
              </w:rPr>
            </w:pPr>
          </w:p>
        </w:tc>
      </w:tr>
      <w:tr w:rsidR="00D44DCC" w:rsidRPr="002C1E2B" w14:paraId="4A8CB996" w14:textId="77777777" w:rsidTr="007B2C64">
        <w:trPr>
          <w:cnfStyle w:val="000000010000" w:firstRow="0" w:lastRow="0" w:firstColumn="0" w:lastColumn="0" w:oddVBand="0" w:evenVBand="0" w:oddHBand="0" w:evenHBand="1" w:firstRowFirstColumn="0" w:firstRowLastColumn="0" w:lastRowFirstColumn="0" w:lastRowLastColumn="0"/>
        </w:trPr>
        <w:tc>
          <w:tcPr>
            <w:tcW w:w="238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33D20EE6" w14:textId="77777777" w:rsidR="00D44DCC" w:rsidRPr="002C1E2B" w:rsidRDefault="00D44DCC" w:rsidP="00D44DCC">
            <w:pPr>
              <w:pStyle w:val="BodyText"/>
              <w:spacing w:before="60" w:after="60"/>
              <w:rPr>
                <w:rFonts w:ascii="Calibri" w:hAnsi="Calibri"/>
                <w:sz w:val="20"/>
                <w:szCs w:val="20"/>
              </w:rPr>
            </w:pPr>
            <w:r w:rsidRPr="002C1E2B">
              <w:rPr>
                <w:rFonts w:ascii="Calibri" w:hAnsi="Calibri"/>
                <w:sz w:val="20"/>
                <w:szCs w:val="20"/>
              </w:rPr>
              <w:t>Residents receiving six month rule</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1C9267C5"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0</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37A3BEB8"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0</w:t>
            </w:r>
          </w:p>
        </w:tc>
        <w:tc>
          <w:tcPr>
            <w:tcW w:w="87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1FD85DA1"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0</w:t>
            </w:r>
          </w:p>
        </w:tc>
      </w:tr>
      <w:tr w:rsidR="00D44DCC" w:rsidRPr="002C1E2B" w14:paraId="14487FF0" w14:textId="77777777" w:rsidTr="007B2C64">
        <w:trPr>
          <w:cnfStyle w:val="000000100000" w:firstRow="0" w:lastRow="0" w:firstColumn="0" w:lastColumn="0" w:oddVBand="0" w:evenVBand="0" w:oddHBand="1" w:evenHBand="0" w:firstRowFirstColumn="0" w:firstRowLastColumn="0" w:lastRowFirstColumn="0" w:lastRowLastColumn="0"/>
        </w:trPr>
        <w:tc>
          <w:tcPr>
            <w:tcW w:w="238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13B89001" w14:textId="77777777" w:rsidR="00D44DCC" w:rsidRPr="002C1E2B" w:rsidRDefault="00D44DCC" w:rsidP="00D44DCC">
            <w:pPr>
              <w:pStyle w:val="BodyText"/>
              <w:spacing w:before="60" w:after="60"/>
              <w:rPr>
                <w:rFonts w:ascii="Calibri" w:hAnsi="Calibri"/>
                <w:sz w:val="20"/>
                <w:szCs w:val="20"/>
              </w:rPr>
            </w:pPr>
            <w:r w:rsidRPr="002C1E2B">
              <w:rPr>
                <w:rFonts w:ascii="Calibri" w:hAnsi="Calibri"/>
                <w:sz w:val="20"/>
                <w:szCs w:val="20"/>
              </w:rPr>
              <w:t>Residents receiving  RAD based payment</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2A79280B"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+3,875,704</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0501F1E3"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+327,580</w:t>
            </w:r>
          </w:p>
        </w:tc>
        <w:tc>
          <w:tcPr>
            <w:tcW w:w="87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36A9344F"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+4,295,543</w:t>
            </w:r>
          </w:p>
        </w:tc>
      </w:tr>
      <w:tr w:rsidR="00D44DCC" w:rsidRPr="002C1E2B" w14:paraId="2B94F17E" w14:textId="77777777" w:rsidTr="007B2C64">
        <w:trPr>
          <w:cnfStyle w:val="000000010000" w:firstRow="0" w:lastRow="0" w:firstColumn="0" w:lastColumn="0" w:oddVBand="0" w:evenVBand="0" w:oddHBand="0" w:evenHBand="1" w:firstRowFirstColumn="0" w:firstRowLastColumn="0" w:lastRowFirstColumn="0" w:lastRowLastColumn="0"/>
        </w:trPr>
        <w:tc>
          <w:tcPr>
            <w:tcW w:w="238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3C60C75F" w14:textId="77777777" w:rsidR="00D44DCC" w:rsidRPr="002C1E2B" w:rsidRDefault="00D44DCC" w:rsidP="00D44DCC">
            <w:pPr>
              <w:pStyle w:val="BodyText"/>
              <w:spacing w:before="60" w:after="60"/>
              <w:rPr>
                <w:rFonts w:ascii="Calibri" w:hAnsi="Calibri"/>
                <w:sz w:val="20"/>
                <w:szCs w:val="20"/>
              </w:rPr>
            </w:pPr>
            <w:r w:rsidRPr="002C1E2B">
              <w:rPr>
                <w:rFonts w:ascii="Calibri" w:hAnsi="Calibri"/>
                <w:sz w:val="20"/>
                <w:szCs w:val="20"/>
              </w:rPr>
              <w:t xml:space="preserve">Residents receiving DAP based payment </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67CD4F4A"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+73,031</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4A67CA89"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-3,225,367</w:t>
            </w:r>
          </w:p>
        </w:tc>
        <w:tc>
          <w:tcPr>
            <w:tcW w:w="87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0AD1BEE4"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-1,238,307</w:t>
            </w:r>
          </w:p>
        </w:tc>
      </w:tr>
      <w:tr w:rsidR="00D44DCC" w:rsidRPr="002C1E2B" w14:paraId="4F2E98C0" w14:textId="77777777" w:rsidTr="007B2C64">
        <w:trPr>
          <w:cnfStyle w:val="000000100000" w:firstRow="0" w:lastRow="0" w:firstColumn="0" w:lastColumn="0" w:oddVBand="0" w:evenVBand="0" w:oddHBand="1" w:evenHBand="0" w:firstRowFirstColumn="0" w:firstRowLastColumn="0" w:lastRowFirstColumn="0" w:lastRowLastColumn="0"/>
        </w:trPr>
        <w:tc>
          <w:tcPr>
            <w:tcW w:w="238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0C013F40" w14:textId="77777777" w:rsidR="00D44DCC" w:rsidRPr="002C1E2B" w:rsidRDefault="00D44DCC" w:rsidP="00D44DCC">
            <w:pPr>
              <w:pStyle w:val="BodyText"/>
              <w:spacing w:before="60" w:after="60"/>
              <w:rPr>
                <w:rFonts w:ascii="Calibri" w:hAnsi="Calibri"/>
                <w:b/>
                <w:sz w:val="20"/>
                <w:szCs w:val="20"/>
              </w:rPr>
            </w:pPr>
            <w:r w:rsidRPr="002C1E2B">
              <w:rPr>
                <w:rFonts w:ascii="Calibri" w:hAnsi="Calibri"/>
                <w:b/>
                <w:sz w:val="20"/>
                <w:szCs w:val="20"/>
              </w:rPr>
              <w:t>Total cost to residents</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26E430E0" w14:textId="77777777" w:rsidR="00D44DCC" w:rsidRPr="002C1E2B" w:rsidRDefault="00D44DCC" w:rsidP="00D44DCC">
            <w:pPr>
              <w:spacing w:before="60" w:after="60"/>
              <w:jc w:val="right"/>
              <w:rPr>
                <w:rFonts w:ascii="Calibri" w:hAnsi="Calibri"/>
                <w:b/>
                <w:bCs/>
                <w:sz w:val="20"/>
                <w:szCs w:val="20"/>
              </w:rPr>
            </w:pPr>
            <w:r w:rsidRPr="002C1E2B">
              <w:rPr>
                <w:rFonts w:ascii="Calibri" w:hAnsi="Calibri"/>
                <w:b/>
                <w:bCs/>
                <w:sz w:val="20"/>
                <w:szCs w:val="20"/>
              </w:rPr>
              <w:t>+3,948,735</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1B33C4D0" w14:textId="77777777" w:rsidR="00D44DCC" w:rsidRPr="002C1E2B" w:rsidRDefault="00D44DCC" w:rsidP="00D44DCC">
            <w:pPr>
              <w:spacing w:before="60" w:after="60"/>
              <w:jc w:val="right"/>
              <w:rPr>
                <w:rFonts w:ascii="Calibri" w:hAnsi="Calibri"/>
                <w:b/>
                <w:bCs/>
                <w:sz w:val="20"/>
                <w:szCs w:val="20"/>
              </w:rPr>
            </w:pPr>
            <w:r w:rsidRPr="002C1E2B">
              <w:rPr>
                <w:rFonts w:ascii="Calibri" w:hAnsi="Calibri"/>
                <w:b/>
                <w:bCs/>
                <w:sz w:val="20"/>
                <w:szCs w:val="20"/>
              </w:rPr>
              <w:t>-2,897,787</w:t>
            </w:r>
          </w:p>
        </w:tc>
        <w:tc>
          <w:tcPr>
            <w:tcW w:w="87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2C122553" w14:textId="77777777" w:rsidR="00D44DCC" w:rsidRPr="002C1E2B" w:rsidRDefault="00D44DCC" w:rsidP="00D44DCC">
            <w:pPr>
              <w:spacing w:before="60" w:after="60"/>
              <w:jc w:val="right"/>
              <w:rPr>
                <w:rFonts w:ascii="Calibri" w:hAnsi="Calibri"/>
                <w:b/>
                <w:bCs/>
                <w:sz w:val="20"/>
                <w:szCs w:val="20"/>
              </w:rPr>
            </w:pPr>
            <w:r w:rsidRPr="002C1E2B">
              <w:rPr>
                <w:rFonts w:ascii="Calibri" w:hAnsi="Calibri"/>
                <w:b/>
                <w:bCs/>
                <w:sz w:val="20"/>
                <w:szCs w:val="20"/>
              </w:rPr>
              <w:t>+3,057,236</w:t>
            </w:r>
          </w:p>
        </w:tc>
      </w:tr>
      <w:tr w:rsidR="00D44DCC" w:rsidRPr="002C1E2B" w14:paraId="550829E9" w14:textId="77777777" w:rsidTr="00D44DCC">
        <w:trPr>
          <w:cnfStyle w:val="000000010000" w:firstRow="0" w:lastRow="0" w:firstColumn="0" w:lastColumn="0" w:oddVBand="0" w:evenVBand="0" w:oddHBand="0" w:evenHBand="1" w:firstRowFirstColumn="0" w:firstRowLastColumn="0" w:lastRowFirstColumn="0" w:lastRowLastColumn="0"/>
        </w:trPr>
        <w:tc>
          <w:tcPr>
            <w:tcW w:w="238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BE5F1" w:themeFill="accent1" w:themeFillTint="33"/>
          </w:tcPr>
          <w:p w14:paraId="49A6CF0C" w14:textId="77777777" w:rsidR="00D44DCC" w:rsidRPr="002C1E2B" w:rsidRDefault="00D44DCC" w:rsidP="00D44DCC">
            <w:pPr>
              <w:pStyle w:val="BodyText"/>
              <w:spacing w:before="60" w:after="60"/>
              <w:rPr>
                <w:rFonts w:ascii="Calibri" w:hAnsi="Calibri"/>
                <w:sz w:val="20"/>
                <w:szCs w:val="20"/>
              </w:rPr>
            </w:pPr>
            <w:r w:rsidRPr="002C1E2B">
              <w:rPr>
                <w:rFonts w:ascii="Calibri" w:hAnsi="Calibri"/>
                <w:b/>
                <w:sz w:val="20"/>
                <w:szCs w:val="20"/>
              </w:rPr>
              <w:t>Cost to retirement village operators</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BE5F1" w:themeFill="accent1" w:themeFillTint="33"/>
          </w:tcPr>
          <w:p w14:paraId="1F61DC46" w14:textId="77777777" w:rsidR="00D44DCC" w:rsidRPr="002C1E2B" w:rsidRDefault="00D44DCC" w:rsidP="00D44DCC">
            <w:pPr>
              <w:spacing w:before="60" w:after="60"/>
              <w:jc w:val="right"/>
              <w:rPr>
                <w:rFonts w:ascii="Calibri" w:hAnsi="Calibri"/>
                <w:sz w:val="20"/>
                <w:szCs w:val="20"/>
              </w:rPr>
            </w:pP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BE5F1" w:themeFill="accent1" w:themeFillTint="33"/>
          </w:tcPr>
          <w:p w14:paraId="084C25E7" w14:textId="77777777" w:rsidR="00D44DCC" w:rsidRPr="002C1E2B" w:rsidRDefault="00D44DCC" w:rsidP="00D44DCC">
            <w:pPr>
              <w:spacing w:before="60" w:after="60"/>
              <w:jc w:val="right"/>
              <w:rPr>
                <w:rFonts w:ascii="Calibri" w:hAnsi="Calibri"/>
                <w:sz w:val="20"/>
                <w:szCs w:val="20"/>
              </w:rPr>
            </w:pPr>
          </w:p>
        </w:tc>
        <w:tc>
          <w:tcPr>
            <w:tcW w:w="87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BE5F1" w:themeFill="accent1" w:themeFillTint="33"/>
          </w:tcPr>
          <w:p w14:paraId="6C56B26E" w14:textId="77777777" w:rsidR="00D44DCC" w:rsidRPr="002C1E2B" w:rsidRDefault="00D44DCC" w:rsidP="00D44DCC">
            <w:pPr>
              <w:spacing w:before="60" w:after="60"/>
              <w:jc w:val="right"/>
              <w:rPr>
                <w:rFonts w:ascii="Calibri" w:hAnsi="Calibri"/>
                <w:sz w:val="20"/>
                <w:szCs w:val="20"/>
              </w:rPr>
            </w:pPr>
          </w:p>
        </w:tc>
      </w:tr>
      <w:tr w:rsidR="00D44DCC" w:rsidRPr="002C1E2B" w14:paraId="5716EA73" w14:textId="77777777" w:rsidTr="007B2C64">
        <w:trPr>
          <w:cnfStyle w:val="000000100000" w:firstRow="0" w:lastRow="0" w:firstColumn="0" w:lastColumn="0" w:oddVBand="0" w:evenVBand="0" w:oddHBand="1" w:evenHBand="0" w:firstRowFirstColumn="0" w:firstRowLastColumn="0" w:lastRowFirstColumn="0" w:lastRowLastColumn="0"/>
        </w:trPr>
        <w:tc>
          <w:tcPr>
            <w:tcW w:w="238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353CA48A" w14:textId="77777777" w:rsidR="00D44DCC" w:rsidRPr="002C1E2B" w:rsidRDefault="00D44DCC" w:rsidP="00D44DCC">
            <w:pPr>
              <w:pStyle w:val="BodyText"/>
              <w:spacing w:before="60" w:after="60"/>
              <w:rPr>
                <w:rFonts w:ascii="Calibri" w:hAnsi="Calibri"/>
                <w:sz w:val="20"/>
                <w:szCs w:val="20"/>
              </w:rPr>
            </w:pPr>
            <w:r w:rsidRPr="002C1E2B">
              <w:rPr>
                <w:rFonts w:ascii="Calibri" w:hAnsi="Calibri"/>
                <w:sz w:val="20"/>
                <w:szCs w:val="20"/>
              </w:rPr>
              <w:t>Residents receiving six month rule</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72811440"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0</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5CF2DE73"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0</w:t>
            </w:r>
          </w:p>
        </w:tc>
        <w:tc>
          <w:tcPr>
            <w:tcW w:w="87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6C4CBDB6"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0</w:t>
            </w:r>
          </w:p>
        </w:tc>
      </w:tr>
      <w:tr w:rsidR="00D44DCC" w:rsidRPr="002C1E2B" w14:paraId="6F1CBEFF" w14:textId="77777777" w:rsidTr="007B2C64">
        <w:trPr>
          <w:cnfStyle w:val="000000010000" w:firstRow="0" w:lastRow="0" w:firstColumn="0" w:lastColumn="0" w:oddVBand="0" w:evenVBand="0" w:oddHBand="0" w:evenHBand="1" w:firstRowFirstColumn="0" w:firstRowLastColumn="0" w:lastRowFirstColumn="0" w:lastRowLastColumn="0"/>
        </w:trPr>
        <w:tc>
          <w:tcPr>
            <w:tcW w:w="238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252D16DE" w14:textId="77777777" w:rsidR="00D44DCC" w:rsidRPr="002C1E2B" w:rsidRDefault="00D44DCC" w:rsidP="00D44DCC">
            <w:pPr>
              <w:pStyle w:val="BodyText"/>
              <w:spacing w:before="60" w:after="60"/>
              <w:rPr>
                <w:rFonts w:ascii="Calibri" w:hAnsi="Calibri"/>
                <w:sz w:val="20"/>
                <w:szCs w:val="20"/>
              </w:rPr>
            </w:pPr>
            <w:r w:rsidRPr="002C1E2B">
              <w:rPr>
                <w:rFonts w:ascii="Calibri" w:hAnsi="Calibri"/>
                <w:sz w:val="20"/>
                <w:szCs w:val="20"/>
              </w:rPr>
              <w:t>Residents receiving  RAD based payment</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4DD31B5D"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-3,323,492</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36CD9B06"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-159,681</w:t>
            </w:r>
          </w:p>
        </w:tc>
        <w:tc>
          <w:tcPr>
            <w:tcW w:w="87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08C0FFA9"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-3,634,023</w:t>
            </w:r>
          </w:p>
        </w:tc>
      </w:tr>
      <w:tr w:rsidR="00D44DCC" w:rsidRPr="002C1E2B" w14:paraId="1CDCB026" w14:textId="77777777" w:rsidTr="007B2C64">
        <w:trPr>
          <w:cnfStyle w:val="000000100000" w:firstRow="0" w:lastRow="0" w:firstColumn="0" w:lastColumn="0" w:oddVBand="0" w:evenVBand="0" w:oddHBand="1" w:evenHBand="0" w:firstRowFirstColumn="0" w:firstRowLastColumn="0" w:lastRowFirstColumn="0" w:lastRowLastColumn="0"/>
        </w:trPr>
        <w:tc>
          <w:tcPr>
            <w:tcW w:w="238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3CD83D37" w14:textId="77777777" w:rsidR="00D44DCC" w:rsidRPr="002C1E2B" w:rsidRDefault="00D44DCC" w:rsidP="00D44DCC">
            <w:pPr>
              <w:pStyle w:val="BodyText"/>
              <w:spacing w:before="60" w:after="60"/>
              <w:rPr>
                <w:rFonts w:ascii="Calibri" w:hAnsi="Calibri"/>
                <w:sz w:val="20"/>
                <w:szCs w:val="20"/>
              </w:rPr>
            </w:pPr>
            <w:r w:rsidRPr="002C1E2B">
              <w:rPr>
                <w:rFonts w:ascii="Calibri" w:hAnsi="Calibri"/>
                <w:sz w:val="20"/>
                <w:szCs w:val="20"/>
              </w:rPr>
              <w:t xml:space="preserve">Residents receiving DAP based payment </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4EB13521"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-112,609</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7F501E22"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+4,952,817</w:t>
            </w:r>
          </w:p>
        </w:tc>
        <w:tc>
          <w:tcPr>
            <w:tcW w:w="87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3FA0F4D0"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+1,901,024</w:t>
            </w:r>
          </w:p>
        </w:tc>
      </w:tr>
      <w:tr w:rsidR="00D44DCC" w:rsidRPr="002C1E2B" w14:paraId="6101F2F0" w14:textId="77777777" w:rsidTr="007B2C64">
        <w:trPr>
          <w:cnfStyle w:val="000000010000" w:firstRow="0" w:lastRow="0" w:firstColumn="0" w:lastColumn="0" w:oddVBand="0" w:evenVBand="0" w:oddHBand="0" w:evenHBand="1" w:firstRowFirstColumn="0" w:firstRowLastColumn="0" w:lastRowFirstColumn="0" w:lastRowLastColumn="0"/>
        </w:trPr>
        <w:tc>
          <w:tcPr>
            <w:tcW w:w="238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595E5A73" w14:textId="77777777" w:rsidR="00D44DCC" w:rsidRPr="002C1E2B" w:rsidRDefault="00D44DCC" w:rsidP="00D44DCC">
            <w:pPr>
              <w:pStyle w:val="BodyText"/>
              <w:spacing w:before="60" w:after="60"/>
              <w:rPr>
                <w:rFonts w:ascii="Calibri" w:hAnsi="Calibri"/>
                <w:sz w:val="20"/>
                <w:szCs w:val="20"/>
              </w:rPr>
            </w:pPr>
            <w:r w:rsidRPr="002C1E2B">
              <w:rPr>
                <w:rFonts w:ascii="Calibri" w:hAnsi="Calibri"/>
                <w:b/>
                <w:sz w:val="20"/>
                <w:szCs w:val="20"/>
              </w:rPr>
              <w:t>Total cost to retirement village operators</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13C0D3E8" w14:textId="77777777" w:rsidR="00D44DCC" w:rsidRPr="002C1E2B" w:rsidRDefault="00D44DCC" w:rsidP="00D44DCC">
            <w:pPr>
              <w:spacing w:before="60" w:after="60"/>
              <w:jc w:val="right"/>
              <w:rPr>
                <w:rFonts w:ascii="Calibri" w:hAnsi="Calibri"/>
                <w:b/>
                <w:bCs/>
                <w:sz w:val="20"/>
                <w:szCs w:val="20"/>
              </w:rPr>
            </w:pPr>
            <w:r w:rsidRPr="002C1E2B">
              <w:rPr>
                <w:rFonts w:ascii="Calibri" w:hAnsi="Calibri"/>
                <w:b/>
                <w:bCs/>
                <w:sz w:val="20"/>
                <w:szCs w:val="20"/>
              </w:rPr>
              <w:t>-3,436,101</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678E34DC" w14:textId="77777777" w:rsidR="00D44DCC" w:rsidRPr="002C1E2B" w:rsidRDefault="00D44DCC" w:rsidP="00D44DCC">
            <w:pPr>
              <w:spacing w:before="60" w:after="60"/>
              <w:jc w:val="right"/>
              <w:rPr>
                <w:rFonts w:ascii="Calibri" w:hAnsi="Calibri"/>
                <w:b/>
                <w:bCs/>
                <w:sz w:val="20"/>
                <w:szCs w:val="20"/>
              </w:rPr>
            </w:pPr>
            <w:r w:rsidRPr="002C1E2B">
              <w:rPr>
                <w:rFonts w:ascii="Calibri" w:hAnsi="Calibri"/>
                <w:b/>
                <w:bCs/>
                <w:sz w:val="20"/>
                <w:szCs w:val="20"/>
              </w:rPr>
              <w:t>+4,793,136</w:t>
            </w:r>
          </w:p>
        </w:tc>
        <w:tc>
          <w:tcPr>
            <w:tcW w:w="87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558EC3FF" w14:textId="77777777" w:rsidR="00D44DCC" w:rsidRPr="002C1E2B" w:rsidRDefault="00D44DCC" w:rsidP="00D44DCC">
            <w:pPr>
              <w:spacing w:before="60" w:after="60"/>
              <w:jc w:val="right"/>
              <w:rPr>
                <w:rFonts w:ascii="Calibri" w:hAnsi="Calibri"/>
                <w:b/>
                <w:bCs/>
                <w:sz w:val="20"/>
                <w:szCs w:val="20"/>
              </w:rPr>
            </w:pPr>
            <w:r w:rsidRPr="002C1E2B">
              <w:rPr>
                <w:rFonts w:ascii="Calibri" w:hAnsi="Calibri"/>
                <w:b/>
                <w:bCs/>
                <w:sz w:val="20"/>
                <w:szCs w:val="20"/>
              </w:rPr>
              <w:t>-1,732,998</w:t>
            </w:r>
          </w:p>
        </w:tc>
      </w:tr>
      <w:tr w:rsidR="00D44DCC" w:rsidRPr="002C1E2B" w14:paraId="2626D5A3" w14:textId="77777777" w:rsidTr="007B2C64">
        <w:trPr>
          <w:cnfStyle w:val="000000100000" w:firstRow="0" w:lastRow="0" w:firstColumn="0" w:lastColumn="0" w:oddVBand="0" w:evenVBand="0" w:oddHBand="1" w:evenHBand="0" w:firstRowFirstColumn="0" w:firstRowLastColumn="0" w:lastRowFirstColumn="0" w:lastRowLastColumn="0"/>
        </w:trPr>
        <w:tc>
          <w:tcPr>
            <w:tcW w:w="238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BE5F1" w:themeFill="accent1" w:themeFillTint="33"/>
          </w:tcPr>
          <w:p w14:paraId="22D1D135" w14:textId="77777777" w:rsidR="00D44DCC" w:rsidRPr="002C1E2B" w:rsidRDefault="00D44DCC" w:rsidP="00D44DCC">
            <w:pPr>
              <w:pStyle w:val="BodyText"/>
              <w:spacing w:before="60" w:after="60"/>
              <w:rPr>
                <w:rFonts w:ascii="Calibri" w:hAnsi="Calibri"/>
                <w:b/>
                <w:sz w:val="20"/>
                <w:szCs w:val="20"/>
              </w:rPr>
            </w:pPr>
            <w:r w:rsidRPr="002C1E2B">
              <w:rPr>
                <w:rFonts w:ascii="Calibri" w:hAnsi="Calibri"/>
                <w:b/>
                <w:sz w:val="20"/>
                <w:szCs w:val="20"/>
              </w:rPr>
              <w:t>Net financial impact</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BE5F1" w:themeFill="accent1" w:themeFillTint="33"/>
            <w:vAlign w:val="bottom"/>
          </w:tcPr>
          <w:p w14:paraId="6653A6EF" w14:textId="77777777" w:rsidR="00D44DCC" w:rsidRPr="002C1E2B" w:rsidRDefault="00D44DCC" w:rsidP="00D44DCC">
            <w:pPr>
              <w:spacing w:before="60" w:after="60"/>
              <w:jc w:val="right"/>
              <w:rPr>
                <w:rFonts w:ascii="Calibri" w:hAnsi="Calibri"/>
                <w:b/>
                <w:sz w:val="20"/>
                <w:szCs w:val="20"/>
              </w:rPr>
            </w:pPr>
            <w:r w:rsidRPr="002C1E2B">
              <w:rPr>
                <w:rFonts w:ascii="Calibri" w:hAnsi="Calibri"/>
                <w:b/>
                <w:sz w:val="20"/>
                <w:szCs w:val="20"/>
              </w:rPr>
              <w:t>+512,634</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BE5F1" w:themeFill="accent1" w:themeFillTint="33"/>
            <w:vAlign w:val="bottom"/>
          </w:tcPr>
          <w:p w14:paraId="32380002" w14:textId="77777777" w:rsidR="00D44DCC" w:rsidRPr="002C1E2B" w:rsidRDefault="00D44DCC" w:rsidP="00D44DCC">
            <w:pPr>
              <w:spacing w:before="60" w:after="60"/>
              <w:jc w:val="right"/>
              <w:rPr>
                <w:rFonts w:ascii="Calibri" w:hAnsi="Calibri"/>
                <w:b/>
                <w:sz w:val="20"/>
                <w:szCs w:val="20"/>
              </w:rPr>
            </w:pPr>
            <w:r w:rsidRPr="002C1E2B">
              <w:rPr>
                <w:rFonts w:ascii="Calibri" w:hAnsi="Calibri"/>
                <w:b/>
                <w:sz w:val="20"/>
                <w:szCs w:val="20"/>
              </w:rPr>
              <w:t>+1,895,349</w:t>
            </w:r>
          </w:p>
        </w:tc>
        <w:tc>
          <w:tcPr>
            <w:tcW w:w="87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BE5F1" w:themeFill="accent1" w:themeFillTint="33"/>
            <w:vAlign w:val="bottom"/>
          </w:tcPr>
          <w:p w14:paraId="296516C2" w14:textId="77777777" w:rsidR="00D44DCC" w:rsidRPr="002C1E2B" w:rsidRDefault="00D44DCC" w:rsidP="00D44DCC">
            <w:pPr>
              <w:spacing w:before="60" w:after="60"/>
              <w:jc w:val="right"/>
              <w:rPr>
                <w:rFonts w:ascii="Calibri" w:hAnsi="Calibri"/>
                <w:b/>
                <w:sz w:val="20"/>
                <w:szCs w:val="20"/>
              </w:rPr>
            </w:pPr>
            <w:r w:rsidRPr="002C1E2B">
              <w:rPr>
                <w:rFonts w:ascii="Calibri" w:hAnsi="Calibri"/>
                <w:b/>
                <w:sz w:val="20"/>
                <w:szCs w:val="20"/>
              </w:rPr>
              <w:t>+1,324,238</w:t>
            </w:r>
          </w:p>
        </w:tc>
      </w:tr>
    </w:tbl>
    <w:p w14:paraId="3ADE9ACB" w14:textId="77777777" w:rsidR="00D44DCC" w:rsidRPr="002C1E2B" w:rsidRDefault="00D44DCC" w:rsidP="00D44DCC">
      <w:pPr>
        <w:pStyle w:val="BodyText"/>
      </w:pPr>
    </w:p>
    <w:p w14:paraId="08E529A7" w14:textId="77777777" w:rsidR="00D44DCC" w:rsidRPr="002C1E2B" w:rsidRDefault="00D44DCC" w:rsidP="00D44DCC">
      <w:pPr>
        <w:pStyle w:val="Heading3"/>
      </w:pPr>
      <w:r w:rsidRPr="002C1E2B">
        <w:t>Option 2 – DAP or RAD rule with RAD grandfathering provisions</w:t>
      </w:r>
    </w:p>
    <w:p w14:paraId="5A7B9F38" w14:textId="77777777" w:rsidR="00D44DCC" w:rsidRPr="002C1E2B" w:rsidRDefault="00D44DCC" w:rsidP="00D44DCC">
      <w:pPr>
        <w:pStyle w:val="BodyText"/>
      </w:pPr>
      <w:r w:rsidRPr="002C1E2B">
        <w:t xml:space="preserve">Under Option 2, the six month rule exemption would continue to apply. All residents will have access to a DAP-based aged care rule. A RAD rule will also be available for retirement village residents who entered villages between 1 August 2006 and </w:t>
      </w:r>
      <w:r w:rsidR="005A5A6C">
        <w:t>31 July</w:t>
      </w:r>
      <w:r w:rsidRPr="002C1E2B">
        <w:t xml:space="preserve"> 2017, but not for residents who entered before or after those dates, in all cases up to a total of 85 per cent of the estimated exit entitlement</w:t>
      </w:r>
      <w:r w:rsidRPr="002C1E2B">
        <w:rPr>
          <w:rFonts w:eastAsia="PMingLiU"/>
          <w:lang w:eastAsia="zh-MO"/>
        </w:rPr>
        <w:t xml:space="preserve"> with provision for operators paying RAD to apply to VCAT in hardship cases to pay DAPs instead</w:t>
      </w:r>
      <w:r w:rsidRPr="002C1E2B">
        <w:t xml:space="preserve">. </w:t>
      </w:r>
    </w:p>
    <w:p w14:paraId="5397FFFC" w14:textId="77777777" w:rsidR="00D44DCC" w:rsidRPr="002C1E2B" w:rsidRDefault="00D44DCC" w:rsidP="00D44DCC">
      <w:pPr>
        <w:pStyle w:val="Caption"/>
        <w:spacing w:after="120"/>
      </w:pPr>
      <w:r w:rsidRPr="002C1E2B">
        <w:lastRenderedPageBreak/>
        <w:t xml:space="preserve">Figure </w:t>
      </w:r>
      <w:r w:rsidR="00C11D17">
        <w:fldChar w:fldCharType="begin"/>
      </w:r>
      <w:r w:rsidR="00C11D17">
        <w:instrText xml:space="preserve"> STYLEREF 1 \s </w:instrText>
      </w:r>
      <w:r w:rsidR="00C11D17">
        <w:fldChar w:fldCharType="separate"/>
      </w:r>
      <w:r w:rsidR="00BE6CE4">
        <w:rPr>
          <w:noProof/>
        </w:rPr>
        <w:t>5</w:t>
      </w:r>
      <w:r w:rsidR="00C11D17">
        <w:fldChar w:fldCharType="end"/>
      </w:r>
      <w:r w:rsidR="00C11D17">
        <w:t>.</w:t>
      </w:r>
      <w:r w:rsidR="00C11D17">
        <w:fldChar w:fldCharType="begin"/>
      </w:r>
      <w:r w:rsidR="00C11D17">
        <w:instrText xml:space="preserve"> SEQ Figure \* ARABIC \s 1 </w:instrText>
      </w:r>
      <w:r w:rsidR="00C11D17">
        <w:fldChar w:fldCharType="separate"/>
      </w:r>
      <w:r w:rsidR="00BE6CE4">
        <w:rPr>
          <w:noProof/>
        </w:rPr>
        <w:t>2</w:t>
      </w:r>
      <w:r w:rsidR="00C11D17">
        <w:fldChar w:fldCharType="end"/>
      </w:r>
      <w:r w:rsidRPr="002C1E2B">
        <w:t xml:space="preserve"> – Option 2: Number of residents eligible for aged care rule</w:t>
      </w:r>
    </w:p>
    <w:p w14:paraId="09443BD2" w14:textId="77777777" w:rsidR="00D44DCC" w:rsidRPr="002C1E2B" w:rsidRDefault="00D44DCC" w:rsidP="00D44DCC">
      <w:pPr>
        <w:pStyle w:val="BodyText"/>
        <w:rPr>
          <w:highlight w:val="yellow"/>
        </w:rPr>
      </w:pPr>
      <w:r w:rsidRPr="002C1E2B">
        <w:rPr>
          <w:noProof/>
          <w:lang w:eastAsia="en-AU"/>
        </w:rPr>
        <w:drawing>
          <wp:inline distT="0" distB="0" distL="0" distR="0" wp14:anchorId="21D8F5E0" wp14:editId="1B5D4973">
            <wp:extent cx="5731200" cy="30836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731200" cy="3083670"/>
                    </a:xfrm>
                    <a:prstGeom prst="rect">
                      <a:avLst/>
                    </a:prstGeom>
                    <a:noFill/>
                    <a:ln>
                      <a:noFill/>
                    </a:ln>
                  </pic:spPr>
                </pic:pic>
              </a:graphicData>
            </a:graphic>
          </wp:inline>
        </w:drawing>
      </w:r>
    </w:p>
    <w:p w14:paraId="19B78F87" w14:textId="77777777" w:rsidR="00D44DCC" w:rsidRPr="002C1E2B" w:rsidRDefault="00D44DCC" w:rsidP="00D44DCC">
      <w:pPr>
        <w:pStyle w:val="BodyText"/>
      </w:pPr>
      <w:r w:rsidRPr="002C1E2B">
        <w:t xml:space="preserve">The table below sets out the financial costs to retirement village residents and operators associated with this option. </w:t>
      </w:r>
      <w:r w:rsidR="00554ADE">
        <w:t>Under this option,</w:t>
      </w:r>
      <w:r w:rsidRPr="002C1E2B">
        <w:t xml:space="preserve"> fewer residents will be eligible for a RAD rule</w:t>
      </w:r>
      <w:r w:rsidR="00554ADE">
        <w:t xml:space="preserve"> over time</w:t>
      </w:r>
      <w:r w:rsidRPr="002C1E2B">
        <w:t>, with more using a DAP rule.</w:t>
      </w:r>
    </w:p>
    <w:p w14:paraId="3209F646" w14:textId="77777777" w:rsidR="00D44DCC" w:rsidRPr="002C1E2B" w:rsidRDefault="00D44DCC" w:rsidP="00D44DCC">
      <w:pPr>
        <w:pStyle w:val="Caption"/>
        <w:spacing w:after="120"/>
      </w:pPr>
      <w:r w:rsidRPr="002C1E2B">
        <w:t xml:space="preserve">Table </w:t>
      </w:r>
      <w:r w:rsidRPr="002C1E2B">
        <w:fldChar w:fldCharType="begin"/>
      </w:r>
      <w:r w:rsidRPr="002C1E2B">
        <w:instrText xml:space="preserve"> STYLEREF 1 \s </w:instrText>
      </w:r>
      <w:r w:rsidRPr="002C1E2B">
        <w:fldChar w:fldCharType="separate"/>
      </w:r>
      <w:r w:rsidR="00BE6CE4">
        <w:rPr>
          <w:noProof/>
        </w:rPr>
        <w:t>5</w:t>
      </w:r>
      <w:r w:rsidRPr="002C1E2B">
        <w:fldChar w:fldCharType="end"/>
      </w:r>
      <w:r w:rsidRPr="002C1E2B">
        <w:t>.</w:t>
      </w:r>
      <w:r w:rsidRPr="002C1E2B">
        <w:fldChar w:fldCharType="begin"/>
      </w:r>
      <w:r w:rsidRPr="002C1E2B">
        <w:instrText xml:space="preserve"> SEQ Table \* ARABIC \s 1 </w:instrText>
      </w:r>
      <w:r w:rsidRPr="002C1E2B">
        <w:fldChar w:fldCharType="separate"/>
      </w:r>
      <w:r w:rsidR="00BE6CE4">
        <w:rPr>
          <w:noProof/>
        </w:rPr>
        <w:t>5</w:t>
      </w:r>
      <w:r w:rsidRPr="002C1E2B">
        <w:fldChar w:fldCharType="end"/>
      </w:r>
      <w:r w:rsidRPr="002C1E2B">
        <w:t xml:space="preserve"> - Option 2: Financial impacts on residents and villages – per resident</w:t>
      </w:r>
    </w:p>
    <w:tbl>
      <w:tblPr>
        <w:tblStyle w:val="OW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9"/>
        <w:gridCol w:w="1904"/>
        <w:gridCol w:w="1904"/>
      </w:tblGrid>
      <w:tr w:rsidR="00D44DCC" w:rsidRPr="002C1E2B" w14:paraId="0B4AF87F" w14:textId="77777777" w:rsidTr="00D44DCC">
        <w:trPr>
          <w:cnfStyle w:val="100000000000" w:firstRow="1" w:lastRow="0" w:firstColumn="0" w:lastColumn="0" w:oddVBand="0" w:evenVBand="0" w:oddHBand="0" w:evenHBand="0" w:firstRowFirstColumn="0" w:firstRowLastColumn="0" w:lastRowFirstColumn="0" w:lastRowLastColumn="0"/>
          <w:tblHeader/>
        </w:trPr>
        <w:tc>
          <w:tcPr>
            <w:tcW w:w="2888"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F497D" w:themeFill="text2"/>
          </w:tcPr>
          <w:p w14:paraId="4339B92A" w14:textId="77777777" w:rsidR="00D44DCC" w:rsidRPr="002C1E2B" w:rsidRDefault="00D44DCC" w:rsidP="00D44DCC">
            <w:pPr>
              <w:pStyle w:val="BodyText"/>
              <w:spacing w:before="60" w:after="60"/>
              <w:rPr>
                <w:rFonts w:ascii="Calibri" w:hAnsi="Calibri"/>
                <w:b/>
                <w:color w:val="FFFFFF" w:themeColor="background1"/>
                <w:sz w:val="20"/>
                <w:szCs w:val="20"/>
              </w:rPr>
            </w:pPr>
            <w:r w:rsidRPr="002C1E2B">
              <w:rPr>
                <w:rFonts w:ascii="Calibri" w:hAnsi="Calibri"/>
                <w:b/>
                <w:color w:val="FFFFFF" w:themeColor="background1"/>
                <w:sz w:val="20"/>
                <w:szCs w:val="20"/>
              </w:rPr>
              <w:t>Option 2 impacts - per resident</w:t>
            </w: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F497D" w:themeFill="text2"/>
          </w:tcPr>
          <w:p w14:paraId="18816304" w14:textId="77777777" w:rsidR="00D44DCC" w:rsidRPr="002C1E2B" w:rsidRDefault="00D44DCC" w:rsidP="00D44DCC">
            <w:pPr>
              <w:pStyle w:val="BodyText"/>
              <w:spacing w:before="60" w:after="60"/>
              <w:jc w:val="center"/>
              <w:rPr>
                <w:rFonts w:ascii="Calibri" w:hAnsi="Calibri"/>
                <w:b/>
                <w:color w:val="FFFFFF" w:themeColor="background1"/>
                <w:sz w:val="20"/>
                <w:szCs w:val="20"/>
              </w:rPr>
            </w:pPr>
            <w:r w:rsidRPr="002C1E2B">
              <w:rPr>
                <w:rFonts w:ascii="Calibri" w:hAnsi="Calibri"/>
                <w:b/>
                <w:color w:val="FFFFFF" w:themeColor="background1"/>
                <w:sz w:val="20"/>
                <w:szCs w:val="20"/>
              </w:rPr>
              <w:t>Resident with RAD</w:t>
            </w: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F497D" w:themeFill="text2"/>
          </w:tcPr>
          <w:p w14:paraId="36C0535D" w14:textId="77777777" w:rsidR="00D44DCC" w:rsidRPr="002C1E2B" w:rsidRDefault="00D44DCC" w:rsidP="00D44DCC">
            <w:pPr>
              <w:pStyle w:val="BodyText"/>
              <w:spacing w:before="60" w:after="60"/>
              <w:jc w:val="center"/>
              <w:rPr>
                <w:rFonts w:ascii="Calibri" w:hAnsi="Calibri"/>
                <w:b/>
                <w:color w:val="FFFFFF" w:themeColor="background1"/>
                <w:sz w:val="20"/>
                <w:szCs w:val="20"/>
              </w:rPr>
            </w:pPr>
            <w:r w:rsidRPr="002C1E2B">
              <w:rPr>
                <w:rFonts w:ascii="Calibri" w:hAnsi="Calibri"/>
                <w:b/>
                <w:color w:val="FFFFFF" w:themeColor="background1"/>
                <w:sz w:val="20"/>
                <w:szCs w:val="20"/>
              </w:rPr>
              <w:t>Resident with DAP</w:t>
            </w:r>
          </w:p>
        </w:tc>
      </w:tr>
      <w:tr w:rsidR="00D44DCC" w:rsidRPr="002C1E2B" w14:paraId="1B4B7712" w14:textId="77777777" w:rsidTr="00D44DCC">
        <w:trPr>
          <w:cnfStyle w:val="000000100000" w:firstRow="0" w:lastRow="0" w:firstColumn="0" w:lastColumn="0" w:oddVBand="0" w:evenVBand="0" w:oddHBand="1" w:evenHBand="0" w:firstRowFirstColumn="0" w:firstRowLastColumn="0" w:lastRowFirstColumn="0" w:lastRowLastColumn="0"/>
        </w:trPr>
        <w:tc>
          <w:tcPr>
            <w:tcW w:w="2888"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562BCE37" w14:textId="77777777" w:rsidR="00D44DCC" w:rsidRPr="002C1E2B" w:rsidRDefault="00D44DCC" w:rsidP="00D44DCC">
            <w:pPr>
              <w:pStyle w:val="BodyText"/>
              <w:spacing w:before="60" w:after="60"/>
              <w:rPr>
                <w:rFonts w:ascii="Calibri" w:hAnsi="Calibri"/>
                <w:sz w:val="20"/>
                <w:szCs w:val="20"/>
              </w:rPr>
            </w:pPr>
            <w:r w:rsidRPr="002C1E2B">
              <w:rPr>
                <w:rFonts w:ascii="Calibri" w:hAnsi="Calibri"/>
                <w:sz w:val="20"/>
                <w:szCs w:val="20"/>
              </w:rPr>
              <w:t>Residents with RAD/DAP</w:t>
            </w: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69930904"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30%</w:t>
            </w: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48CDD404"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70%</w:t>
            </w:r>
          </w:p>
        </w:tc>
      </w:tr>
      <w:tr w:rsidR="00D44DCC" w:rsidRPr="002C1E2B" w14:paraId="48ED59D2" w14:textId="77777777" w:rsidTr="00D44DCC">
        <w:trPr>
          <w:cnfStyle w:val="000000010000" w:firstRow="0" w:lastRow="0" w:firstColumn="0" w:lastColumn="0" w:oddVBand="0" w:evenVBand="0" w:oddHBand="0" w:evenHBand="1" w:firstRowFirstColumn="0" w:firstRowLastColumn="0" w:lastRowFirstColumn="0" w:lastRowLastColumn="0"/>
        </w:trPr>
        <w:tc>
          <w:tcPr>
            <w:tcW w:w="2888"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BE5F1" w:themeFill="accent1" w:themeFillTint="33"/>
          </w:tcPr>
          <w:p w14:paraId="3923AA4F" w14:textId="77777777" w:rsidR="00D44DCC" w:rsidRPr="002C1E2B" w:rsidRDefault="00D44DCC" w:rsidP="00D44DCC">
            <w:pPr>
              <w:pStyle w:val="BodyText"/>
              <w:spacing w:before="60" w:after="60"/>
              <w:rPr>
                <w:rFonts w:ascii="Calibri" w:hAnsi="Calibri"/>
                <w:b/>
                <w:sz w:val="20"/>
                <w:szCs w:val="20"/>
              </w:rPr>
            </w:pPr>
            <w:r w:rsidRPr="002C1E2B">
              <w:rPr>
                <w:rFonts w:ascii="Calibri" w:hAnsi="Calibri"/>
                <w:b/>
                <w:sz w:val="20"/>
                <w:szCs w:val="20"/>
              </w:rPr>
              <w:t xml:space="preserve">Resident impacts </w:t>
            </w: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BE5F1" w:themeFill="accent1" w:themeFillTint="33"/>
          </w:tcPr>
          <w:p w14:paraId="28495817" w14:textId="77777777" w:rsidR="00D44DCC" w:rsidRPr="002C1E2B" w:rsidRDefault="00D44DCC" w:rsidP="00D44DCC">
            <w:pPr>
              <w:spacing w:before="60" w:after="60"/>
              <w:jc w:val="right"/>
              <w:rPr>
                <w:rFonts w:ascii="Calibri" w:hAnsi="Calibri"/>
                <w:sz w:val="20"/>
                <w:szCs w:val="20"/>
              </w:rPr>
            </w:pP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BE5F1" w:themeFill="accent1" w:themeFillTint="33"/>
          </w:tcPr>
          <w:p w14:paraId="20C53775" w14:textId="77777777" w:rsidR="00D44DCC" w:rsidRPr="002C1E2B" w:rsidRDefault="00D44DCC" w:rsidP="00D44DCC">
            <w:pPr>
              <w:spacing w:before="60" w:after="60"/>
              <w:jc w:val="right"/>
              <w:rPr>
                <w:rFonts w:ascii="Calibri" w:hAnsi="Calibri"/>
                <w:sz w:val="20"/>
                <w:szCs w:val="20"/>
              </w:rPr>
            </w:pPr>
          </w:p>
        </w:tc>
      </w:tr>
      <w:tr w:rsidR="00D44DCC" w:rsidRPr="002C1E2B" w14:paraId="0A246147" w14:textId="77777777" w:rsidTr="00D44DCC">
        <w:trPr>
          <w:cnfStyle w:val="000000100000" w:firstRow="0" w:lastRow="0" w:firstColumn="0" w:lastColumn="0" w:oddVBand="0" w:evenVBand="0" w:oddHBand="1" w:evenHBand="0" w:firstRowFirstColumn="0" w:firstRowLastColumn="0" w:lastRowFirstColumn="0" w:lastRowLastColumn="0"/>
        </w:trPr>
        <w:tc>
          <w:tcPr>
            <w:tcW w:w="2888"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49BB0B8" w14:textId="77777777" w:rsidR="00D44DCC" w:rsidRPr="002C1E2B" w:rsidRDefault="00D44DCC" w:rsidP="00D44DCC">
            <w:pPr>
              <w:pStyle w:val="BodyText"/>
              <w:spacing w:before="60" w:after="60"/>
              <w:rPr>
                <w:rFonts w:ascii="Calibri" w:hAnsi="Calibri"/>
                <w:sz w:val="20"/>
                <w:szCs w:val="20"/>
              </w:rPr>
            </w:pPr>
            <w:r w:rsidRPr="002C1E2B">
              <w:rPr>
                <w:rFonts w:ascii="Calibri" w:hAnsi="Calibri"/>
                <w:sz w:val="20"/>
                <w:szCs w:val="20"/>
              </w:rPr>
              <w:t>Aged care costs</w:t>
            </w: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3D75E1B"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-814</w:t>
            </w: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84214CA"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0</w:t>
            </w:r>
          </w:p>
        </w:tc>
      </w:tr>
      <w:tr w:rsidR="00D44DCC" w:rsidRPr="002C1E2B" w14:paraId="3B3F5FA4" w14:textId="77777777" w:rsidTr="00D44DCC">
        <w:trPr>
          <w:cnfStyle w:val="000000010000" w:firstRow="0" w:lastRow="0" w:firstColumn="0" w:lastColumn="0" w:oddVBand="0" w:evenVBand="0" w:oddHBand="0" w:evenHBand="1" w:firstRowFirstColumn="0" w:firstRowLastColumn="0" w:lastRowFirstColumn="0" w:lastRowLastColumn="0"/>
        </w:trPr>
        <w:tc>
          <w:tcPr>
            <w:tcW w:w="2888"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0B496BE" w14:textId="77777777" w:rsidR="00D44DCC" w:rsidRPr="002C1E2B" w:rsidRDefault="00D44DCC" w:rsidP="00D44DCC">
            <w:pPr>
              <w:pStyle w:val="BodyText"/>
              <w:spacing w:before="60" w:after="60"/>
              <w:rPr>
                <w:rFonts w:ascii="Calibri" w:hAnsi="Calibri"/>
                <w:sz w:val="20"/>
                <w:szCs w:val="20"/>
              </w:rPr>
            </w:pPr>
            <w:r w:rsidRPr="002C1E2B">
              <w:rPr>
                <w:rFonts w:ascii="Calibri" w:hAnsi="Calibri"/>
                <w:sz w:val="20"/>
                <w:szCs w:val="20"/>
              </w:rPr>
              <w:t>Interest costs</w:t>
            </w: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B07C879"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-10</w:t>
            </w: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4A28E72"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0</w:t>
            </w:r>
          </w:p>
        </w:tc>
      </w:tr>
      <w:tr w:rsidR="00D44DCC" w:rsidRPr="002C1E2B" w14:paraId="6F06EC87" w14:textId="77777777" w:rsidTr="00D44DCC">
        <w:trPr>
          <w:cnfStyle w:val="000000100000" w:firstRow="0" w:lastRow="0" w:firstColumn="0" w:lastColumn="0" w:oddVBand="0" w:evenVBand="0" w:oddHBand="1" w:evenHBand="0" w:firstRowFirstColumn="0" w:firstRowLastColumn="0" w:lastRowFirstColumn="0" w:lastRowLastColumn="0"/>
        </w:trPr>
        <w:tc>
          <w:tcPr>
            <w:tcW w:w="2888"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944E136" w14:textId="77777777" w:rsidR="00D44DCC" w:rsidRPr="002C1E2B" w:rsidRDefault="00D44DCC" w:rsidP="00D44DCC">
            <w:pPr>
              <w:pStyle w:val="BodyText"/>
              <w:spacing w:before="60" w:after="60"/>
              <w:rPr>
                <w:rFonts w:ascii="Calibri" w:hAnsi="Calibri"/>
                <w:sz w:val="20"/>
                <w:szCs w:val="20"/>
              </w:rPr>
            </w:pPr>
            <w:r w:rsidRPr="002C1E2B">
              <w:rPr>
                <w:rFonts w:ascii="Calibri" w:hAnsi="Calibri"/>
                <w:sz w:val="20"/>
                <w:szCs w:val="20"/>
              </w:rPr>
              <w:t>Deductions from entitlement</w:t>
            </w: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28084CC"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-7,451</w:t>
            </w: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7735816"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-13,038</w:t>
            </w:r>
          </w:p>
        </w:tc>
      </w:tr>
      <w:tr w:rsidR="00D44DCC" w:rsidRPr="002C1E2B" w14:paraId="35DDABAA" w14:textId="77777777" w:rsidTr="00D44DCC">
        <w:trPr>
          <w:cnfStyle w:val="000000010000" w:firstRow="0" w:lastRow="0" w:firstColumn="0" w:lastColumn="0" w:oddVBand="0" w:evenVBand="0" w:oddHBand="0" w:evenHBand="1" w:firstRowFirstColumn="0" w:firstRowLastColumn="0" w:lastRowFirstColumn="0" w:lastRowLastColumn="0"/>
        </w:trPr>
        <w:tc>
          <w:tcPr>
            <w:tcW w:w="2888"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2F2" w:themeFill="background1" w:themeFillShade="F2"/>
          </w:tcPr>
          <w:p w14:paraId="77ACDB25" w14:textId="77777777" w:rsidR="00D44DCC" w:rsidRPr="002C1E2B" w:rsidRDefault="00D44DCC" w:rsidP="00D44DCC">
            <w:pPr>
              <w:pStyle w:val="BodyText"/>
              <w:spacing w:before="60" w:after="60"/>
              <w:rPr>
                <w:rFonts w:ascii="Calibri" w:hAnsi="Calibri"/>
                <w:b/>
                <w:sz w:val="20"/>
                <w:szCs w:val="20"/>
              </w:rPr>
            </w:pPr>
            <w:r w:rsidRPr="002C1E2B">
              <w:rPr>
                <w:rFonts w:ascii="Calibri" w:hAnsi="Calibri"/>
                <w:b/>
                <w:sz w:val="20"/>
                <w:szCs w:val="20"/>
              </w:rPr>
              <w:t>Total costs</w:t>
            </w: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2F2" w:themeFill="background1" w:themeFillShade="F2"/>
          </w:tcPr>
          <w:p w14:paraId="3D600E0E" w14:textId="77777777" w:rsidR="00D44DCC" w:rsidRPr="002C1E2B" w:rsidRDefault="00D44DCC" w:rsidP="00D44DCC">
            <w:pPr>
              <w:spacing w:before="60" w:after="60"/>
              <w:jc w:val="right"/>
              <w:rPr>
                <w:rFonts w:ascii="Calibri" w:hAnsi="Calibri"/>
                <w:b/>
                <w:sz w:val="20"/>
                <w:szCs w:val="20"/>
              </w:rPr>
            </w:pPr>
            <w:r w:rsidRPr="002C1E2B">
              <w:rPr>
                <w:rFonts w:ascii="Calibri" w:hAnsi="Calibri"/>
                <w:b/>
                <w:sz w:val="20"/>
                <w:szCs w:val="20"/>
              </w:rPr>
              <w:t>-8,275</w:t>
            </w: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2F2" w:themeFill="background1" w:themeFillShade="F2"/>
          </w:tcPr>
          <w:p w14:paraId="2908136B" w14:textId="77777777" w:rsidR="00D44DCC" w:rsidRPr="002C1E2B" w:rsidRDefault="00D44DCC" w:rsidP="00D44DCC">
            <w:pPr>
              <w:spacing w:before="60" w:after="60"/>
              <w:jc w:val="right"/>
              <w:rPr>
                <w:rFonts w:ascii="Calibri" w:hAnsi="Calibri"/>
                <w:b/>
                <w:sz w:val="20"/>
                <w:szCs w:val="20"/>
              </w:rPr>
            </w:pPr>
            <w:r w:rsidRPr="002C1E2B">
              <w:rPr>
                <w:rFonts w:ascii="Calibri" w:hAnsi="Calibri"/>
                <w:b/>
                <w:sz w:val="20"/>
                <w:szCs w:val="20"/>
              </w:rPr>
              <w:t>-13,038</w:t>
            </w:r>
          </w:p>
        </w:tc>
      </w:tr>
      <w:tr w:rsidR="00D44DCC" w:rsidRPr="002C1E2B" w14:paraId="165CDB52" w14:textId="77777777" w:rsidTr="00D44DCC">
        <w:trPr>
          <w:cnfStyle w:val="000000100000" w:firstRow="0" w:lastRow="0" w:firstColumn="0" w:lastColumn="0" w:oddVBand="0" w:evenVBand="0" w:oddHBand="1" w:evenHBand="0" w:firstRowFirstColumn="0" w:firstRowLastColumn="0" w:lastRowFirstColumn="0" w:lastRowLastColumn="0"/>
        </w:trPr>
        <w:tc>
          <w:tcPr>
            <w:tcW w:w="2888"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BE5F1" w:themeFill="accent1" w:themeFillTint="33"/>
          </w:tcPr>
          <w:p w14:paraId="140F70A7" w14:textId="77777777" w:rsidR="00D44DCC" w:rsidRPr="002C1E2B" w:rsidRDefault="00D44DCC" w:rsidP="00D44DCC">
            <w:pPr>
              <w:pStyle w:val="BodyText"/>
              <w:spacing w:before="60" w:after="60"/>
              <w:rPr>
                <w:rFonts w:ascii="Calibri" w:hAnsi="Calibri"/>
                <w:b/>
                <w:sz w:val="20"/>
                <w:szCs w:val="20"/>
              </w:rPr>
            </w:pPr>
            <w:r w:rsidRPr="002C1E2B">
              <w:rPr>
                <w:rFonts w:ascii="Calibri" w:hAnsi="Calibri"/>
                <w:b/>
                <w:sz w:val="20"/>
                <w:szCs w:val="20"/>
              </w:rPr>
              <w:t xml:space="preserve">Retirement village costs </w:t>
            </w: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BE5F1" w:themeFill="accent1" w:themeFillTint="33"/>
          </w:tcPr>
          <w:p w14:paraId="2F616C9E" w14:textId="77777777" w:rsidR="00D44DCC" w:rsidRPr="002C1E2B" w:rsidRDefault="00D44DCC" w:rsidP="00D44DCC">
            <w:pPr>
              <w:spacing w:before="60" w:after="60"/>
              <w:jc w:val="right"/>
              <w:rPr>
                <w:rFonts w:ascii="Calibri" w:hAnsi="Calibri"/>
                <w:b/>
                <w:sz w:val="20"/>
                <w:szCs w:val="20"/>
              </w:rPr>
            </w:pP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BE5F1" w:themeFill="accent1" w:themeFillTint="33"/>
          </w:tcPr>
          <w:p w14:paraId="4790BAD8" w14:textId="77777777" w:rsidR="00D44DCC" w:rsidRPr="002C1E2B" w:rsidRDefault="00D44DCC" w:rsidP="00D44DCC">
            <w:pPr>
              <w:spacing w:before="60" w:after="60"/>
              <w:jc w:val="right"/>
              <w:rPr>
                <w:rFonts w:ascii="Calibri" w:hAnsi="Calibri"/>
                <w:b/>
                <w:sz w:val="20"/>
                <w:szCs w:val="20"/>
              </w:rPr>
            </w:pPr>
          </w:p>
        </w:tc>
      </w:tr>
      <w:tr w:rsidR="00D44DCC" w:rsidRPr="002C1E2B" w14:paraId="717A3AF4" w14:textId="77777777" w:rsidTr="00D44DCC">
        <w:trPr>
          <w:cnfStyle w:val="000000010000" w:firstRow="0" w:lastRow="0" w:firstColumn="0" w:lastColumn="0" w:oddVBand="0" w:evenVBand="0" w:oddHBand="0" w:evenHBand="1" w:firstRowFirstColumn="0" w:firstRowLastColumn="0" w:lastRowFirstColumn="0" w:lastRowLastColumn="0"/>
        </w:trPr>
        <w:tc>
          <w:tcPr>
            <w:tcW w:w="2888"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3568D05" w14:textId="77777777" w:rsidR="00D44DCC" w:rsidRPr="002C1E2B" w:rsidRDefault="00D44DCC" w:rsidP="00D44DCC">
            <w:pPr>
              <w:pStyle w:val="BodyText"/>
              <w:spacing w:before="60" w:after="60"/>
              <w:rPr>
                <w:rFonts w:ascii="Calibri" w:hAnsi="Calibri"/>
                <w:sz w:val="20"/>
                <w:szCs w:val="20"/>
              </w:rPr>
            </w:pPr>
            <w:r w:rsidRPr="002C1E2B">
              <w:rPr>
                <w:rFonts w:ascii="Calibri" w:hAnsi="Calibri"/>
                <w:sz w:val="20"/>
                <w:szCs w:val="20"/>
              </w:rPr>
              <w:t>Aged care costs</w:t>
            </w: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A6C9D15"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-7,451</w:t>
            </w: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3D3052C"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-13,038</w:t>
            </w:r>
          </w:p>
        </w:tc>
      </w:tr>
      <w:tr w:rsidR="00D44DCC" w:rsidRPr="002C1E2B" w14:paraId="3838B60D" w14:textId="77777777" w:rsidTr="00D44DCC">
        <w:trPr>
          <w:cnfStyle w:val="000000100000" w:firstRow="0" w:lastRow="0" w:firstColumn="0" w:lastColumn="0" w:oddVBand="0" w:evenVBand="0" w:oddHBand="1" w:evenHBand="0" w:firstRowFirstColumn="0" w:firstRowLastColumn="0" w:lastRowFirstColumn="0" w:lastRowLastColumn="0"/>
        </w:trPr>
        <w:tc>
          <w:tcPr>
            <w:tcW w:w="2888"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93497E6" w14:textId="77777777" w:rsidR="00D44DCC" w:rsidRPr="002C1E2B" w:rsidRDefault="00D44DCC" w:rsidP="00D44DCC">
            <w:pPr>
              <w:pStyle w:val="BodyText"/>
              <w:spacing w:before="60" w:after="60"/>
              <w:rPr>
                <w:rFonts w:ascii="Calibri" w:hAnsi="Calibri"/>
                <w:sz w:val="20"/>
                <w:szCs w:val="20"/>
              </w:rPr>
            </w:pPr>
            <w:r w:rsidRPr="002C1E2B">
              <w:rPr>
                <w:rFonts w:ascii="Calibri" w:hAnsi="Calibri"/>
                <w:sz w:val="20"/>
                <w:szCs w:val="20"/>
              </w:rPr>
              <w:t>Interest costs on exit entitlement</w:t>
            </w: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1B45D18"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-4,254</w:t>
            </w: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F645C61"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-312</w:t>
            </w:r>
          </w:p>
        </w:tc>
      </w:tr>
      <w:tr w:rsidR="00D44DCC" w:rsidRPr="002C1E2B" w14:paraId="08B04CBB" w14:textId="77777777" w:rsidTr="00D44DCC">
        <w:trPr>
          <w:cnfStyle w:val="000000010000" w:firstRow="0" w:lastRow="0" w:firstColumn="0" w:lastColumn="0" w:oddVBand="0" w:evenVBand="0" w:oddHBand="0" w:evenHBand="1" w:firstRowFirstColumn="0" w:firstRowLastColumn="0" w:lastRowFirstColumn="0" w:lastRowLastColumn="0"/>
        </w:trPr>
        <w:tc>
          <w:tcPr>
            <w:tcW w:w="2888"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2ACEF21" w14:textId="77777777" w:rsidR="00D44DCC" w:rsidRPr="002C1E2B" w:rsidRDefault="00D44DCC" w:rsidP="00D44DCC">
            <w:pPr>
              <w:pStyle w:val="BodyText"/>
              <w:spacing w:before="60" w:after="60"/>
              <w:rPr>
                <w:rFonts w:ascii="Calibri" w:hAnsi="Calibri"/>
                <w:sz w:val="20"/>
                <w:szCs w:val="20"/>
              </w:rPr>
            </w:pPr>
            <w:r w:rsidRPr="002C1E2B">
              <w:rPr>
                <w:rFonts w:ascii="Calibri" w:hAnsi="Calibri"/>
                <w:sz w:val="20"/>
                <w:szCs w:val="20"/>
              </w:rPr>
              <w:t xml:space="preserve">Final exit entitlement </w:t>
            </w: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F5EC018"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258,700</w:t>
            </w: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0FC4358" w14:textId="77777777" w:rsidR="00D44DCC" w:rsidRPr="002C1E2B" w:rsidRDefault="00D44DCC" w:rsidP="00D44DCC">
            <w:pPr>
              <w:spacing w:before="60" w:after="60"/>
              <w:jc w:val="right"/>
              <w:rPr>
                <w:rFonts w:ascii="Calibri" w:hAnsi="Calibri"/>
                <w:b/>
                <w:sz w:val="20"/>
                <w:szCs w:val="20"/>
              </w:rPr>
            </w:pPr>
            <w:r w:rsidRPr="002C1E2B">
              <w:rPr>
                <w:rFonts w:ascii="Calibri" w:hAnsi="Calibri"/>
                <w:sz w:val="20"/>
                <w:szCs w:val="20"/>
              </w:rPr>
              <w:t>258,700</w:t>
            </w:r>
          </w:p>
        </w:tc>
      </w:tr>
      <w:tr w:rsidR="00D44DCC" w:rsidRPr="002C1E2B" w14:paraId="284809AD" w14:textId="77777777" w:rsidTr="00D44DCC">
        <w:trPr>
          <w:cnfStyle w:val="000000100000" w:firstRow="0" w:lastRow="0" w:firstColumn="0" w:lastColumn="0" w:oddVBand="0" w:evenVBand="0" w:oddHBand="1" w:evenHBand="0" w:firstRowFirstColumn="0" w:firstRowLastColumn="0" w:lastRowFirstColumn="0" w:lastRowLastColumn="0"/>
        </w:trPr>
        <w:tc>
          <w:tcPr>
            <w:tcW w:w="2888"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E7C5987" w14:textId="77777777" w:rsidR="00D44DCC" w:rsidRPr="002C1E2B" w:rsidRDefault="00D44DCC" w:rsidP="00D44DCC">
            <w:pPr>
              <w:pStyle w:val="BodyText"/>
              <w:spacing w:before="60" w:after="60"/>
              <w:rPr>
                <w:rFonts w:ascii="Calibri" w:hAnsi="Calibri"/>
                <w:sz w:val="20"/>
                <w:szCs w:val="20"/>
              </w:rPr>
            </w:pPr>
            <w:r w:rsidRPr="002C1E2B">
              <w:rPr>
                <w:rFonts w:ascii="Calibri" w:hAnsi="Calibri"/>
                <w:sz w:val="20"/>
                <w:szCs w:val="20"/>
              </w:rPr>
              <w:t>Exit entitlement paid to resident</w:t>
            </w: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38387B4"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-251,249</w:t>
            </w: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7F9E160"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-245,662</w:t>
            </w:r>
          </w:p>
        </w:tc>
      </w:tr>
      <w:tr w:rsidR="00D44DCC" w:rsidRPr="002C1E2B" w14:paraId="36C2FFB2" w14:textId="77777777" w:rsidTr="00D44DCC">
        <w:trPr>
          <w:cnfStyle w:val="000000010000" w:firstRow="0" w:lastRow="0" w:firstColumn="0" w:lastColumn="0" w:oddVBand="0" w:evenVBand="0" w:oddHBand="0" w:evenHBand="1" w:firstRowFirstColumn="0" w:firstRowLastColumn="0" w:lastRowFirstColumn="0" w:lastRowLastColumn="0"/>
        </w:trPr>
        <w:tc>
          <w:tcPr>
            <w:tcW w:w="2888"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2F2" w:themeFill="background1" w:themeFillShade="F2"/>
          </w:tcPr>
          <w:p w14:paraId="6EA7F79A" w14:textId="77777777" w:rsidR="00D44DCC" w:rsidRPr="002C1E2B" w:rsidRDefault="00D44DCC" w:rsidP="00D44DCC">
            <w:pPr>
              <w:pStyle w:val="BodyText"/>
              <w:spacing w:before="60" w:after="60"/>
              <w:rPr>
                <w:rFonts w:ascii="Calibri" w:hAnsi="Calibri"/>
                <w:b/>
                <w:sz w:val="20"/>
                <w:szCs w:val="20"/>
              </w:rPr>
            </w:pPr>
            <w:r w:rsidRPr="002C1E2B">
              <w:rPr>
                <w:rFonts w:ascii="Calibri" w:hAnsi="Calibri"/>
                <w:b/>
                <w:sz w:val="20"/>
                <w:szCs w:val="20"/>
              </w:rPr>
              <w:t>Total costs</w:t>
            </w: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2F2" w:themeFill="background1" w:themeFillShade="F2"/>
          </w:tcPr>
          <w:p w14:paraId="3CD2D345" w14:textId="77777777" w:rsidR="00D44DCC" w:rsidRPr="002C1E2B" w:rsidRDefault="00D44DCC" w:rsidP="00D44DCC">
            <w:pPr>
              <w:spacing w:before="60" w:after="60"/>
              <w:jc w:val="right"/>
              <w:rPr>
                <w:rFonts w:ascii="Calibri" w:hAnsi="Calibri"/>
                <w:b/>
                <w:sz w:val="20"/>
                <w:szCs w:val="20"/>
              </w:rPr>
            </w:pPr>
            <w:r w:rsidRPr="002C1E2B">
              <w:rPr>
                <w:rFonts w:ascii="Calibri" w:hAnsi="Calibri"/>
                <w:b/>
                <w:sz w:val="20"/>
                <w:szCs w:val="20"/>
              </w:rPr>
              <w:t>-4,254</w:t>
            </w: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2F2" w:themeFill="background1" w:themeFillShade="F2"/>
          </w:tcPr>
          <w:p w14:paraId="7EFFCF5C" w14:textId="77777777" w:rsidR="00D44DCC" w:rsidRPr="002C1E2B" w:rsidRDefault="00D44DCC" w:rsidP="00D44DCC">
            <w:pPr>
              <w:spacing w:before="60" w:after="60"/>
              <w:jc w:val="right"/>
              <w:rPr>
                <w:rFonts w:ascii="Calibri" w:hAnsi="Calibri"/>
                <w:b/>
                <w:sz w:val="20"/>
                <w:szCs w:val="20"/>
              </w:rPr>
            </w:pPr>
            <w:r w:rsidRPr="002C1E2B">
              <w:rPr>
                <w:rFonts w:ascii="Calibri" w:hAnsi="Calibri"/>
                <w:b/>
                <w:sz w:val="20"/>
                <w:szCs w:val="20"/>
              </w:rPr>
              <w:t>-312</w:t>
            </w:r>
          </w:p>
        </w:tc>
      </w:tr>
    </w:tbl>
    <w:p w14:paraId="71D8327E" w14:textId="77777777" w:rsidR="00D44DCC" w:rsidRPr="002C1E2B" w:rsidRDefault="00D44DCC" w:rsidP="00D44DCC">
      <w:pPr>
        <w:pStyle w:val="Caption"/>
        <w:spacing w:after="120"/>
        <w:jc w:val="left"/>
      </w:pPr>
    </w:p>
    <w:p w14:paraId="0E15FC05" w14:textId="77777777" w:rsidR="00D44DCC" w:rsidRPr="002C1E2B" w:rsidRDefault="00D44DCC" w:rsidP="00D44DCC">
      <w:pPr>
        <w:pStyle w:val="BodyText"/>
      </w:pPr>
      <w:r w:rsidRPr="002C1E2B">
        <w:t xml:space="preserve">Under Option 2 approximately 2,400 residents are eligible for early aged care payments each year, compared to approximately 1,300 each year under the base case. The cost to the retirement village sector of this option is lower than the base case – operators would be, on average $2.6 million better off each year over the 20 year period, compared to the base case. </w:t>
      </w:r>
      <w:r w:rsidRPr="002C1E2B">
        <w:lastRenderedPageBreak/>
        <w:t>The financial impact on retirement village operators is low as new residents don’t have access to RAD aged care rule payments.</w:t>
      </w:r>
    </w:p>
    <w:p w14:paraId="7C720309" w14:textId="77777777" w:rsidR="00D44DCC" w:rsidRPr="002C1E2B" w:rsidRDefault="00D44DCC" w:rsidP="007B2C64">
      <w:pPr>
        <w:pStyle w:val="Caption"/>
        <w:spacing w:after="120"/>
      </w:pPr>
      <w:r w:rsidRPr="002C1E2B">
        <w:t xml:space="preserve">Table </w:t>
      </w:r>
      <w:r w:rsidRPr="002C1E2B">
        <w:fldChar w:fldCharType="begin"/>
      </w:r>
      <w:r w:rsidRPr="002C1E2B">
        <w:instrText xml:space="preserve"> STYLEREF 1 \s </w:instrText>
      </w:r>
      <w:r w:rsidRPr="002C1E2B">
        <w:fldChar w:fldCharType="separate"/>
      </w:r>
      <w:r w:rsidR="00BE6CE4">
        <w:rPr>
          <w:noProof/>
        </w:rPr>
        <w:t>5</w:t>
      </w:r>
      <w:r w:rsidRPr="002C1E2B">
        <w:fldChar w:fldCharType="end"/>
      </w:r>
      <w:r w:rsidRPr="002C1E2B">
        <w:t>.</w:t>
      </w:r>
      <w:r w:rsidRPr="002C1E2B">
        <w:fldChar w:fldCharType="begin"/>
      </w:r>
      <w:r w:rsidRPr="002C1E2B">
        <w:instrText xml:space="preserve"> SEQ Table \* ARABIC \s 1 </w:instrText>
      </w:r>
      <w:r w:rsidRPr="002C1E2B">
        <w:fldChar w:fldCharType="separate"/>
      </w:r>
      <w:r w:rsidR="00BE6CE4">
        <w:rPr>
          <w:noProof/>
        </w:rPr>
        <w:t>6</w:t>
      </w:r>
      <w:r w:rsidRPr="002C1E2B">
        <w:fldChar w:fldCharType="end"/>
      </w:r>
      <w:r w:rsidRPr="002C1E2B">
        <w:t xml:space="preserve"> - Option 2: Financial impacts on residents and villages – total for sector relative to base case</w:t>
      </w:r>
    </w:p>
    <w:tbl>
      <w:tblPr>
        <w:tblStyle w:val="OW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0"/>
        <w:gridCol w:w="1573"/>
        <w:gridCol w:w="1573"/>
        <w:gridCol w:w="1571"/>
      </w:tblGrid>
      <w:tr w:rsidR="00D44DCC" w:rsidRPr="002C1E2B" w14:paraId="62666E4A" w14:textId="77777777" w:rsidTr="00D44DCC">
        <w:trPr>
          <w:cnfStyle w:val="100000000000" w:firstRow="1" w:lastRow="0" w:firstColumn="0" w:lastColumn="0" w:oddVBand="0" w:evenVBand="0" w:oddHBand="0" w:evenHBand="0" w:firstRowFirstColumn="0" w:firstRowLastColumn="0" w:lastRowFirstColumn="0" w:lastRowLastColumn="0"/>
          <w:tblHeader/>
        </w:trPr>
        <w:tc>
          <w:tcPr>
            <w:tcW w:w="238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F497D" w:themeFill="text2"/>
          </w:tcPr>
          <w:p w14:paraId="3CEB6B74" w14:textId="77777777" w:rsidR="00D44DCC" w:rsidRPr="002C1E2B" w:rsidRDefault="00D44DCC" w:rsidP="00D44DCC">
            <w:pPr>
              <w:pStyle w:val="BodyText"/>
              <w:spacing w:before="60" w:after="60"/>
              <w:rPr>
                <w:rFonts w:ascii="Calibri" w:hAnsi="Calibri"/>
                <w:b/>
                <w:color w:val="FFFFFF" w:themeColor="background1"/>
                <w:sz w:val="20"/>
                <w:szCs w:val="20"/>
              </w:rPr>
            </w:pPr>
            <w:r w:rsidRPr="002C1E2B">
              <w:rPr>
                <w:rFonts w:ascii="Calibri" w:hAnsi="Calibri"/>
                <w:b/>
                <w:color w:val="FFFFFF" w:themeColor="background1"/>
                <w:sz w:val="20"/>
                <w:szCs w:val="20"/>
              </w:rPr>
              <w:t>Option 2 impacts – total for sector</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F497D" w:themeFill="text2"/>
          </w:tcPr>
          <w:p w14:paraId="2E860C4C" w14:textId="77777777" w:rsidR="00D44DCC" w:rsidRPr="002C1E2B" w:rsidRDefault="00D44DCC" w:rsidP="00D44DCC">
            <w:pPr>
              <w:pStyle w:val="BodyText"/>
              <w:spacing w:before="60" w:after="60"/>
              <w:jc w:val="center"/>
              <w:rPr>
                <w:rFonts w:ascii="Calibri" w:hAnsi="Calibri"/>
                <w:b/>
                <w:color w:val="FFFFFF" w:themeColor="background1"/>
                <w:sz w:val="20"/>
                <w:szCs w:val="20"/>
              </w:rPr>
            </w:pPr>
            <w:r w:rsidRPr="002C1E2B">
              <w:rPr>
                <w:rFonts w:ascii="Calibri" w:hAnsi="Calibri"/>
                <w:b/>
                <w:color w:val="FFFFFF" w:themeColor="background1"/>
                <w:sz w:val="20"/>
                <w:szCs w:val="20"/>
              </w:rPr>
              <w:t>2017</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F497D" w:themeFill="text2"/>
          </w:tcPr>
          <w:p w14:paraId="67927A34" w14:textId="77777777" w:rsidR="00D44DCC" w:rsidRPr="002C1E2B" w:rsidRDefault="00D44DCC" w:rsidP="00D44DCC">
            <w:pPr>
              <w:pStyle w:val="BodyText"/>
              <w:spacing w:before="60" w:after="60"/>
              <w:jc w:val="center"/>
              <w:rPr>
                <w:rFonts w:ascii="Calibri" w:hAnsi="Calibri"/>
                <w:b/>
                <w:color w:val="FFFFFF" w:themeColor="background1"/>
                <w:sz w:val="20"/>
                <w:szCs w:val="20"/>
              </w:rPr>
            </w:pPr>
            <w:r w:rsidRPr="002C1E2B">
              <w:rPr>
                <w:rFonts w:ascii="Calibri" w:hAnsi="Calibri"/>
                <w:b/>
                <w:color w:val="FFFFFF" w:themeColor="background1"/>
                <w:sz w:val="20"/>
                <w:szCs w:val="20"/>
              </w:rPr>
              <w:t>2037</w:t>
            </w:r>
          </w:p>
        </w:tc>
        <w:tc>
          <w:tcPr>
            <w:tcW w:w="87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F497D" w:themeFill="text2"/>
          </w:tcPr>
          <w:p w14:paraId="7966F860" w14:textId="77777777" w:rsidR="00D44DCC" w:rsidRPr="002C1E2B" w:rsidRDefault="00D44DCC" w:rsidP="00D44DCC">
            <w:pPr>
              <w:pStyle w:val="BodyText"/>
              <w:spacing w:before="60" w:after="60"/>
              <w:jc w:val="center"/>
              <w:rPr>
                <w:rFonts w:ascii="Calibri" w:hAnsi="Calibri"/>
                <w:b/>
                <w:color w:val="FFFFFF" w:themeColor="background1"/>
                <w:sz w:val="20"/>
                <w:szCs w:val="20"/>
              </w:rPr>
            </w:pPr>
            <w:r w:rsidRPr="002C1E2B">
              <w:rPr>
                <w:rFonts w:ascii="Calibri" w:hAnsi="Calibri"/>
                <w:b/>
                <w:color w:val="FFFFFF" w:themeColor="background1"/>
                <w:sz w:val="20"/>
                <w:szCs w:val="20"/>
              </w:rPr>
              <w:t>Average</w:t>
            </w:r>
          </w:p>
          <w:p w14:paraId="7E5372C2" w14:textId="77777777" w:rsidR="00D44DCC" w:rsidRPr="002C1E2B" w:rsidRDefault="00D44DCC" w:rsidP="00D44DCC">
            <w:pPr>
              <w:pStyle w:val="BodyText"/>
              <w:spacing w:before="60" w:after="60"/>
              <w:jc w:val="center"/>
              <w:rPr>
                <w:rFonts w:ascii="Calibri" w:hAnsi="Calibri"/>
                <w:b/>
                <w:color w:val="FFFFFF" w:themeColor="background1"/>
                <w:sz w:val="20"/>
                <w:szCs w:val="20"/>
              </w:rPr>
            </w:pPr>
            <w:r w:rsidRPr="002C1E2B">
              <w:rPr>
                <w:rFonts w:ascii="Calibri" w:hAnsi="Calibri"/>
                <w:b/>
                <w:color w:val="FFFFFF" w:themeColor="background1"/>
                <w:sz w:val="20"/>
                <w:szCs w:val="20"/>
              </w:rPr>
              <w:t>(2017 to 2037)</w:t>
            </w:r>
          </w:p>
        </w:tc>
      </w:tr>
      <w:tr w:rsidR="00D44DCC" w:rsidRPr="002C1E2B" w14:paraId="6002B34B" w14:textId="77777777" w:rsidTr="00D44DCC">
        <w:trPr>
          <w:cnfStyle w:val="100000000000" w:firstRow="1" w:lastRow="0" w:firstColumn="0" w:lastColumn="0" w:oddVBand="0" w:evenVBand="0" w:oddHBand="0" w:evenHBand="0" w:firstRowFirstColumn="0" w:firstRowLastColumn="0" w:lastRowFirstColumn="0" w:lastRowLastColumn="0"/>
          <w:tblHeader/>
        </w:trPr>
        <w:tc>
          <w:tcPr>
            <w:tcW w:w="238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BE5F1" w:themeFill="accent1" w:themeFillTint="33"/>
          </w:tcPr>
          <w:p w14:paraId="0EA209CB" w14:textId="77777777" w:rsidR="00D44DCC" w:rsidRPr="002C1E2B" w:rsidRDefault="00D44DCC" w:rsidP="00D44DCC">
            <w:pPr>
              <w:pStyle w:val="BodyText"/>
              <w:spacing w:before="60" w:after="60"/>
              <w:rPr>
                <w:rFonts w:ascii="Calibri" w:hAnsi="Calibri"/>
                <w:b/>
                <w:sz w:val="20"/>
                <w:szCs w:val="20"/>
              </w:rPr>
            </w:pPr>
            <w:r w:rsidRPr="002C1E2B">
              <w:rPr>
                <w:rFonts w:ascii="Calibri" w:hAnsi="Calibri"/>
                <w:b/>
                <w:sz w:val="20"/>
                <w:szCs w:val="20"/>
              </w:rPr>
              <w:t>Population assumptions</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BE5F1" w:themeFill="accent1" w:themeFillTint="33"/>
          </w:tcPr>
          <w:p w14:paraId="795E5C5A" w14:textId="77777777" w:rsidR="00D44DCC" w:rsidRPr="002C1E2B" w:rsidRDefault="00D44DCC" w:rsidP="00D44DCC">
            <w:pPr>
              <w:spacing w:before="60" w:after="60"/>
              <w:jc w:val="right"/>
              <w:rPr>
                <w:rFonts w:ascii="Calibri" w:hAnsi="Calibri"/>
                <w:sz w:val="20"/>
                <w:szCs w:val="20"/>
              </w:rPr>
            </w:pP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BE5F1" w:themeFill="accent1" w:themeFillTint="33"/>
          </w:tcPr>
          <w:p w14:paraId="3409DDF6" w14:textId="77777777" w:rsidR="00D44DCC" w:rsidRPr="002C1E2B" w:rsidRDefault="00D44DCC" w:rsidP="00D44DCC">
            <w:pPr>
              <w:spacing w:before="60" w:after="60"/>
              <w:jc w:val="right"/>
              <w:rPr>
                <w:rFonts w:ascii="Calibri" w:hAnsi="Calibri"/>
                <w:sz w:val="20"/>
                <w:szCs w:val="20"/>
              </w:rPr>
            </w:pPr>
          </w:p>
        </w:tc>
        <w:tc>
          <w:tcPr>
            <w:tcW w:w="87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BE5F1" w:themeFill="accent1" w:themeFillTint="33"/>
          </w:tcPr>
          <w:p w14:paraId="7994E42E" w14:textId="77777777" w:rsidR="00D44DCC" w:rsidRPr="002C1E2B" w:rsidRDefault="00D44DCC" w:rsidP="00D44DCC">
            <w:pPr>
              <w:spacing w:before="60" w:after="60"/>
              <w:jc w:val="right"/>
              <w:rPr>
                <w:rFonts w:ascii="Calibri" w:hAnsi="Calibri"/>
                <w:sz w:val="20"/>
                <w:szCs w:val="20"/>
              </w:rPr>
            </w:pPr>
          </w:p>
        </w:tc>
      </w:tr>
      <w:tr w:rsidR="00D44DCC" w:rsidRPr="002C1E2B" w14:paraId="22C64387" w14:textId="77777777" w:rsidTr="007B2C64">
        <w:trPr>
          <w:cnfStyle w:val="100000000000" w:firstRow="1" w:lastRow="0" w:firstColumn="0" w:lastColumn="0" w:oddVBand="0" w:evenVBand="0" w:oddHBand="0" w:evenHBand="0" w:firstRowFirstColumn="0" w:firstRowLastColumn="0" w:lastRowFirstColumn="0" w:lastRowLastColumn="0"/>
          <w:tblHeader/>
        </w:trPr>
        <w:tc>
          <w:tcPr>
            <w:tcW w:w="238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62A52461" w14:textId="77777777" w:rsidR="00D44DCC" w:rsidRPr="002C1E2B" w:rsidRDefault="00D44DCC" w:rsidP="00D44DCC">
            <w:pPr>
              <w:spacing w:before="60" w:after="60"/>
              <w:rPr>
                <w:rFonts w:ascii="Calibri" w:hAnsi="Calibri"/>
                <w:sz w:val="20"/>
                <w:szCs w:val="20"/>
              </w:rPr>
            </w:pPr>
            <w:r w:rsidRPr="002C1E2B">
              <w:rPr>
                <w:rFonts w:ascii="Calibri" w:hAnsi="Calibri"/>
                <w:sz w:val="20"/>
                <w:szCs w:val="20"/>
              </w:rPr>
              <w:t>Residents receiving six month rule</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747178CC"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0</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403428F7"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0</w:t>
            </w:r>
          </w:p>
        </w:tc>
        <w:tc>
          <w:tcPr>
            <w:tcW w:w="87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2C145324"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0</w:t>
            </w:r>
          </w:p>
        </w:tc>
      </w:tr>
      <w:tr w:rsidR="00D44DCC" w:rsidRPr="002C1E2B" w14:paraId="6340ED81" w14:textId="77777777" w:rsidTr="007B2C64">
        <w:trPr>
          <w:cnfStyle w:val="100000000000" w:firstRow="1" w:lastRow="0" w:firstColumn="0" w:lastColumn="0" w:oddVBand="0" w:evenVBand="0" w:oddHBand="0" w:evenHBand="0" w:firstRowFirstColumn="0" w:firstRowLastColumn="0" w:lastRowFirstColumn="0" w:lastRowLastColumn="0"/>
          <w:tblHeader/>
        </w:trPr>
        <w:tc>
          <w:tcPr>
            <w:tcW w:w="238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2B195568" w14:textId="77777777" w:rsidR="00D44DCC" w:rsidRPr="002C1E2B" w:rsidRDefault="00D44DCC" w:rsidP="00D44DCC">
            <w:pPr>
              <w:spacing w:before="60" w:after="60"/>
              <w:rPr>
                <w:rFonts w:ascii="Calibri" w:hAnsi="Calibri"/>
                <w:sz w:val="20"/>
                <w:szCs w:val="20"/>
              </w:rPr>
            </w:pPr>
            <w:r w:rsidRPr="002C1E2B">
              <w:rPr>
                <w:rFonts w:ascii="Calibri" w:hAnsi="Calibri"/>
                <w:sz w:val="20"/>
                <w:szCs w:val="20"/>
              </w:rPr>
              <w:t>Existing residents receiving  RAD based payment</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05EE3593"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669</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1E8A041F"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0</w:t>
            </w:r>
          </w:p>
        </w:tc>
        <w:tc>
          <w:tcPr>
            <w:tcW w:w="87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2FCCEA30"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719</w:t>
            </w:r>
          </w:p>
        </w:tc>
      </w:tr>
      <w:tr w:rsidR="00D44DCC" w:rsidRPr="002C1E2B" w14:paraId="2A389368" w14:textId="77777777" w:rsidTr="007B2C64">
        <w:trPr>
          <w:cnfStyle w:val="100000000000" w:firstRow="1" w:lastRow="0" w:firstColumn="0" w:lastColumn="0" w:oddVBand="0" w:evenVBand="0" w:oddHBand="0" w:evenHBand="0" w:firstRowFirstColumn="0" w:firstRowLastColumn="0" w:lastRowFirstColumn="0" w:lastRowLastColumn="0"/>
          <w:tblHeader/>
        </w:trPr>
        <w:tc>
          <w:tcPr>
            <w:tcW w:w="238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4CE4654C" w14:textId="77777777" w:rsidR="00D44DCC" w:rsidRPr="002C1E2B" w:rsidRDefault="00D44DCC" w:rsidP="00D44DCC">
            <w:pPr>
              <w:spacing w:before="60" w:after="60"/>
              <w:rPr>
                <w:rFonts w:ascii="Calibri" w:hAnsi="Calibri"/>
                <w:sz w:val="20"/>
                <w:szCs w:val="20"/>
              </w:rPr>
            </w:pPr>
            <w:r w:rsidRPr="002C1E2B">
              <w:rPr>
                <w:rFonts w:ascii="Calibri" w:hAnsi="Calibri"/>
                <w:sz w:val="20"/>
                <w:szCs w:val="20"/>
              </w:rPr>
              <w:t>New residents receiving  RAD based payment</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710F02FA"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0</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67F22003"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0</w:t>
            </w:r>
          </w:p>
        </w:tc>
        <w:tc>
          <w:tcPr>
            <w:tcW w:w="87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4EC30235"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0</w:t>
            </w:r>
          </w:p>
        </w:tc>
      </w:tr>
      <w:tr w:rsidR="00D44DCC" w:rsidRPr="002C1E2B" w14:paraId="0808B75B" w14:textId="77777777" w:rsidTr="007B2C64">
        <w:trPr>
          <w:cnfStyle w:val="100000000000" w:firstRow="1" w:lastRow="0" w:firstColumn="0" w:lastColumn="0" w:oddVBand="0" w:evenVBand="0" w:oddHBand="0" w:evenHBand="0" w:firstRowFirstColumn="0" w:firstRowLastColumn="0" w:lastRowFirstColumn="0" w:lastRowLastColumn="0"/>
          <w:tblHeader/>
        </w:trPr>
        <w:tc>
          <w:tcPr>
            <w:tcW w:w="238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577BC2B0" w14:textId="77777777" w:rsidR="00D44DCC" w:rsidRPr="002C1E2B" w:rsidRDefault="00D44DCC" w:rsidP="00D44DCC">
            <w:pPr>
              <w:spacing w:before="60" w:after="60"/>
              <w:rPr>
                <w:rFonts w:ascii="Calibri" w:hAnsi="Calibri"/>
                <w:sz w:val="20"/>
                <w:szCs w:val="20"/>
              </w:rPr>
            </w:pPr>
            <w:r w:rsidRPr="002C1E2B">
              <w:rPr>
                <w:rFonts w:ascii="Calibri" w:hAnsi="Calibri"/>
                <w:sz w:val="20"/>
                <w:szCs w:val="20"/>
              </w:rPr>
              <w:t xml:space="preserve">Existing residents receiving DAP based payment </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41E8C5D6"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360</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19FA6BCD"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0</w:t>
            </w:r>
          </w:p>
        </w:tc>
        <w:tc>
          <w:tcPr>
            <w:tcW w:w="87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37064EC5"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387</w:t>
            </w:r>
          </w:p>
        </w:tc>
      </w:tr>
      <w:tr w:rsidR="00D44DCC" w:rsidRPr="002C1E2B" w14:paraId="41B711DB" w14:textId="77777777" w:rsidTr="007B2C64">
        <w:trPr>
          <w:cnfStyle w:val="100000000000" w:firstRow="1" w:lastRow="0" w:firstColumn="0" w:lastColumn="0" w:oddVBand="0" w:evenVBand="0" w:oddHBand="0" w:evenHBand="0" w:firstRowFirstColumn="0" w:firstRowLastColumn="0" w:lastRowFirstColumn="0" w:lastRowLastColumn="0"/>
          <w:tblHeader/>
        </w:trPr>
        <w:tc>
          <w:tcPr>
            <w:tcW w:w="238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516EE517" w14:textId="77777777" w:rsidR="00D44DCC" w:rsidRPr="002C1E2B" w:rsidRDefault="00D44DCC" w:rsidP="00D44DCC">
            <w:pPr>
              <w:spacing w:before="60" w:after="60"/>
              <w:rPr>
                <w:rFonts w:ascii="Calibri" w:hAnsi="Calibri"/>
                <w:sz w:val="20"/>
                <w:szCs w:val="20"/>
              </w:rPr>
            </w:pPr>
            <w:r w:rsidRPr="002C1E2B">
              <w:rPr>
                <w:rFonts w:ascii="Calibri" w:hAnsi="Calibri"/>
                <w:sz w:val="20"/>
                <w:szCs w:val="20"/>
              </w:rPr>
              <w:t xml:space="preserve">New residents receiving DAP based payment </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265784B0"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0</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068A2BE8"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3,094</w:t>
            </w:r>
          </w:p>
        </w:tc>
        <w:tc>
          <w:tcPr>
            <w:tcW w:w="87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7DC32032"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1,263</w:t>
            </w:r>
          </w:p>
        </w:tc>
      </w:tr>
      <w:tr w:rsidR="00D44DCC" w:rsidRPr="002C1E2B" w14:paraId="755E74A6" w14:textId="77777777" w:rsidTr="00D44DCC">
        <w:trPr>
          <w:cnfStyle w:val="100000000000" w:firstRow="1" w:lastRow="0" w:firstColumn="0" w:lastColumn="0" w:oddVBand="0" w:evenVBand="0" w:oddHBand="0" w:evenHBand="0" w:firstRowFirstColumn="0" w:firstRowLastColumn="0" w:lastRowFirstColumn="0" w:lastRowLastColumn="0"/>
          <w:tblHeader/>
        </w:trPr>
        <w:tc>
          <w:tcPr>
            <w:tcW w:w="238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BE5F1" w:themeFill="accent1" w:themeFillTint="33"/>
          </w:tcPr>
          <w:p w14:paraId="2734C36B" w14:textId="77777777" w:rsidR="00D44DCC" w:rsidRPr="002C1E2B" w:rsidRDefault="00D44DCC" w:rsidP="00D44DCC">
            <w:pPr>
              <w:pStyle w:val="BodyText"/>
              <w:spacing w:before="60" w:after="60"/>
              <w:rPr>
                <w:rFonts w:ascii="Calibri" w:hAnsi="Calibri"/>
                <w:b/>
                <w:sz w:val="20"/>
                <w:szCs w:val="20"/>
              </w:rPr>
            </w:pPr>
            <w:r w:rsidRPr="002C1E2B">
              <w:rPr>
                <w:rFonts w:ascii="Calibri" w:hAnsi="Calibri"/>
                <w:b/>
                <w:sz w:val="20"/>
                <w:szCs w:val="20"/>
              </w:rPr>
              <w:t>Cost to residents</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BE5F1" w:themeFill="accent1" w:themeFillTint="33"/>
          </w:tcPr>
          <w:p w14:paraId="2E39B6F0" w14:textId="77777777" w:rsidR="00D44DCC" w:rsidRPr="002C1E2B" w:rsidRDefault="00D44DCC" w:rsidP="00D44DCC">
            <w:pPr>
              <w:spacing w:before="60" w:after="60"/>
              <w:jc w:val="right"/>
              <w:rPr>
                <w:rFonts w:ascii="Calibri" w:hAnsi="Calibri"/>
                <w:sz w:val="20"/>
                <w:szCs w:val="20"/>
              </w:rPr>
            </w:pP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BE5F1" w:themeFill="accent1" w:themeFillTint="33"/>
          </w:tcPr>
          <w:p w14:paraId="772BF192" w14:textId="77777777" w:rsidR="00D44DCC" w:rsidRPr="002C1E2B" w:rsidRDefault="00D44DCC" w:rsidP="00D44DCC">
            <w:pPr>
              <w:spacing w:before="60" w:after="60"/>
              <w:jc w:val="right"/>
              <w:rPr>
                <w:rFonts w:ascii="Calibri" w:hAnsi="Calibri"/>
                <w:sz w:val="20"/>
                <w:szCs w:val="20"/>
              </w:rPr>
            </w:pPr>
          </w:p>
        </w:tc>
        <w:tc>
          <w:tcPr>
            <w:tcW w:w="87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BE5F1" w:themeFill="accent1" w:themeFillTint="33"/>
          </w:tcPr>
          <w:p w14:paraId="6BDF6CD1" w14:textId="77777777" w:rsidR="00D44DCC" w:rsidRPr="002C1E2B" w:rsidRDefault="00D44DCC" w:rsidP="00D44DCC">
            <w:pPr>
              <w:spacing w:before="60" w:after="60"/>
              <w:jc w:val="right"/>
              <w:rPr>
                <w:rFonts w:ascii="Calibri" w:hAnsi="Calibri"/>
                <w:sz w:val="20"/>
                <w:szCs w:val="20"/>
              </w:rPr>
            </w:pPr>
          </w:p>
        </w:tc>
      </w:tr>
      <w:tr w:rsidR="00D44DCC" w:rsidRPr="002C1E2B" w14:paraId="53D010F0" w14:textId="77777777" w:rsidTr="007B2C64">
        <w:trPr>
          <w:cnfStyle w:val="100000000000" w:firstRow="1" w:lastRow="0" w:firstColumn="0" w:lastColumn="0" w:oddVBand="0" w:evenVBand="0" w:oddHBand="0" w:evenHBand="0" w:firstRowFirstColumn="0" w:firstRowLastColumn="0" w:lastRowFirstColumn="0" w:lastRowLastColumn="0"/>
          <w:tblHeader/>
        </w:trPr>
        <w:tc>
          <w:tcPr>
            <w:tcW w:w="238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43AE05B5" w14:textId="77777777" w:rsidR="00D44DCC" w:rsidRPr="002C1E2B" w:rsidRDefault="00D44DCC" w:rsidP="00D44DCC">
            <w:pPr>
              <w:pStyle w:val="BodyText"/>
              <w:spacing w:before="60" w:after="60"/>
              <w:rPr>
                <w:rFonts w:ascii="Calibri" w:hAnsi="Calibri"/>
                <w:sz w:val="20"/>
                <w:szCs w:val="20"/>
              </w:rPr>
            </w:pPr>
            <w:r w:rsidRPr="002C1E2B">
              <w:rPr>
                <w:rFonts w:ascii="Calibri" w:hAnsi="Calibri"/>
                <w:sz w:val="20"/>
                <w:szCs w:val="20"/>
              </w:rPr>
              <w:t>Residents receiving six month rule</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061DBEE8"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0</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3E318F11"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0</w:t>
            </w:r>
          </w:p>
        </w:tc>
        <w:tc>
          <w:tcPr>
            <w:tcW w:w="87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0E4A4F47"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0</w:t>
            </w:r>
          </w:p>
        </w:tc>
      </w:tr>
      <w:tr w:rsidR="00D44DCC" w:rsidRPr="002C1E2B" w14:paraId="67F3658E" w14:textId="77777777" w:rsidTr="007B2C64">
        <w:trPr>
          <w:cnfStyle w:val="100000000000" w:firstRow="1" w:lastRow="0" w:firstColumn="0" w:lastColumn="0" w:oddVBand="0" w:evenVBand="0" w:oddHBand="0" w:evenHBand="0" w:firstRowFirstColumn="0" w:firstRowLastColumn="0" w:lastRowFirstColumn="0" w:lastRowLastColumn="0"/>
          <w:tblHeader/>
        </w:trPr>
        <w:tc>
          <w:tcPr>
            <w:tcW w:w="238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70269F3A" w14:textId="77777777" w:rsidR="00D44DCC" w:rsidRPr="002C1E2B" w:rsidRDefault="00D44DCC" w:rsidP="00D44DCC">
            <w:pPr>
              <w:pStyle w:val="BodyText"/>
              <w:spacing w:before="60" w:after="60"/>
              <w:rPr>
                <w:rFonts w:ascii="Calibri" w:hAnsi="Calibri"/>
                <w:sz w:val="20"/>
                <w:szCs w:val="20"/>
              </w:rPr>
            </w:pPr>
            <w:r w:rsidRPr="002C1E2B">
              <w:rPr>
                <w:rFonts w:ascii="Calibri" w:hAnsi="Calibri"/>
                <w:sz w:val="20"/>
                <w:szCs w:val="20"/>
              </w:rPr>
              <w:t>Residents receiving  RAD based payment</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14B75E52"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+3,324,178</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59AA38FE"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0</w:t>
            </w:r>
          </w:p>
        </w:tc>
        <w:tc>
          <w:tcPr>
            <w:tcW w:w="87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725953DE"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+3,569,571</w:t>
            </w:r>
          </w:p>
        </w:tc>
      </w:tr>
      <w:tr w:rsidR="00D44DCC" w:rsidRPr="002C1E2B" w14:paraId="4A29C90E" w14:textId="77777777" w:rsidTr="007B2C64">
        <w:trPr>
          <w:cnfStyle w:val="100000000000" w:firstRow="1" w:lastRow="0" w:firstColumn="0" w:lastColumn="0" w:oddVBand="0" w:evenVBand="0" w:oddHBand="0" w:evenHBand="0" w:firstRowFirstColumn="0" w:firstRowLastColumn="0" w:lastRowFirstColumn="0" w:lastRowLastColumn="0"/>
          <w:tblHeader/>
        </w:trPr>
        <w:tc>
          <w:tcPr>
            <w:tcW w:w="238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7F8BE6CD" w14:textId="77777777" w:rsidR="00D44DCC" w:rsidRPr="002C1E2B" w:rsidRDefault="00D44DCC" w:rsidP="00D44DCC">
            <w:pPr>
              <w:pStyle w:val="BodyText"/>
              <w:spacing w:before="60" w:after="60"/>
              <w:rPr>
                <w:rFonts w:ascii="Calibri" w:hAnsi="Calibri"/>
                <w:sz w:val="20"/>
                <w:szCs w:val="20"/>
              </w:rPr>
            </w:pPr>
            <w:r w:rsidRPr="002C1E2B">
              <w:rPr>
                <w:rFonts w:ascii="Calibri" w:hAnsi="Calibri"/>
                <w:sz w:val="20"/>
                <w:szCs w:val="20"/>
              </w:rPr>
              <w:t xml:space="preserve">Residents receiving DAP based payment </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35224E18"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+73,031</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001ABFB8"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-14,135,653</w:t>
            </w:r>
          </w:p>
        </w:tc>
        <w:tc>
          <w:tcPr>
            <w:tcW w:w="87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1D39B6E2"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-5,692,341</w:t>
            </w:r>
          </w:p>
        </w:tc>
      </w:tr>
      <w:tr w:rsidR="00D44DCC" w:rsidRPr="002C1E2B" w14:paraId="2DEE940F" w14:textId="77777777" w:rsidTr="007B2C64">
        <w:trPr>
          <w:cnfStyle w:val="100000000000" w:firstRow="1" w:lastRow="0" w:firstColumn="0" w:lastColumn="0" w:oddVBand="0" w:evenVBand="0" w:oddHBand="0" w:evenHBand="0" w:firstRowFirstColumn="0" w:firstRowLastColumn="0" w:lastRowFirstColumn="0" w:lastRowLastColumn="0"/>
          <w:tblHeader/>
        </w:trPr>
        <w:tc>
          <w:tcPr>
            <w:tcW w:w="238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4012F4DA" w14:textId="77777777" w:rsidR="00D44DCC" w:rsidRPr="002C1E2B" w:rsidRDefault="00D44DCC" w:rsidP="00D44DCC">
            <w:pPr>
              <w:pStyle w:val="BodyText"/>
              <w:spacing w:before="60" w:after="60"/>
              <w:rPr>
                <w:rFonts w:ascii="Calibri" w:hAnsi="Calibri"/>
                <w:b/>
                <w:sz w:val="20"/>
                <w:szCs w:val="20"/>
              </w:rPr>
            </w:pPr>
            <w:r w:rsidRPr="002C1E2B">
              <w:rPr>
                <w:rFonts w:ascii="Calibri" w:hAnsi="Calibri"/>
                <w:b/>
                <w:sz w:val="20"/>
                <w:szCs w:val="20"/>
              </w:rPr>
              <w:t>Total cost to residents</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32483613" w14:textId="77777777" w:rsidR="00D44DCC" w:rsidRPr="002C1E2B" w:rsidRDefault="00D44DCC" w:rsidP="00D44DCC">
            <w:pPr>
              <w:spacing w:before="60" w:after="60"/>
              <w:jc w:val="right"/>
              <w:rPr>
                <w:rFonts w:ascii="Calibri" w:hAnsi="Calibri"/>
                <w:b/>
                <w:bCs/>
                <w:sz w:val="20"/>
                <w:szCs w:val="20"/>
              </w:rPr>
            </w:pPr>
            <w:r w:rsidRPr="002C1E2B">
              <w:rPr>
                <w:rFonts w:ascii="Calibri" w:hAnsi="Calibri"/>
                <w:b/>
                <w:sz w:val="20"/>
                <w:szCs w:val="20"/>
              </w:rPr>
              <w:t>+</w:t>
            </w:r>
            <w:r w:rsidRPr="002C1E2B">
              <w:rPr>
                <w:rFonts w:ascii="Calibri" w:hAnsi="Calibri"/>
                <w:b/>
                <w:bCs/>
                <w:sz w:val="20"/>
                <w:szCs w:val="20"/>
              </w:rPr>
              <w:t>3,397,209</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174F3971" w14:textId="77777777" w:rsidR="00D44DCC" w:rsidRPr="002C1E2B" w:rsidRDefault="00D44DCC" w:rsidP="00D44DCC">
            <w:pPr>
              <w:spacing w:before="60" w:after="60"/>
              <w:jc w:val="right"/>
              <w:rPr>
                <w:rFonts w:ascii="Calibri" w:hAnsi="Calibri"/>
                <w:b/>
                <w:bCs/>
                <w:sz w:val="20"/>
                <w:szCs w:val="20"/>
              </w:rPr>
            </w:pPr>
            <w:r w:rsidRPr="002C1E2B">
              <w:rPr>
                <w:rFonts w:ascii="Calibri" w:hAnsi="Calibri"/>
                <w:b/>
                <w:bCs/>
                <w:sz w:val="20"/>
                <w:szCs w:val="20"/>
              </w:rPr>
              <w:t>-14,135,653</w:t>
            </w:r>
          </w:p>
        </w:tc>
        <w:tc>
          <w:tcPr>
            <w:tcW w:w="87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555B62EA" w14:textId="77777777" w:rsidR="00D44DCC" w:rsidRPr="002C1E2B" w:rsidRDefault="00D44DCC" w:rsidP="00D44DCC">
            <w:pPr>
              <w:spacing w:before="60" w:after="60"/>
              <w:jc w:val="right"/>
              <w:rPr>
                <w:rFonts w:ascii="Calibri" w:hAnsi="Calibri"/>
                <w:b/>
                <w:bCs/>
                <w:sz w:val="20"/>
                <w:szCs w:val="20"/>
              </w:rPr>
            </w:pPr>
            <w:r w:rsidRPr="002C1E2B">
              <w:rPr>
                <w:rFonts w:ascii="Calibri" w:hAnsi="Calibri"/>
                <w:b/>
                <w:bCs/>
                <w:sz w:val="20"/>
                <w:szCs w:val="20"/>
              </w:rPr>
              <w:t>-2,122,771</w:t>
            </w:r>
          </w:p>
        </w:tc>
      </w:tr>
      <w:tr w:rsidR="00D44DCC" w:rsidRPr="002C1E2B" w14:paraId="5A515BE8" w14:textId="77777777" w:rsidTr="00D44DCC">
        <w:trPr>
          <w:cnfStyle w:val="100000000000" w:firstRow="1" w:lastRow="0" w:firstColumn="0" w:lastColumn="0" w:oddVBand="0" w:evenVBand="0" w:oddHBand="0" w:evenHBand="0" w:firstRowFirstColumn="0" w:firstRowLastColumn="0" w:lastRowFirstColumn="0" w:lastRowLastColumn="0"/>
          <w:tblHeader/>
        </w:trPr>
        <w:tc>
          <w:tcPr>
            <w:tcW w:w="238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BE5F1" w:themeFill="accent1" w:themeFillTint="33"/>
          </w:tcPr>
          <w:p w14:paraId="34B2D040" w14:textId="77777777" w:rsidR="00D44DCC" w:rsidRPr="002C1E2B" w:rsidRDefault="00D44DCC" w:rsidP="00D44DCC">
            <w:pPr>
              <w:pStyle w:val="BodyText"/>
              <w:spacing w:before="60" w:after="60"/>
              <w:rPr>
                <w:rFonts w:ascii="Calibri" w:hAnsi="Calibri"/>
                <w:sz w:val="20"/>
                <w:szCs w:val="20"/>
              </w:rPr>
            </w:pPr>
            <w:r w:rsidRPr="002C1E2B">
              <w:rPr>
                <w:rFonts w:ascii="Calibri" w:hAnsi="Calibri"/>
                <w:b/>
                <w:sz w:val="20"/>
                <w:szCs w:val="20"/>
              </w:rPr>
              <w:t>Cost to retirement village operators</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BE5F1" w:themeFill="accent1" w:themeFillTint="33"/>
          </w:tcPr>
          <w:p w14:paraId="4AEC080F" w14:textId="77777777" w:rsidR="00D44DCC" w:rsidRPr="002C1E2B" w:rsidRDefault="00D44DCC" w:rsidP="00D44DCC">
            <w:pPr>
              <w:spacing w:before="60" w:after="60"/>
              <w:jc w:val="right"/>
              <w:rPr>
                <w:rFonts w:ascii="Calibri" w:hAnsi="Calibri"/>
                <w:sz w:val="20"/>
                <w:szCs w:val="20"/>
              </w:rPr>
            </w:pP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BE5F1" w:themeFill="accent1" w:themeFillTint="33"/>
          </w:tcPr>
          <w:p w14:paraId="5BFDF500" w14:textId="77777777" w:rsidR="00D44DCC" w:rsidRPr="002C1E2B" w:rsidRDefault="00D44DCC" w:rsidP="00D44DCC">
            <w:pPr>
              <w:spacing w:before="60" w:after="60"/>
              <w:jc w:val="right"/>
              <w:rPr>
                <w:rFonts w:ascii="Calibri" w:hAnsi="Calibri"/>
                <w:sz w:val="20"/>
                <w:szCs w:val="20"/>
              </w:rPr>
            </w:pPr>
          </w:p>
        </w:tc>
        <w:tc>
          <w:tcPr>
            <w:tcW w:w="87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BE5F1" w:themeFill="accent1" w:themeFillTint="33"/>
          </w:tcPr>
          <w:p w14:paraId="38ACDAC4" w14:textId="77777777" w:rsidR="00D44DCC" w:rsidRPr="002C1E2B" w:rsidRDefault="00D44DCC" w:rsidP="00D44DCC">
            <w:pPr>
              <w:spacing w:before="60" w:after="60"/>
              <w:jc w:val="right"/>
              <w:rPr>
                <w:rFonts w:ascii="Calibri" w:hAnsi="Calibri"/>
                <w:sz w:val="20"/>
                <w:szCs w:val="20"/>
              </w:rPr>
            </w:pPr>
          </w:p>
        </w:tc>
      </w:tr>
      <w:tr w:rsidR="00D44DCC" w:rsidRPr="002C1E2B" w14:paraId="1F6AA0DA" w14:textId="77777777" w:rsidTr="007B2C64">
        <w:trPr>
          <w:cnfStyle w:val="100000000000" w:firstRow="1" w:lastRow="0" w:firstColumn="0" w:lastColumn="0" w:oddVBand="0" w:evenVBand="0" w:oddHBand="0" w:evenHBand="0" w:firstRowFirstColumn="0" w:firstRowLastColumn="0" w:lastRowFirstColumn="0" w:lastRowLastColumn="0"/>
          <w:tblHeader/>
        </w:trPr>
        <w:tc>
          <w:tcPr>
            <w:tcW w:w="238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7E3FB0CA" w14:textId="77777777" w:rsidR="00D44DCC" w:rsidRPr="002C1E2B" w:rsidRDefault="00D44DCC" w:rsidP="00D44DCC">
            <w:pPr>
              <w:pStyle w:val="BodyText"/>
              <w:spacing w:before="60" w:after="60"/>
              <w:rPr>
                <w:rFonts w:ascii="Calibri" w:hAnsi="Calibri"/>
                <w:sz w:val="20"/>
                <w:szCs w:val="20"/>
              </w:rPr>
            </w:pPr>
            <w:r w:rsidRPr="002C1E2B">
              <w:rPr>
                <w:rFonts w:ascii="Calibri" w:hAnsi="Calibri"/>
                <w:sz w:val="20"/>
                <w:szCs w:val="20"/>
              </w:rPr>
              <w:t>Residents receiving six month rule</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6C6E2998"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0</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593EA1EE"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0</w:t>
            </w:r>
          </w:p>
        </w:tc>
        <w:tc>
          <w:tcPr>
            <w:tcW w:w="87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52D70F16"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0</w:t>
            </w:r>
          </w:p>
        </w:tc>
      </w:tr>
      <w:tr w:rsidR="00D44DCC" w:rsidRPr="002C1E2B" w14:paraId="73CEB50E" w14:textId="77777777" w:rsidTr="007B2C64">
        <w:trPr>
          <w:cnfStyle w:val="100000000000" w:firstRow="1" w:lastRow="0" w:firstColumn="0" w:lastColumn="0" w:oddVBand="0" w:evenVBand="0" w:oddHBand="0" w:evenHBand="0" w:firstRowFirstColumn="0" w:firstRowLastColumn="0" w:lastRowFirstColumn="0" w:lastRowLastColumn="0"/>
          <w:tblHeader/>
        </w:trPr>
        <w:tc>
          <w:tcPr>
            <w:tcW w:w="238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58A98736" w14:textId="77777777" w:rsidR="00D44DCC" w:rsidRPr="002C1E2B" w:rsidRDefault="00D44DCC" w:rsidP="00D44DCC">
            <w:pPr>
              <w:pStyle w:val="BodyText"/>
              <w:spacing w:before="60" w:after="60"/>
              <w:rPr>
                <w:rFonts w:ascii="Calibri" w:hAnsi="Calibri"/>
                <w:sz w:val="20"/>
                <w:szCs w:val="20"/>
              </w:rPr>
            </w:pPr>
            <w:r w:rsidRPr="002C1E2B">
              <w:rPr>
                <w:rFonts w:ascii="Calibri" w:hAnsi="Calibri"/>
                <w:sz w:val="20"/>
                <w:szCs w:val="20"/>
              </w:rPr>
              <w:t>Residents receiving  RAD based payment</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7AB50F69"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-2,847,067</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0F1D2576"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0</w:t>
            </w:r>
          </w:p>
        </w:tc>
        <w:tc>
          <w:tcPr>
            <w:tcW w:w="87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6C32CC26"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-3,057,240</w:t>
            </w:r>
          </w:p>
        </w:tc>
      </w:tr>
      <w:tr w:rsidR="00D44DCC" w:rsidRPr="002C1E2B" w14:paraId="50BD6D37" w14:textId="77777777" w:rsidTr="007B2C64">
        <w:trPr>
          <w:cnfStyle w:val="100000000000" w:firstRow="1" w:lastRow="0" w:firstColumn="0" w:lastColumn="0" w:oddVBand="0" w:evenVBand="0" w:oddHBand="0" w:evenHBand="0" w:firstRowFirstColumn="0" w:firstRowLastColumn="0" w:lastRowFirstColumn="0" w:lastRowLastColumn="0"/>
          <w:tblHeader/>
        </w:trPr>
        <w:tc>
          <w:tcPr>
            <w:tcW w:w="238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5C04BF76" w14:textId="77777777" w:rsidR="00D44DCC" w:rsidRPr="002C1E2B" w:rsidRDefault="00D44DCC" w:rsidP="00D44DCC">
            <w:pPr>
              <w:pStyle w:val="BodyText"/>
              <w:spacing w:before="60" w:after="60"/>
              <w:rPr>
                <w:rFonts w:ascii="Calibri" w:hAnsi="Calibri"/>
                <w:sz w:val="20"/>
                <w:szCs w:val="20"/>
              </w:rPr>
            </w:pPr>
            <w:r w:rsidRPr="002C1E2B">
              <w:rPr>
                <w:rFonts w:ascii="Calibri" w:hAnsi="Calibri"/>
                <w:sz w:val="20"/>
                <w:szCs w:val="20"/>
              </w:rPr>
              <w:t xml:space="preserve">Residents receiving DAP based payment </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3D3208EE"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-112,609</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438D5DFD"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+14,150,906</w:t>
            </w:r>
          </w:p>
        </w:tc>
        <w:tc>
          <w:tcPr>
            <w:tcW w:w="87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215B9059"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+5,656,068</w:t>
            </w:r>
          </w:p>
        </w:tc>
      </w:tr>
      <w:tr w:rsidR="00D44DCC" w:rsidRPr="002C1E2B" w14:paraId="03C3CE6A" w14:textId="77777777" w:rsidTr="007B2C64">
        <w:trPr>
          <w:cnfStyle w:val="100000000000" w:firstRow="1" w:lastRow="0" w:firstColumn="0" w:lastColumn="0" w:oddVBand="0" w:evenVBand="0" w:oddHBand="0" w:evenHBand="0" w:firstRowFirstColumn="0" w:firstRowLastColumn="0" w:lastRowFirstColumn="0" w:lastRowLastColumn="0"/>
          <w:tblHeader/>
        </w:trPr>
        <w:tc>
          <w:tcPr>
            <w:tcW w:w="238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0E13AA61" w14:textId="77777777" w:rsidR="00D44DCC" w:rsidRPr="002C1E2B" w:rsidRDefault="00D44DCC" w:rsidP="00D44DCC">
            <w:pPr>
              <w:pStyle w:val="BodyText"/>
              <w:spacing w:before="60" w:after="60"/>
              <w:rPr>
                <w:rFonts w:ascii="Calibri" w:hAnsi="Calibri"/>
                <w:sz w:val="20"/>
                <w:szCs w:val="20"/>
              </w:rPr>
            </w:pPr>
            <w:r w:rsidRPr="002C1E2B">
              <w:rPr>
                <w:rFonts w:ascii="Calibri" w:hAnsi="Calibri"/>
                <w:b/>
                <w:sz w:val="20"/>
                <w:szCs w:val="20"/>
              </w:rPr>
              <w:t>Total cost to retirement village operators</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237C0516" w14:textId="77777777" w:rsidR="00D44DCC" w:rsidRPr="002C1E2B" w:rsidRDefault="00D44DCC" w:rsidP="00D44DCC">
            <w:pPr>
              <w:spacing w:before="60" w:after="60"/>
              <w:jc w:val="right"/>
              <w:rPr>
                <w:rFonts w:ascii="Calibri" w:hAnsi="Calibri"/>
                <w:b/>
                <w:bCs/>
                <w:sz w:val="20"/>
                <w:szCs w:val="20"/>
              </w:rPr>
            </w:pPr>
            <w:r w:rsidRPr="002C1E2B">
              <w:rPr>
                <w:rFonts w:ascii="Calibri" w:hAnsi="Calibri"/>
                <w:b/>
                <w:bCs/>
                <w:sz w:val="20"/>
                <w:szCs w:val="20"/>
              </w:rPr>
              <w:t>-2,959,677</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67DBD928" w14:textId="77777777" w:rsidR="00D44DCC" w:rsidRPr="002C1E2B" w:rsidRDefault="00D44DCC" w:rsidP="00D44DCC">
            <w:pPr>
              <w:spacing w:before="60" w:after="60"/>
              <w:jc w:val="right"/>
              <w:rPr>
                <w:rFonts w:ascii="Calibri" w:hAnsi="Calibri"/>
                <w:b/>
                <w:bCs/>
                <w:sz w:val="20"/>
                <w:szCs w:val="20"/>
              </w:rPr>
            </w:pPr>
            <w:r w:rsidRPr="002C1E2B">
              <w:rPr>
                <w:rFonts w:ascii="Calibri" w:hAnsi="Calibri"/>
                <w:b/>
                <w:sz w:val="20"/>
                <w:szCs w:val="20"/>
              </w:rPr>
              <w:t>+</w:t>
            </w:r>
            <w:r w:rsidRPr="002C1E2B">
              <w:rPr>
                <w:rFonts w:ascii="Calibri" w:hAnsi="Calibri"/>
                <w:b/>
                <w:bCs/>
                <w:sz w:val="20"/>
                <w:szCs w:val="20"/>
              </w:rPr>
              <w:t>14,150,906</w:t>
            </w:r>
          </w:p>
        </w:tc>
        <w:tc>
          <w:tcPr>
            <w:tcW w:w="87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7826CE43" w14:textId="77777777" w:rsidR="00D44DCC" w:rsidRPr="002C1E2B" w:rsidRDefault="00D44DCC" w:rsidP="00D44DCC">
            <w:pPr>
              <w:spacing w:before="60" w:after="60"/>
              <w:jc w:val="right"/>
              <w:rPr>
                <w:rFonts w:ascii="Calibri" w:hAnsi="Calibri"/>
                <w:b/>
                <w:bCs/>
                <w:sz w:val="20"/>
                <w:szCs w:val="20"/>
              </w:rPr>
            </w:pPr>
            <w:r w:rsidRPr="002C1E2B">
              <w:rPr>
                <w:rFonts w:ascii="Calibri" w:hAnsi="Calibri"/>
                <w:b/>
                <w:sz w:val="20"/>
                <w:szCs w:val="20"/>
              </w:rPr>
              <w:t>+</w:t>
            </w:r>
            <w:r w:rsidRPr="002C1E2B">
              <w:rPr>
                <w:rFonts w:ascii="Calibri" w:hAnsi="Calibri"/>
                <w:b/>
                <w:bCs/>
                <w:sz w:val="20"/>
                <w:szCs w:val="20"/>
              </w:rPr>
              <w:t>2,598,828</w:t>
            </w:r>
          </w:p>
        </w:tc>
      </w:tr>
      <w:tr w:rsidR="00D44DCC" w:rsidRPr="002C1E2B" w14:paraId="320881B3" w14:textId="77777777" w:rsidTr="007B2C64">
        <w:trPr>
          <w:cnfStyle w:val="100000000000" w:firstRow="1" w:lastRow="0" w:firstColumn="0" w:lastColumn="0" w:oddVBand="0" w:evenVBand="0" w:oddHBand="0" w:evenHBand="0" w:firstRowFirstColumn="0" w:firstRowLastColumn="0" w:lastRowFirstColumn="0" w:lastRowLastColumn="0"/>
          <w:tblHeader/>
        </w:trPr>
        <w:tc>
          <w:tcPr>
            <w:tcW w:w="238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BE5F1" w:themeFill="accent1" w:themeFillTint="33"/>
          </w:tcPr>
          <w:p w14:paraId="09D2658B" w14:textId="77777777" w:rsidR="00D44DCC" w:rsidRPr="002C1E2B" w:rsidRDefault="00D44DCC" w:rsidP="00D44DCC">
            <w:pPr>
              <w:pStyle w:val="BodyText"/>
              <w:spacing w:before="60" w:after="60"/>
              <w:rPr>
                <w:rFonts w:ascii="Calibri" w:hAnsi="Calibri"/>
                <w:b/>
                <w:sz w:val="20"/>
                <w:szCs w:val="20"/>
              </w:rPr>
            </w:pPr>
            <w:r w:rsidRPr="002C1E2B">
              <w:rPr>
                <w:rFonts w:ascii="Calibri" w:hAnsi="Calibri"/>
                <w:b/>
                <w:sz w:val="20"/>
                <w:szCs w:val="20"/>
              </w:rPr>
              <w:t>Net impact</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BE5F1" w:themeFill="accent1" w:themeFillTint="33"/>
            <w:vAlign w:val="center"/>
          </w:tcPr>
          <w:p w14:paraId="678E3F57" w14:textId="77777777" w:rsidR="00D44DCC" w:rsidRPr="002C1E2B" w:rsidRDefault="00D44DCC" w:rsidP="00D44DCC">
            <w:pPr>
              <w:spacing w:before="60" w:after="60"/>
              <w:jc w:val="right"/>
              <w:rPr>
                <w:rFonts w:ascii="Calibri" w:hAnsi="Calibri"/>
                <w:b/>
                <w:sz w:val="20"/>
                <w:szCs w:val="20"/>
              </w:rPr>
            </w:pPr>
            <w:r w:rsidRPr="002C1E2B">
              <w:rPr>
                <w:rFonts w:ascii="Calibri" w:hAnsi="Calibri"/>
                <w:b/>
                <w:sz w:val="20"/>
                <w:szCs w:val="20"/>
              </w:rPr>
              <w:t>+437,532</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BE5F1" w:themeFill="accent1" w:themeFillTint="33"/>
            <w:vAlign w:val="center"/>
          </w:tcPr>
          <w:p w14:paraId="5720CF23" w14:textId="77777777" w:rsidR="00D44DCC" w:rsidRPr="002C1E2B" w:rsidRDefault="00D44DCC" w:rsidP="00D44DCC">
            <w:pPr>
              <w:spacing w:before="60" w:after="60"/>
              <w:jc w:val="right"/>
              <w:rPr>
                <w:rFonts w:ascii="Calibri" w:hAnsi="Calibri"/>
                <w:b/>
                <w:sz w:val="20"/>
                <w:szCs w:val="20"/>
              </w:rPr>
            </w:pPr>
            <w:r w:rsidRPr="002C1E2B">
              <w:rPr>
                <w:rFonts w:ascii="Calibri" w:hAnsi="Calibri"/>
                <w:b/>
                <w:sz w:val="20"/>
                <w:szCs w:val="20"/>
              </w:rPr>
              <w:t>+15,253</w:t>
            </w:r>
          </w:p>
        </w:tc>
        <w:tc>
          <w:tcPr>
            <w:tcW w:w="87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BE5F1" w:themeFill="accent1" w:themeFillTint="33"/>
            <w:vAlign w:val="center"/>
          </w:tcPr>
          <w:p w14:paraId="20B74616" w14:textId="77777777" w:rsidR="00D44DCC" w:rsidRPr="002C1E2B" w:rsidRDefault="00D44DCC" w:rsidP="00D44DCC">
            <w:pPr>
              <w:spacing w:before="60" w:after="60"/>
              <w:jc w:val="right"/>
              <w:rPr>
                <w:rFonts w:ascii="Calibri" w:hAnsi="Calibri"/>
                <w:b/>
                <w:sz w:val="20"/>
                <w:szCs w:val="20"/>
              </w:rPr>
            </w:pPr>
            <w:r w:rsidRPr="002C1E2B">
              <w:rPr>
                <w:rFonts w:ascii="Calibri" w:hAnsi="Calibri"/>
                <w:b/>
                <w:sz w:val="20"/>
                <w:szCs w:val="20"/>
              </w:rPr>
              <w:t>+476,057</w:t>
            </w:r>
          </w:p>
        </w:tc>
      </w:tr>
    </w:tbl>
    <w:p w14:paraId="0B64835A" w14:textId="77777777" w:rsidR="00D44DCC" w:rsidRPr="002C1E2B" w:rsidRDefault="00D44DCC" w:rsidP="00D44DCC">
      <w:pPr>
        <w:pStyle w:val="BodyText"/>
      </w:pPr>
    </w:p>
    <w:p w14:paraId="2A0FC693" w14:textId="77777777" w:rsidR="00D44DCC" w:rsidRPr="002C1E2B" w:rsidRDefault="00D44DCC" w:rsidP="00D44DCC">
      <w:pPr>
        <w:pStyle w:val="Heading3"/>
      </w:pPr>
      <w:r w:rsidRPr="002C1E2B">
        <w:t xml:space="preserve">Option 3 – DAP-based rule </w:t>
      </w:r>
    </w:p>
    <w:p w14:paraId="3A41B5B1" w14:textId="77777777" w:rsidR="00D44DCC" w:rsidRPr="002C1E2B" w:rsidRDefault="00D44DCC" w:rsidP="00D44DCC">
      <w:pPr>
        <w:pStyle w:val="BodyText"/>
      </w:pPr>
      <w:r w:rsidRPr="002C1E2B">
        <w:t>Under Option 3, the six month rule exemption would continue to apply. All residents will have access to a DAP-based aged care rule, up to 85 per cent of the estimated exit entitlement, but no resident will have access to a RAD rule.</w:t>
      </w:r>
    </w:p>
    <w:p w14:paraId="05E41B4D" w14:textId="77777777" w:rsidR="00D44DCC" w:rsidRPr="002C1E2B" w:rsidRDefault="00D44DCC" w:rsidP="00D44DCC">
      <w:pPr>
        <w:pStyle w:val="Caption"/>
        <w:spacing w:after="120"/>
      </w:pPr>
      <w:r w:rsidRPr="002C1E2B">
        <w:lastRenderedPageBreak/>
        <w:t xml:space="preserve">Figure </w:t>
      </w:r>
      <w:r w:rsidR="00C11D17">
        <w:fldChar w:fldCharType="begin"/>
      </w:r>
      <w:r w:rsidR="00C11D17">
        <w:instrText xml:space="preserve"> STYLEREF 1 \s </w:instrText>
      </w:r>
      <w:r w:rsidR="00C11D17">
        <w:fldChar w:fldCharType="separate"/>
      </w:r>
      <w:r w:rsidR="00BE6CE4">
        <w:rPr>
          <w:noProof/>
        </w:rPr>
        <w:t>5</w:t>
      </w:r>
      <w:r w:rsidR="00C11D17">
        <w:fldChar w:fldCharType="end"/>
      </w:r>
      <w:r w:rsidR="00C11D17">
        <w:t>.</w:t>
      </w:r>
      <w:r w:rsidR="00C11D17">
        <w:fldChar w:fldCharType="begin"/>
      </w:r>
      <w:r w:rsidR="00C11D17">
        <w:instrText xml:space="preserve"> SEQ Figure \* ARABIC \s 1 </w:instrText>
      </w:r>
      <w:r w:rsidR="00C11D17">
        <w:fldChar w:fldCharType="separate"/>
      </w:r>
      <w:r w:rsidR="00BE6CE4">
        <w:rPr>
          <w:noProof/>
        </w:rPr>
        <w:t>3</w:t>
      </w:r>
      <w:r w:rsidR="00C11D17">
        <w:fldChar w:fldCharType="end"/>
      </w:r>
      <w:r w:rsidRPr="002C1E2B">
        <w:t xml:space="preserve"> – Option 3: Residents eligible for aged care rule</w:t>
      </w:r>
    </w:p>
    <w:p w14:paraId="1AF7FDD7" w14:textId="77777777" w:rsidR="00D44DCC" w:rsidRPr="002C1E2B" w:rsidRDefault="00D44DCC" w:rsidP="00D44DCC">
      <w:pPr>
        <w:pStyle w:val="BodyText"/>
        <w:jc w:val="center"/>
        <w:rPr>
          <w:highlight w:val="yellow"/>
        </w:rPr>
      </w:pPr>
      <w:r w:rsidRPr="002C1E2B">
        <w:rPr>
          <w:noProof/>
          <w:lang w:eastAsia="en-AU"/>
        </w:rPr>
        <w:drawing>
          <wp:inline distT="0" distB="0" distL="0" distR="0" wp14:anchorId="64D79329" wp14:editId="3D356DF0">
            <wp:extent cx="5731200" cy="345347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731200" cy="3453477"/>
                    </a:xfrm>
                    <a:prstGeom prst="rect">
                      <a:avLst/>
                    </a:prstGeom>
                    <a:noFill/>
                    <a:ln>
                      <a:noFill/>
                    </a:ln>
                  </pic:spPr>
                </pic:pic>
              </a:graphicData>
            </a:graphic>
          </wp:inline>
        </w:drawing>
      </w:r>
    </w:p>
    <w:p w14:paraId="36D1E2AB" w14:textId="77777777" w:rsidR="00D44DCC" w:rsidRPr="002C1E2B" w:rsidRDefault="00D44DCC" w:rsidP="00D44DCC">
      <w:pPr>
        <w:pStyle w:val="BodyText"/>
      </w:pPr>
      <w:r w:rsidRPr="002C1E2B">
        <w:t>Compared to the base case, more residents are entitled to early payment of their exit entitlement as DAP payments – approximately 2,400 per year, compared to approximately 1,300 each year. The cost to the retirement village sector is the lowest for this option – operators would be on average $5.</w:t>
      </w:r>
      <w:r w:rsidR="00554ADE">
        <w:t>4</w:t>
      </w:r>
      <w:r w:rsidRPr="002C1E2B">
        <w:t xml:space="preserve"> million better off each year over the 20 year period, compared to the base case.</w:t>
      </w:r>
    </w:p>
    <w:p w14:paraId="2CF1917D" w14:textId="2DFE92A4" w:rsidR="00D44DCC" w:rsidRPr="002C1E2B" w:rsidRDefault="00D44DCC" w:rsidP="007B2C64">
      <w:pPr>
        <w:pStyle w:val="Caption"/>
        <w:spacing w:after="120"/>
      </w:pPr>
      <w:r w:rsidRPr="002C1E2B">
        <w:t xml:space="preserve">Table </w:t>
      </w:r>
      <w:r w:rsidRPr="002C1E2B">
        <w:fldChar w:fldCharType="begin"/>
      </w:r>
      <w:r w:rsidRPr="002C1E2B">
        <w:instrText xml:space="preserve"> STYLEREF 1 \s </w:instrText>
      </w:r>
      <w:r w:rsidRPr="002C1E2B">
        <w:fldChar w:fldCharType="separate"/>
      </w:r>
      <w:r w:rsidR="00BE6CE4">
        <w:rPr>
          <w:noProof/>
        </w:rPr>
        <w:t>5</w:t>
      </w:r>
      <w:r w:rsidRPr="002C1E2B">
        <w:fldChar w:fldCharType="end"/>
      </w:r>
      <w:r w:rsidRPr="002C1E2B">
        <w:t>.</w:t>
      </w:r>
      <w:r w:rsidRPr="002C1E2B">
        <w:fldChar w:fldCharType="begin"/>
      </w:r>
      <w:r w:rsidRPr="002C1E2B">
        <w:instrText xml:space="preserve"> SEQ Table \* ARABIC \s 1 </w:instrText>
      </w:r>
      <w:r w:rsidRPr="002C1E2B">
        <w:fldChar w:fldCharType="separate"/>
      </w:r>
      <w:r w:rsidR="00BE6CE4">
        <w:rPr>
          <w:noProof/>
        </w:rPr>
        <w:t>7</w:t>
      </w:r>
      <w:r w:rsidRPr="002C1E2B">
        <w:fldChar w:fldCharType="end"/>
      </w:r>
      <w:r w:rsidRPr="002C1E2B">
        <w:t xml:space="preserve"> </w:t>
      </w:r>
      <w:r w:rsidR="007B2C64" w:rsidRPr="002C1E2B">
        <w:t>–</w:t>
      </w:r>
      <w:r w:rsidRPr="002C1E2B">
        <w:t xml:space="preserve"> Option 3: Financial impacts on residents and village</w:t>
      </w:r>
      <w:r w:rsidR="008B362D">
        <w:t xml:space="preserve"> operator</w:t>
      </w:r>
      <w:r w:rsidRPr="002C1E2B">
        <w:t>s – per resident</w:t>
      </w:r>
    </w:p>
    <w:tbl>
      <w:tblPr>
        <w:tblStyle w:val="OW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9"/>
        <w:gridCol w:w="1904"/>
        <w:gridCol w:w="1904"/>
      </w:tblGrid>
      <w:tr w:rsidR="00D44DCC" w:rsidRPr="002C1E2B" w14:paraId="331A516F" w14:textId="77777777" w:rsidTr="00D44DCC">
        <w:trPr>
          <w:cnfStyle w:val="100000000000" w:firstRow="1" w:lastRow="0" w:firstColumn="0" w:lastColumn="0" w:oddVBand="0" w:evenVBand="0" w:oddHBand="0" w:evenHBand="0" w:firstRowFirstColumn="0" w:firstRowLastColumn="0" w:lastRowFirstColumn="0" w:lastRowLastColumn="0"/>
        </w:trPr>
        <w:tc>
          <w:tcPr>
            <w:tcW w:w="2888"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F497D" w:themeFill="text2"/>
          </w:tcPr>
          <w:p w14:paraId="4A673A4E" w14:textId="77777777" w:rsidR="00D44DCC" w:rsidRPr="002C1E2B" w:rsidRDefault="00D44DCC" w:rsidP="00D44DCC">
            <w:pPr>
              <w:pStyle w:val="BodyText"/>
              <w:spacing w:before="60" w:after="60"/>
              <w:rPr>
                <w:rFonts w:ascii="Calibri" w:hAnsi="Calibri"/>
                <w:b/>
                <w:color w:val="FFFFFF" w:themeColor="background1"/>
                <w:sz w:val="20"/>
                <w:szCs w:val="20"/>
              </w:rPr>
            </w:pPr>
            <w:r w:rsidRPr="002C1E2B">
              <w:rPr>
                <w:rFonts w:ascii="Calibri" w:hAnsi="Calibri"/>
                <w:b/>
                <w:color w:val="FFFFFF" w:themeColor="background1"/>
                <w:sz w:val="20"/>
                <w:szCs w:val="20"/>
              </w:rPr>
              <w:t>Option 3 impacts - per resident</w:t>
            </w: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F497D" w:themeFill="text2"/>
          </w:tcPr>
          <w:p w14:paraId="7534B0A1" w14:textId="77777777" w:rsidR="00D44DCC" w:rsidRPr="002C1E2B" w:rsidRDefault="00D44DCC" w:rsidP="00D44DCC">
            <w:pPr>
              <w:pStyle w:val="BodyText"/>
              <w:spacing w:before="60" w:after="60"/>
              <w:jc w:val="center"/>
              <w:rPr>
                <w:rFonts w:ascii="Calibri" w:hAnsi="Calibri"/>
                <w:b/>
                <w:color w:val="FFFFFF" w:themeColor="background1"/>
                <w:sz w:val="20"/>
                <w:szCs w:val="20"/>
              </w:rPr>
            </w:pPr>
            <w:r w:rsidRPr="002C1E2B">
              <w:rPr>
                <w:rFonts w:ascii="Calibri" w:hAnsi="Calibri"/>
                <w:b/>
                <w:color w:val="FFFFFF" w:themeColor="background1"/>
                <w:sz w:val="20"/>
                <w:szCs w:val="20"/>
              </w:rPr>
              <w:t>Resident with RAD</w:t>
            </w: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F497D" w:themeFill="text2"/>
          </w:tcPr>
          <w:p w14:paraId="0168F8B8" w14:textId="77777777" w:rsidR="00D44DCC" w:rsidRPr="002C1E2B" w:rsidRDefault="00D44DCC" w:rsidP="00D44DCC">
            <w:pPr>
              <w:pStyle w:val="BodyText"/>
              <w:spacing w:before="60" w:after="60"/>
              <w:jc w:val="center"/>
              <w:rPr>
                <w:rFonts w:ascii="Calibri" w:hAnsi="Calibri"/>
                <w:b/>
                <w:color w:val="FFFFFF" w:themeColor="background1"/>
                <w:sz w:val="20"/>
                <w:szCs w:val="20"/>
              </w:rPr>
            </w:pPr>
            <w:r w:rsidRPr="002C1E2B">
              <w:rPr>
                <w:rFonts w:ascii="Calibri" w:hAnsi="Calibri"/>
                <w:b/>
                <w:color w:val="FFFFFF" w:themeColor="background1"/>
                <w:sz w:val="20"/>
                <w:szCs w:val="20"/>
              </w:rPr>
              <w:t>Resident with DAP</w:t>
            </w:r>
          </w:p>
        </w:tc>
      </w:tr>
      <w:tr w:rsidR="00D44DCC" w:rsidRPr="002C1E2B" w14:paraId="4336186E" w14:textId="77777777" w:rsidTr="00D44DCC">
        <w:trPr>
          <w:cnfStyle w:val="000000100000" w:firstRow="0" w:lastRow="0" w:firstColumn="0" w:lastColumn="0" w:oddVBand="0" w:evenVBand="0" w:oddHBand="1" w:evenHBand="0" w:firstRowFirstColumn="0" w:firstRowLastColumn="0" w:lastRowFirstColumn="0" w:lastRowLastColumn="0"/>
        </w:trPr>
        <w:tc>
          <w:tcPr>
            <w:tcW w:w="2888"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13B2D7B6" w14:textId="77777777" w:rsidR="00D44DCC" w:rsidRPr="002C1E2B" w:rsidRDefault="00D44DCC" w:rsidP="00D44DCC">
            <w:pPr>
              <w:pStyle w:val="BodyText"/>
              <w:spacing w:before="60" w:after="60"/>
              <w:rPr>
                <w:rFonts w:ascii="Calibri" w:hAnsi="Calibri"/>
                <w:sz w:val="20"/>
                <w:szCs w:val="20"/>
              </w:rPr>
            </w:pPr>
            <w:r w:rsidRPr="002C1E2B">
              <w:rPr>
                <w:rFonts w:ascii="Calibri" w:hAnsi="Calibri"/>
                <w:sz w:val="20"/>
                <w:szCs w:val="20"/>
              </w:rPr>
              <w:t>Residents with RAD/DAP</w:t>
            </w: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4F0A0B90"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0%</w:t>
            </w: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4F6A7C79"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100%</w:t>
            </w:r>
          </w:p>
        </w:tc>
      </w:tr>
      <w:tr w:rsidR="00D44DCC" w:rsidRPr="002C1E2B" w14:paraId="7B8E8429" w14:textId="77777777" w:rsidTr="00D44DCC">
        <w:trPr>
          <w:cnfStyle w:val="000000010000" w:firstRow="0" w:lastRow="0" w:firstColumn="0" w:lastColumn="0" w:oddVBand="0" w:evenVBand="0" w:oddHBand="0" w:evenHBand="1" w:firstRowFirstColumn="0" w:firstRowLastColumn="0" w:lastRowFirstColumn="0" w:lastRowLastColumn="0"/>
        </w:trPr>
        <w:tc>
          <w:tcPr>
            <w:tcW w:w="2888"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BE5F1" w:themeFill="accent1" w:themeFillTint="33"/>
          </w:tcPr>
          <w:p w14:paraId="0D541213" w14:textId="77777777" w:rsidR="00D44DCC" w:rsidRPr="002C1E2B" w:rsidRDefault="00D44DCC" w:rsidP="00D44DCC">
            <w:pPr>
              <w:pStyle w:val="BodyText"/>
              <w:spacing w:before="60" w:after="60"/>
              <w:rPr>
                <w:rFonts w:ascii="Calibri" w:hAnsi="Calibri"/>
                <w:b/>
                <w:sz w:val="20"/>
                <w:szCs w:val="20"/>
              </w:rPr>
            </w:pPr>
            <w:r w:rsidRPr="002C1E2B">
              <w:rPr>
                <w:rFonts w:ascii="Calibri" w:hAnsi="Calibri"/>
                <w:b/>
                <w:sz w:val="20"/>
                <w:szCs w:val="20"/>
              </w:rPr>
              <w:t xml:space="preserve">Resident impacts </w:t>
            </w: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BE5F1" w:themeFill="accent1" w:themeFillTint="33"/>
          </w:tcPr>
          <w:p w14:paraId="6D461BC5" w14:textId="77777777" w:rsidR="00D44DCC" w:rsidRPr="002C1E2B" w:rsidRDefault="00D44DCC" w:rsidP="00D44DCC">
            <w:pPr>
              <w:spacing w:before="60" w:after="60"/>
              <w:jc w:val="right"/>
              <w:rPr>
                <w:rFonts w:ascii="Calibri" w:hAnsi="Calibri"/>
                <w:sz w:val="20"/>
                <w:szCs w:val="20"/>
              </w:rPr>
            </w:pP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BE5F1" w:themeFill="accent1" w:themeFillTint="33"/>
          </w:tcPr>
          <w:p w14:paraId="35A44F9A" w14:textId="77777777" w:rsidR="00D44DCC" w:rsidRPr="002C1E2B" w:rsidRDefault="00D44DCC" w:rsidP="00D44DCC">
            <w:pPr>
              <w:spacing w:before="60" w:after="60"/>
              <w:jc w:val="right"/>
              <w:rPr>
                <w:rFonts w:ascii="Calibri" w:hAnsi="Calibri"/>
                <w:sz w:val="20"/>
                <w:szCs w:val="20"/>
              </w:rPr>
            </w:pPr>
          </w:p>
        </w:tc>
      </w:tr>
      <w:tr w:rsidR="00D44DCC" w:rsidRPr="002C1E2B" w14:paraId="541512D7" w14:textId="77777777" w:rsidTr="00D44DCC">
        <w:trPr>
          <w:cnfStyle w:val="000000100000" w:firstRow="0" w:lastRow="0" w:firstColumn="0" w:lastColumn="0" w:oddVBand="0" w:evenVBand="0" w:oddHBand="1" w:evenHBand="0" w:firstRowFirstColumn="0" w:firstRowLastColumn="0" w:lastRowFirstColumn="0" w:lastRowLastColumn="0"/>
        </w:trPr>
        <w:tc>
          <w:tcPr>
            <w:tcW w:w="2888"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5710219" w14:textId="77777777" w:rsidR="00D44DCC" w:rsidRPr="002C1E2B" w:rsidRDefault="00D44DCC" w:rsidP="00D44DCC">
            <w:pPr>
              <w:pStyle w:val="BodyText"/>
              <w:spacing w:before="60" w:after="60"/>
              <w:rPr>
                <w:rFonts w:ascii="Calibri" w:hAnsi="Calibri"/>
                <w:sz w:val="20"/>
                <w:szCs w:val="20"/>
              </w:rPr>
            </w:pPr>
            <w:r w:rsidRPr="002C1E2B">
              <w:rPr>
                <w:rFonts w:ascii="Calibri" w:hAnsi="Calibri"/>
                <w:sz w:val="20"/>
                <w:szCs w:val="20"/>
              </w:rPr>
              <w:t>Aged care costs</w:t>
            </w: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B6A2D74"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N/A</w:t>
            </w: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35EBA12"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0</w:t>
            </w:r>
          </w:p>
        </w:tc>
      </w:tr>
      <w:tr w:rsidR="00D44DCC" w:rsidRPr="002C1E2B" w14:paraId="5CA99410" w14:textId="77777777" w:rsidTr="00D44DCC">
        <w:trPr>
          <w:cnfStyle w:val="000000010000" w:firstRow="0" w:lastRow="0" w:firstColumn="0" w:lastColumn="0" w:oddVBand="0" w:evenVBand="0" w:oddHBand="0" w:evenHBand="1" w:firstRowFirstColumn="0" w:firstRowLastColumn="0" w:lastRowFirstColumn="0" w:lastRowLastColumn="0"/>
        </w:trPr>
        <w:tc>
          <w:tcPr>
            <w:tcW w:w="2888"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78094D3" w14:textId="77777777" w:rsidR="00D44DCC" w:rsidRPr="002C1E2B" w:rsidRDefault="00D44DCC" w:rsidP="00D44DCC">
            <w:pPr>
              <w:pStyle w:val="BodyText"/>
              <w:spacing w:before="60" w:after="60"/>
              <w:rPr>
                <w:rFonts w:ascii="Calibri" w:hAnsi="Calibri"/>
                <w:sz w:val="20"/>
                <w:szCs w:val="20"/>
              </w:rPr>
            </w:pPr>
            <w:r w:rsidRPr="002C1E2B">
              <w:rPr>
                <w:rFonts w:ascii="Calibri" w:hAnsi="Calibri"/>
                <w:sz w:val="20"/>
                <w:szCs w:val="20"/>
              </w:rPr>
              <w:t>Interest costs</w:t>
            </w: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ADA50E0"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N/A</w:t>
            </w: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45D5C46"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0</w:t>
            </w:r>
          </w:p>
        </w:tc>
      </w:tr>
      <w:tr w:rsidR="00D44DCC" w:rsidRPr="002C1E2B" w14:paraId="47CE5A6F" w14:textId="77777777" w:rsidTr="00D44DCC">
        <w:trPr>
          <w:cnfStyle w:val="000000100000" w:firstRow="0" w:lastRow="0" w:firstColumn="0" w:lastColumn="0" w:oddVBand="0" w:evenVBand="0" w:oddHBand="1" w:evenHBand="0" w:firstRowFirstColumn="0" w:firstRowLastColumn="0" w:lastRowFirstColumn="0" w:lastRowLastColumn="0"/>
        </w:trPr>
        <w:tc>
          <w:tcPr>
            <w:tcW w:w="2888"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0A21136" w14:textId="77777777" w:rsidR="00D44DCC" w:rsidRPr="002C1E2B" w:rsidRDefault="00D44DCC" w:rsidP="00D44DCC">
            <w:pPr>
              <w:pStyle w:val="BodyText"/>
              <w:spacing w:before="60" w:after="60"/>
              <w:rPr>
                <w:rFonts w:ascii="Calibri" w:hAnsi="Calibri"/>
                <w:sz w:val="20"/>
                <w:szCs w:val="20"/>
              </w:rPr>
            </w:pPr>
            <w:r w:rsidRPr="002C1E2B">
              <w:rPr>
                <w:rFonts w:ascii="Calibri" w:hAnsi="Calibri"/>
                <w:sz w:val="20"/>
                <w:szCs w:val="20"/>
              </w:rPr>
              <w:t>Deductions from entitlement</w:t>
            </w: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47B37EF"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N/A</w:t>
            </w: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61D9447"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-13,038</w:t>
            </w:r>
          </w:p>
        </w:tc>
      </w:tr>
      <w:tr w:rsidR="00D44DCC" w:rsidRPr="002C1E2B" w14:paraId="03568919" w14:textId="77777777" w:rsidTr="00D44DCC">
        <w:trPr>
          <w:cnfStyle w:val="000000010000" w:firstRow="0" w:lastRow="0" w:firstColumn="0" w:lastColumn="0" w:oddVBand="0" w:evenVBand="0" w:oddHBand="0" w:evenHBand="1" w:firstRowFirstColumn="0" w:firstRowLastColumn="0" w:lastRowFirstColumn="0" w:lastRowLastColumn="0"/>
        </w:trPr>
        <w:tc>
          <w:tcPr>
            <w:tcW w:w="2888"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2F2" w:themeFill="background1" w:themeFillShade="F2"/>
          </w:tcPr>
          <w:p w14:paraId="52702AB7" w14:textId="77777777" w:rsidR="00D44DCC" w:rsidRPr="002C1E2B" w:rsidRDefault="00D44DCC" w:rsidP="00D44DCC">
            <w:pPr>
              <w:pStyle w:val="BodyText"/>
              <w:spacing w:before="60" w:after="60"/>
              <w:rPr>
                <w:rFonts w:ascii="Calibri" w:hAnsi="Calibri"/>
                <w:b/>
                <w:sz w:val="20"/>
                <w:szCs w:val="20"/>
              </w:rPr>
            </w:pPr>
            <w:r w:rsidRPr="002C1E2B">
              <w:rPr>
                <w:rFonts w:ascii="Calibri" w:hAnsi="Calibri"/>
                <w:b/>
                <w:sz w:val="20"/>
                <w:szCs w:val="20"/>
              </w:rPr>
              <w:t>Total costs</w:t>
            </w: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2F2" w:themeFill="background1" w:themeFillShade="F2"/>
          </w:tcPr>
          <w:p w14:paraId="342398E1" w14:textId="77777777" w:rsidR="00D44DCC" w:rsidRPr="002C1E2B" w:rsidRDefault="00D44DCC" w:rsidP="00D44DCC">
            <w:pPr>
              <w:spacing w:before="60" w:after="60"/>
              <w:jc w:val="right"/>
              <w:rPr>
                <w:rFonts w:ascii="Calibri" w:hAnsi="Calibri"/>
                <w:b/>
                <w:sz w:val="20"/>
                <w:szCs w:val="20"/>
              </w:rPr>
            </w:pPr>
            <w:r w:rsidRPr="002C1E2B">
              <w:rPr>
                <w:rFonts w:ascii="Calibri" w:hAnsi="Calibri"/>
                <w:b/>
                <w:sz w:val="20"/>
                <w:szCs w:val="20"/>
              </w:rPr>
              <w:t>N/A</w:t>
            </w: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2F2" w:themeFill="background1" w:themeFillShade="F2"/>
          </w:tcPr>
          <w:p w14:paraId="54ACC6E1" w14:textId="77777777" w:rsidR="00D44DCC" w:rsidRPr="002C1E2B" w:rsidRDefault="00D44DCC" w:rsidP="00D44DCC">
            <w:pPr>
              <w:spacing w:before="60" w:after="60"/>
              <w:jc w:val="right"/>
              <w:rPr>
                <w:rFonts w:ascii="Calibri" w:hAnsi="Calibri"/>
                <w:b/>
                <w:sz w:val="20"/>
                <w:szCs w:val="20"/>
              </w:rPr>
            </w:pPr>
            <w:r w:rsidRPr="002C1E2B">
              <w:rPr>
                <w:rFonts w:ascii="Calibri" w:hAnsi="Calibri"/>
                <w:b/>
                <w:sz w:val="20"/>
                <w:szCs w:val="20"/>
              </w:rPr>
              <w:t>-13,038</w:t>
            </w:r>
          </w:p>
        </w:tc>
      </w:tr>
      <w:tr w:rsidR="00D44DCC" w:rsidRPr="002C1E2B" w14:paraId="0D91DA64" w14:textId="77777777" w:rsidTr="00D44DCC">
        <w:trPr>
          <w:cnfStyle w:val="000000100000" w:firstRow="0" w:lastRow="0" w:firstColumn="0" w:lastColumn="0" w:oddVBand="0" w:evenVBand="0" w:oddHBand="1" w:evenHBand="0" w:firstRowFirstColumn="0" w:firstRowLastColumn="0" w:lastRowFirstColumn="0" w:lastRowLastColumn="0"/>
        </w:trPr>
        <w:tc>
          <w:tcPr>
            <w:tcW w:w="2888"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BE5F1" w:themeFill="accent1" w:themeFillTint="33"/>
          </w:tcPr>
          <w:p w14:paraId="29D63204" w14:textId="77777777" w:rsidR="00D44DCC" w:rsidRPr="002C1E2B" w:rsidRDefault="00D44DCC" w:rsidP="00D44DCC">
            <w:pPr>
              <w:pStyle w:val="BodyText"/>
              <w:spacing w:before="60" w:after="60"/>
              <w:rPr>
                <w:rFonts w:ascii="Calibri" w:hAnsi="Calibri"/>
                <w:b/>
                <w:sz w:val="20"/>
                <w:szCs w:val="20"/>
              </w:rPr>
            </w:pPr>
            <w:r w:rsidRPr="002C1E2B">
              <w:rPr>
                <w:rFonts w:ascii="Calibri" w:hAnsi="Calibri"/>
                <w:b/>
                <w:sz w:val="20"/>
                <w:szCs w:val="20"/>
              </w:rPr>
              <w:t xml:space="preserve">Retirement village costs </w:t>
            </w: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BE5F1" w:themeFill="accent1" w:themeFillTint="33"/>
          </w:tcPr>
          <w:p w14:paraId="19498432" w14:textId="77777777" w:rsidR="00D44DCC" w:rsidRPr="002C1E2B" w:rsidRDefault="00D44DCC" w:rsidP="00D44DCC">
            <w:pPr>
              <w:spacing w:before="60" w:after="60"/>
              <w:jc w:val="right"/>
              <w:rPr>
                <w:rFonts w:ascii="Calibri" w:hAnsi="Calibri"/>
                <w:b/>
                <w:sz w:val="20"/>
                <w:szCs w:val="20"/>
              </w:rPr>
            </w:pP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BE5F1" w:themeFill="accent1" w:themeFillTint="33"/>
          </w:tcPr>
          <w:p w14:paraId="3461233E" w14:textId="77777777" w:rsidR="00D44DCC" w:rsidRPr="002C1E2B" w:rsidRDefault="00D44DCC" w:rsidP="00D44DCC">
            <w:pPr>
              <w:spacing w:before="60" w:after="60"/>
              <w:jc w:val="right"/>
              <w:rPr>
                <w:rFonts w:ascii="Calibri" w:hAnsi="Calibri"/>
                <w:b/>
                <w:sz w:val="20"/>
                <w:szCs w:val="20"/>
              </w:rPr>
            </w:pPr>
          </w:p>
        </w:tc>
      </w:tr>
      <w:tr w:rsidR="00D44DCC" w:rsidRPr="002C1E2B" w14:paraId="5F9FE0D3" w14:textId="77777777" w:rsidTr="00D44DCC">
        <w:trPr>
          <w:cnfStyle w:val="000000010000" w:firstRow="0" w:lastRow="0" w:firstColumn="0" w:lastColumn="0" w:oddVBand="0" w:evenVBand="0" w:oddHBand="0" w:evenHBand="1" w:firstRowFirstColumn="0" w:firstRowLastColumn="0" w:lastRowFirstColumn="0" w:lastRowLastColumn="0"/>
        </w:trPr>
        <w:tc>
          <w:tcPr>
            <w:tcW w:w="2888"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F73F224" w14:textId="77777777" w:rsidR="00D44DCC" w:rsidRPr="002C1E2B" w:rsidRDefault="00D44DCC" w:rsidP="00D44DCC">
            <w:pPr>
              <w:pStyle w:val="BodyText"/>
              <w:spacing w:before="60" w:after="60"/>
              <w:rPr>
                <w:rFonts w:ascii="Calibri" w:hAnsi="Calibri"/>
                <w:sz w:val="20"/>
                <w:szCs w:val="20"/>
              </w:rPr>
            </w:pPr>
            <w:r w:rsidRPr="002C1E2B">
              <w:rPr>
                <w:rFonts w:ascii="Calibri" w:hAnsi="Calibri"/>
                <w:sz w:val="20"/>
                <w:szCs w:val="20"/>
              </w:rPr>
              <w:t>Aged care costs</w:t>
            </w: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E1D1151"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N/A</w:t>
            </w: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C2E19C9"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-13,038</w:t>
            </w:r>
          </w:p>
        </w:tc>
      </w:tr>
      <w:tr w:rsidR="00D44DCC" w:rsidRPr="002C1E2B" w14:paraId="5179868A" w14:textId="77777777" w:rsidTr="00D44DCC">
        <w:trPr>
          <w:cnfStyle w:val="000000100000" w:firstRow="0" w:lastRow="0" w:firstColumn="0" w:lastColumn="0" w:oddVBand="0" w:evenVBand="0" w:oddHBand="1" w:evenHBand="0" w:firstRowFirstColumn="0" w:firstRowLastColumn="0" w:lastRowFirstColumn="0" w:lastRowLastColumn="0"/>
        </w:trPr>
        <w:tc>
          <w:tcPr>
            <w:tcW w:w="2888"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380F052" w14:textId="77777777" w:rsidR="00D44DCC" w:rsidRPr="002C1E2B" w:rsidRDefault="00D44DCC" w:rsidP="00D44DCC">
            <w:pPr>
              <w:pStyle w:val="BodyText"/>
              <w:spacing w:before="60" w:after="60"/>
              <w:rPr>
                <w:rFonts w:ascii="Calibri" w:hAnsi="Calibri"/>
                <w:sz w:val="20"/>
                <w:szCs w:val="20"/>
              </w:rPr>
            </w:pPr>
            <w:r w:rsidRPr="002C1E2B">
              <w:rPr>
                <w:rFonts w:ascii="Calibri" w:hAnsi="Calibri"/>
                <w:sz w:val="20"/>
                <w:szCs w:val="20"/>
              </w:rPr>
              <w:t>Interest costs on exit entitlement</w:t>
            </w: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4904252"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N/A</w:t>
            </w: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D4D1709"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-312</w:t>
            </w:r>
          </w:p>
        </w:tc>
      </w:tr>
      <w:tr w:rsidR="00D44DCC" w:rsidRPr="002C1E2B" w14:paraId="60C99F49" w14:textId="77777777" w:rsidTr="00D44DCC">
        <w:trPr>
          <w:cnfStyle w:val="000000010000" w:firstRow="0" w:lastRow="0" w:firstColumn="0" w:lastColumn="0" w:oddVBand="0" w:evenVBand="0" w:oddHBand="0" w:evenHBand="1" w:firstRowFirstColumn="0" w:firstRowLastColumn="0" w:lastRowFirstColumn="0" w:lastRowLastColumn="0"/>
        </w:trPr>
        <w:tc>
          <w:tcPr>
            <w:tcW w:w="2888"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E2B46E8" w14:textId="77777777" w:rsidR="00D44DCC" w:rsidRPr="002C1E2B" w:rsidRDefault="00D44DCC" w:rsidP="00D44DCC">
            <w:pPr>
              <w:pStyle w:val="BodyText"/>
              <w:spacing w:before="60" w:after="60"/>
              <w:rPr>
                <w:rFonts w:ascii="Calibri" w:hAnsi="Calibri"/>
                <w:sz w:val="20"/>
                <w:szCs w:val="20"/>
              </w:rPr>
            </w:pPr>
            <w:r w:rsidRPr="002C1E2B">
              <w:rPr>
                <w:rFonts w:ascii="Calibri" w:hAnsi="Calibri"/>
                <w:sz w:val="20"/>
                <w:szCs w:val="20"/>
              </w:rPr>
              <w:t xml:space="preserve">Final exit entitlement </w:t>
            </w: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D4C05E7"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N/A</w:t>
            </w: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88B3DAC" w14:textId="77777777" w:rsidR="00D44DCC" w:rsidRPr="002C1E2B" w:rsidRDefault="00D44DCC" w:rsidP="00D44DCC">
            <w:pPr>
              <w:spacing w:before="60" w:after="60"/>
              <w:jc w:val="right"/>
              <w:rPr>
                <w:rFonts w:ascii="Calibri" w:hAnsi="Calibri"/>
                <w:b/>
                <w:sz w:val="20"/>
                <w:szCs w:val="20"/>
              </w:rPr>
            </w:pPr>
            <w:r w:rsidRPr="002C1E2B">
              <w:rPr>
                <w:rFonts w:ascii="Calibri" w:hAnsi="Calibri"/>
                <w:sz w:val="20"/>
                <w:szCs w:val="20"/>
              </w:rPr>
              <w:t>258,700</w:t>
            </w:r>
          </w:p>
        </w:tc>
      </w:tr>
      <w:tr w:rsidR="00D44DCC" w:rsidRPr="002C1E2B" w14:paraId="6A7A1A87" w14:textId="77777777" w:rsidTr="00D44DCC">
        <w:trPr>
          <w:cnfStyle w:val="000000100000" w:firstRow="0" w:lastRow="0" w:firstColumn="0" w:lastColumn="0" w:oddVBand="0" w:evenVBand="0" w:oddHBand="1" w:evenHBand="0" w:firstRowFirstColumn="0" w:firstRowLastColumn="0" w:lastRowFirstColumn="0" w:lastRowLastColumn="0"/>
        </w:trPr>
        <w:tc>
          <w:tcPr>
            <w:tcW w:w="2888"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1F0AF61" w14:textId="77777777" w:rsidR="00D44DCC" w:rsidRPr="002C1E2B" w:rsidRDefault="00D44DCC" w:rsidP="00D44DCC">
            <w:pPr>
              <w:pStyle w:val="BodyText"/>
              <w:spacing w:before="60" w:after="60"/>
              <w:rPr>
                <w:rFonts w:ascii="Calibri" w:hAnsi="Calibri"/>
                <w:sz w:val="20"/>
                <w:szCs w:val="20"/>
              </w:rPr>
            </w:pPr>
            <w:r w:rsidRPr="002C1E2B">
              <w:rPr>
                <w:rFonts w:ascii="Calibri" w:hAnsi="Calibri"/>
                <w:sz w:val="20"/>
                <w:szCs w:val="20"/>
              </w:rPr>
              <w:t>Exit entitlement paid to resident</w:t>
            </w: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984D960"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N/A</w:t>
            </w: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8944077"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-245,662</w:t>
            </w:r>
          </w:p>
        </w:tc>
      </w:tr>
      <w:tr w:rsidR="00D44DCC" w:rsidRPr="002C1E2B" w14:paraId="4004FC9D" w14:textId="77777777" w:rsidTr="00D44DCC">
        <w:trPr>
          <w:cnfStyle w:val="000000010000" w:firstRow="0" w:lastRow="0" w:firstColumn="0" w:lastColumn="0" w:oddVBand="0" w:evenVBand="0" w:oddHBand="0" w:evenHBand="1" w:firstRowFirstColumn="0" w:firstRowLastColumn="0" w:lastRowFirstColumn="0" w:lastRowLastColumn="0"/>
        </w:trPr>
        <w:tc>
          <w:tcPr>
            <w:tcW w:w="2888"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2F2" w:themeFill="background1" w:themeFillShade="F2"/>
          </w:tcPr>
          <w:p w14:paraId="69588C46" w14:textId="77777777" w:rsidR="00D44DCC" w:rsidRPr="002C1E2B" w:rsidRDefault="00D44DCC" w:rsidP="00D44DCC">
            <w:pPr>
              <w:pStyle w:val="BodyText"/>
              <w:spacing w:before="60" w:after="60"/>
              <w:rPr>
                <w:rFonts w:ascii="Calibri" w:hAnsi="Calibri"/>
                <w:b/>
                <w:sz w:val="20"/>
                <w:szCs w:val="20"/>
              </w:rPr>
            </w:pPr>
            <w:r w:rsidRPr="002C1E2B">
              <w:rPr>
                <w:rFonts w:ascii="Calibri" w:hAnsi="Calibri"/>
                <w:b/>
                <w:sz w:val="20"/>
                <w:szCs w:val="20"/>
              </w:rPr>
              <w:t>Total costs</w:t>
            </w: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2F2" w:themeFill="background1" w:themeFillShade="F2"/>
          </w:tcPr>
          <w:p w14:paraId="050A5477" w14:textId="77777777" w:rsidR="00D44DCC" w:rsidRPr="002C1E2B" w:rsidRDefault="00D44DCC" w:rsidP="00D44DCC">
            <w:pPr>
              <w:spacing w:before="60" w:after="60"/>
              <w:jc w:val="right"/>
              <w:rPr>
                <w:rFonts w:ascii="Calibri" w:hAnsi="Calibri"/>
                <w:b/>
                <w:sz w:val="20"/>
                <w:szCs w:val="20"/>
              </w:rPr>
            </w:pPr>
            <w:r w:rsidRPr="002C1E2B">
              <w:rPr>
                <w:rFonts w:ascii="Calibri" w:hAnsi="Calibri"/>
                <w:sz w:val="20"/>
                <w:szCs w:val="20"/>
              </w:rPr>
              <w:t>N/A</w:t>
            </w:r>
          </w:p>
        </w:tc>
        <w:tc>
          <w:tcPr>
            <w:tcW w:w="1056"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2F2" w:themeFill="background1" w:themeFillShade="F2"/>
          </w:tcPr>
          <w:p w14:paraId="78571672" w14:textId="77777777" w:rsidR="00D44DCC" w:rsidRPr="002C1E2B" w:rsidRDefault="00D44DCC" w:rsidP="00D44DCC">
            <w:pPr>
              <w:spacing w:before="60" w:after="60"/>
              <w:jc w:val="right"/>
              <w:rPr>
                <w:rFonts w:ascii="Calibri" w:hAnsi="Calibri"/>
                <w:b/>
                <w:sz w:val="20"/>
                <w:szCs w:val="20"/>
              </w:rPr>
            </w:pPr>
            <w:r w:rsidRPr="002C1E2B">
              <w:rPr>
                <w:rFonts w:ascii="Calibri" w:hAnsi="Calibri"/>
                <w:b/>
                <w:sz w:val="20"/>
                <w:szCs w:val="20"/>
              </w:rPr>
              <w:t>-312</w:t>
            </w:r>
          </w:p>
        </w:tc>
      </w:tr>
    </w:tbl>
    <w:p w14:paraId="1A5BEDC7" w14:textId="77777777" w:rsidR="00D44DCC" w:rsidRPr="002C1E2B" w:rsidRDefault="00D44DCC" w:rsidP="00D44DCC">
      <w:pPr>
        <w:pStyle w:val="Caption"/>
        <w:spacing w:after="120"/>
      </w:pPr>
      <w:r w:rsidRPr="002C1E2B">
        <w:lastRenderedPageBreak/>
        <w:t xml:space="preserve">Table </w:t>
      </w:r>
      <w:r w:rsidRPr="002C1E2B">
        <w:fldChar w:fldCharType="begin"/>
      </w:r>
      <w:r w:rsidRPr="002C1E2B">
        <w:instrText xml:space="preserve"> STYLEREF 1 \s </w:instrText>
      </w:r>
      <w:r w:rsidRPr="002C1E2B">
        <w:fldChar w:fldCharType="separate"/>
      </w:r>
      <w:r w:rsidR="00BE6CE4">
        <w:rPr>
          <w:noProof/>
        </w:rPr>
        <w:t>5</w:t>
      </w:r>
      <w:r w:rsidRPr="002C1E2B">
        <w:fldChar w:fldCharType="end"/>
      </w:r>
      <w:r w:rsidRPr="002C1E2B">
        <w:t>.</w:t>
      </w:r>
      <w:r w:rsidRPr="002C1E2B">
        <w:fldChar w:fldCharType="begin"/>
      </w:r>
      <w:r w:rsidRPr="002C1E2B">
        <w:instrText xml:space="preserve"> SEQ Table \* ARABIC \s 1 </w:instrText>
      </w:r>
      <w:r w:rsidRPr="002C1E2B">
        <w:fldChar w:fldCharType="separate"/>
      </w:r>
      <w:r w:rsidR="00BE6CE4">
        <w:rPr>
          <w:noProof/>
        </w:rPr>
        <w:t>8</w:t>
      </w:r>
      <w:r w:rsidRPr="002C1E2B">
        <w:fldChar w:fldCharType="end"/>
      </w:r>
      <w:r w:rsidRPr="002C1E2B">
        <w:t xml:space="preserve"> - Option 3: Financial impacts on residents and villages – total for sector relative to base case</w:t>
      </w:r>
    </w:p>
    <w:tbl>
      <w:tblPr>
        <w:tblStyle w:val="OW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0"/>
        <w:gridCol w:w="1573"/>
        <w:gridCol w:w="1573"/>
        <w:gridCol w:w="1571"/>
      </w:tblGrid>
      <w:tr w:rsidR="00D44DCC" w:rsidRPr="002C1E2B" w14:paraId="449C2BF9" w14:textId="77777777" w:rsidTr="00D44DCC">
        <w:trPr>
          <w:cnfStyle w:val="100000000000" w:firstRow="1" w:lastRow="0" w:firstColumn="0" w:lastColumn="0" w:oddVBand="0" w:evenVBand="0" w:oddHBand="0" w:evenHBand="0" w:firstRowFirstColumn="0" w:firstRowLastColumn="0" w:lastRowFirstColumn="0" w:lastRowLastColumn="0"/>
        </w:trPr>
        <w:tc>
          <w:tcPr>
            <w:tcW w:w="238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F497D" w:themeFill="text2"/>
          </w:tcPr>
          <w:p w14:paraId="53BD9D7E" w14:textId="77777777" w:rsidR="00D44DCC" w:rsidRPr="002C1E2B" w:rsidRDefault="00D44DCC" w:rsidP="00D44DCC">
            <w:pPr>
              <w:pStyle w:val="BodyText"/>
              <w:spacing w:before="60" w:after="60"/>
              <w:rPr>
                <w:rFonts w:ascii="Calibri" w:hAnsi="Calibri"/>
                <w:b/>
                <w:color w:val="FFFFFF" w:themeColor="background1"/>
                <w:sz w:val="20"/>
                <w:szCs w:val="20"/>
              </w:rPr>
            </w:pPr>
            <w:r w:rsidRPr="002C1E2B">
              <w:rPr>
                <w:rFonts w:ascii="Calibri" w:hAnsi="Calibri"/>
                <w:b/>
                <w:color w:val="FFFFFF" w:themeColor="background1"/>
                <w:sz w:val="20"/>
                <w:szCs w:val="20"/>
              </w:rPr>
              <w:t>Option 3 impacts – total for sector</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F497D" w:themeFill="text2"/>
          </w:tcPr>
          <w:p w14:paraId="2C4FDF70" w14:textId="77777777" w:rsidR="00D44DCC" w:rsidRPr="002C1E2B" w:rsidRDefault="00D44DCC" w:rsidP="00D44DCC">
            <w:pPr>
              <w:pStyle w:val="BodyText"/>
              <w:spacing w:before="60" w:after="60"/>
              <w:jc w:val="center"/>
              <w:rPr>
                <w:rFonts w:ascii="Calibri" w:hAnsi="Calibri"/>
                <w:b/>
                <w:color w:val="FFFFFF" w:themeColor="background1"/>
                <w:sz w:val="20"/>
                <w:szCs w:val="20"/>
              </w:rPr>
            </w:pPr>
            <w:r w:rsidRPr="002C1E2B">
              <w:rPr>
                <w:rFonts w:ascii="Calibri" w:hAnsi="Calibri"/>
                <w:b/>
                <w:color w:val="FFFFFF" w:themeColor="background1"/>
                <w:sz w:val="20"/>
                <w:szCs w:val="20"/>
              </w:rPr>
              <w:t>2018</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F497D" w:themeFill="text2"/>
          </w:tcPr>
          <w:p w14:paraId="0F3B9E69" w14:textId="77777777" w:rsidR="00D44DCC" w:rsidRPr="002C1E2B" w:rsidRDefault="00D44DCC" w:rsidP="00D44DCC">
            <w:pPr>
              <w:pStyle w:val="BodyText"/>
              <w:spacing w:before="60" w:after="60"/>
              <w:jc w:val="center"/>
              <w:rPr>
                <w:rFonts w:ascii="Calibri" w:hAnsi="Calibri"/>
                <w:b/>
                <w:color w:val="FFFFFF" w:themeColor="background1"/>
                <w:sz w:val="20"/>
                <w:szCs w:val="20"/>
              </w:rPr>
            </w:pPr>
            <w:r w:rsidRPr="002C1E2B">
              <w:rPr>
                <w:rFonts w:ascii="Calibri" w:hAnsi="Calibri"/>
                <w:b/>
                <w:color w:val="FFFFFF" w:themeColor="background1"/>
                <w:sz w:val="20"/>
                <w:szCs w:val="20"/>
              </w:rPr>
              <w:t>2037</w:t>
            </w:r>
          </w:p>
        </w:tc>
        <w:tc>
          <w:tcPr>
            <w:tcW w:w="87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F497D" w:themeFill="text2"/>
          </w:tcPr>
          <w:p w14:paraId="7D38E9FF" w14:textId="77777777" w:rsidR="00D44DCC" w:rsidRPr="002C1E2B" w:rsidRDefault="00D44DCC" w:rsidP="00D44DCC">
            <w:pPr>
              <w:pStyle w:val="BodyText"/>
              <w:spacing w:before="60" w:after="60"/>
              <w:jc w:val="center"/>
              <w:rPr>
                <w:rFonts w:ascii="Calibri" w:hAnsi="Calibri"/>
                <w:b/>
                <w:color w:val="FFFFFF" w:themeColor="background1"/>
                <w:sz w:val="20"/>
                <w:szCs w:val="20"/>
              </w:rPr>
            </w:pPr>
            <w:r w:rsidRPr="002C1E2B">
              <w:rPr>
                <w:rFonts w:ascii="Calibri" w:hAnsi="Calibri"/>
                <w:b/>
                <w:color w:val="FFFFFF" w:themeColor="background1"/>
                <w:sz w:val="20"/>
                <w:szCs w:val="20"/>
              </w:rPr>
              <w:t>Average</w:t>
            </w:r>
          </w:p>
          <w:p w14:paraId="0B75E343" w14:textId="77777777" w:rsidR="00D44DCC" w:rsidRPr="002C1E2B" w:rsidRDefault="00D44DCC" w:rsidP="00D44DCC">
            <w:pPr>
              <w:pStyle w:val="BodyText"/>
              <w:spacing w:before="60" w:after="60"/>
              <w:jc w:val="center"/>
              <w:rPr>
                <w:rFonts w:ascii="Calibri" w:hAnsi="Calibri"/>
                <w:b/>
                <w:color w:val="FFFFFF" w:themeColor="background1"/>
                <w:sz w:val="20"/>
                <w:szCs w:val="20"/>
              </w:rPr>
            </w:pPr>
            <w:r w:rsidRPr="002C1E2B">
              <w:rPr>
                <w:rFonts w:ascii="Calibri" w:hAnsi="Calibri"/>
                <w:b/>
                <w:color w:val="FFFFFF" w:themeColor="background1"/>
                <w:sz w:val="20"/>
                <w:szCs w:val="20"/>
              </w:rPr>
              <w:t>(2018 to 2037)</w:t>
            </w:r>
          </w:p>
        </w:tc>
      </w:tr>
      <w:tr w:rsidR="00D44DCC" w:rsidRPr="002C1E2B" w14:paraId="30AD7F89" w14:textId="77777777" w:rsidTr="00D44DCC">
        <w:trPr>
          <w:cnfStyle w:val="000000100000" w:firstRow="0" w:lastRow="0" w:firstColumn="0" w:lastColumn="0" w:oddVBand="0" w:evenVBand="0" w:oddHBand="1" w:evenHBand="0" w:firstRowFirstColumn="0" w:firstRowLastColumn="0" w:lastRowFirstColumn="0" w:lastRowLastColumn="0"/>
        </w:trPr>
        <w:tc>
          <w:tcPr>
            <w:tcW w:w="238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BE5F1" w:themeFill="accent1" w:themeFillTint="33"/>
          </w:tcPr>
          <w:p w14:paraId="364FD6DC" w14:textId="77777777" w:rsidR="00D44DCC" w:rsidRPr="002C1E2B" w:rsidRDefault="00D44DCC" w:rsidP="00D44DCC">
            <w:pPr>
              <w:pStyle w:val="BodyText"/>
              <w:spacing w:before="60" w:after="60"/>
              <w:rPr>
                <w:rFonts w:ascii="Calibri" w:hAnsi="Calibri"/>
                <w:b/>
                <w:sz w:val="20"/>
                <w:szCs w:val="20"/>
              </w:rPr>
            </w:pPr>
            <w:r w:rsidRPr="002C1E2B">
              <w:rPr>
                <w:rFonts w:ascii="Calibri" w:hAnsi="Calibri"/>
                <w:b/>
                <w:sz w:val="20"/>
                <w:szCs w:val="20"/>
              </w:rPr>
              <w:t>Population assumptions</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BE5F1" w:themeFill="accent1" w:themeFillTint="33"/>
          </w:tcPr>
          <w:p w14:paraId="2FF282E0" w14:textId="77777777" w:rsidR="00D44DCC" w:rsidRPr="002C1E2B" w:rsidRDefault="00D44DCC" w:rsidP="00D44DCC">
            <w:pPr>
              <w:spacing w:before="60" w:after="60"/>
              <w:jc w:val="right"/>
              <w:rPr>
                <w:rFonts w:ascii="Calibri" w:hAnsi="Calibri"/>
                <w:sz w:val="20"/>
                <w:szCs w:val="20"/>
              </w:rPr>
            </w:pP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BE5F1" w:themeFill="accent1" w:themeFillTint="33"/>
          </w:tcPr>
          <w:p w14:paraId="059393C2" w14:textId="77777777" w:rsidR="00D44DCC" w:rsidRPr="002C1E2B" w:rsidRDefault="00D44DCC" w:rsidP="00D44DCC">
            <w:pPr>
              <w:spacing w:before="60" w:after="60"/>
              <w:jc w:val="right"/>
              <w:rPr>
                <w:rFonts w:ascii="Calibri" w:hAnsi="Calibri"/>
                <w:sz w:val="20"/>
                <w:szCs w:val="20"/>
              </w:rPr>
            </w:pPr>
          </w:p>
        </w:tc>
        <w:tc>
          <w:tcPr>
            <w:tcW w:w="87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BE5F1" w:themeFill="accent1" w:themeFillTint="33"/>
          </w:tcPr>
          <w:p w14:paraId="09983ECA" w14:textId="77777777" w:rsidR="00D44DCC" w:rsidRPr="002C1E2B" w:rsidRDefault="00D44DCC" w:rsidP="00D44DCC">
            <w:pPr>
              <w:spacing w:before="60" w:after="60"/>
              <w:jc w:val="right"/>
              <w:rPr>
                <w:rFonts w:ascii="Calibri" w:hAnsi="Calibri"/>
                <w:sz w:val="20"/>
                <w:szCs w:val="20"/>
              </w:rPr>
            </w:pPr>
          </w:p>
        </w:tc>
      </w:tr>
      <w:tr w:rsidR="00D44DCC" w:rsidRPr="002C1E2B" w14:paraId="784730B4" w14:textId="77777777" w:rsidTr="007B2C64">
        <w:trPr>
          <w:cnfStyle w:val="000000010000" w:firstRow="0" w:lastRow="0" w:firstColumn="0" w:lastColumn="0" w:oddVBand="0" w:evenVBand="0" w:oddHBand="0" w:evenHBand="1" w:firstRowFirstColumn="0" w:firstRowLastColumn="0" w:lastRowFirstColumn="0" w:lastRowLastColumn="0"/>
        </w:trPr>
        <w:tc>
          <w:tcPr>
            <w:tcW w:w="238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0B026E6F" w14:textId="77777777" w:rsidR="00D44DCC" w:rsidRPr="002C1E2B" w:rsidRDefault="00D44DCC" w:rsidP="00D44DCC">
            <w:pPr>
              <w:spacing w:before="60" w:after="60"/>
              <w:rPr>
                <w:rFonts w:ascii="Calibri" w:hAnsi="Calibri"/>
                <w:sz w:val="20"/>
                <w:szCs w:val="20"/>
              </w:rPr>
            </w:pPr>
            <w:r w:rsidRPr="002C1E2B">
              <w:rPr>
                <w:rFonts w:ascii="Calibri" w:hAnsi="Calibri"/>
                <w:sz w:val="20"/>
                <w:szCs w:val="20"/>
              </w:rPr>
              <w:t>Residents receiving six month rule</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77534C9F"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0</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51AF67B9"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0</w:t>
            </w:r>
          </w:p>
        </w:tc>
        <w:tc>
          <w:tcPr>
            <w:tcW w:w="87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512AF6B4"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0</w:t>
            </w:r>
          </w:p>
        </w:tc>
      </w:tr>
      <w:tr w:rsidR="00D44DCC" w:rsidRPr="002C1E2B" w14:paraId="7906587B" w14:textId="77777777" w:rsidTr="007B2C64">
        <w:trPr>
          <w:cnfStyle w:val="000000100000" w:firstRow="0" w:lastRow="0" w:firstColumn="0" w:lastColumn="0" w:oddVBand="0" w:evenVBand="0" w:oddHBand="1" w:evenHBand="0" w:firstRowFirstColumn="0" w:firstRowLastColumn="0" w:lastRowFirstColumn="0" w:lastRowLastColumn="0"/>
        </w:trPr>
        <w:tc>
          <w:tcPr>
            <w:tcW w:w="238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5E245702" w14:textId="77777777" w:rsidR="00D44DCC" w:rsidRPr="002C1E2B" w:rsidRDefault="00D44DCC" w:rsidP="00D44DCC">
            <w:pPr>
              <w:spacing w:before="60" w:after="60"/>
              <w:rPr>
                <w:rFonts w:ascii="Calibri" w:hAnsi="Calibri"/>
                <w:sz w:val="20"/>
                <w:szCs w:val="20"/>
              </w:rPr>
            </w:pPr>
            <w:r w:rsidRPr="002C1E2B">
              <w:rPr>
                <w:rFonts w:ascii="Calibri" w:hAnsi="Calibri"/>
                <w:sz w:val="20"/>
                <w:szCs w:val="20"/>
              </w:rPr>
              <w:t>Existing residents receiving  RAD based payment</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332ADE0A"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0</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0E94F835"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0</w:t>
            </w:r>
          </w:p>
        </w:tc>
        <w:tc>
          <w:tcPr>
            <w:tcW w:w="87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0402C32D"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0</w:t>
            </w:r>
          </w:p>
        </w:tc>
      </w:tr>
      <w:tr w:rsidR="00D44DCC" w:rsidRPr="002C1E2B" w14:paraId="36DB43FF" w14:textId="77777777" w:rsidTr="007B2C64">
        <w:trPr>
          <w:cnfStyle w:val="000000010000" w:firstRow="0" w:lastRow="0" w:firstColumn="0" w:lastColumn="0" w:oddVBand="0" w:evenVBand="0" w:oddHBand="0" w:evenHBand="1" w:firstRowFirstColumn="0" w:firstRowLastColumn="0" w:lastRowFirstColumn="0" w:lastRowLastColumn="0"/>
        </w:trPr>
        <w:tc>
          <w:tcPr>
            <w:tcW w:w="238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037D5D4D" w14:textId="77777777" w:rsidR="00D44DCC" w:rsidRPr="002C1E2B" w:rsidRDefault="00D44DCC" w:rsidP="00D44DCC">
            <w:pPr>
              <w:spacing w:before="60" w:after="60"/>
              <w:rPr>
                <w:rFonts w:ascii="Calibri" w:hAnsi="Calibri"/>
                <w:sz w:val="20"/>
                <w:szCs w:val="20"/>
              </w:rPr>
            </w:pPr>
            <w:r w:rsidRPr="002C1E2B">
              <w:rPr>
                <w:rFonts w:ascii="Calibri" w:hAnsi="Calibri"/>
                <w:sz w:val="20"/>
                <w:szCs w:val="20"/>
              </w:rPr>
              <w:t>New residents receiving  RAD based payment</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7B70F4C3"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0</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376AD9F9"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0</w:t>
            </w:r>
          </w:p>
        </w:tc>
        <w:tc>
          <w:tcPr>
            <w:tcW w:w="87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1938E5F9"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0</w:t>
            </w:r>
          </w:p>
        </w:tc>
      </w:tr>
      <w:tr w:rsidR="00D44DCC" w:rsidRPr="002C1E2B" w14:paraId="22EAE255" w14:textId="77777777" w:rsidTr="007B2C64">
        <w:trPr>
          <w:cnfStyle w:val="000000100000" w:firstRow="0" w:lastRow="0" w:firstColumn="0" w:lastColumn="0" w:oddVBand="0" w:evenVBand="0" w:oddHBand="1" w:evenHBand="0" w:firstRowFirstColumn="0" w:firstRowLastColumn="0" w:lastRowFirstColumn="0" w:lastRowLastColumn="0"/>
        </w:trPr>
        <w:tc>
          <w:tcPr>
            <w:tcW w:w="238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14CC4C81" w14:textId="77777777" w:rsidR="00D44DCC" w:rsidRPr="002C1E2B" w:rsidRDefault="00D44DCC" w:rsidP="00D44DCC">
            <w:pPr>
              <w:spacing w:before="60" w:after="60"/>
              <w:rPr>
                <w:rFonts w:ascii="Calibri" w:hAnsi="Calibri"/>
                <w:sz w:val="20"/>
                <w:szCs w:val="20"/>
              </w:rPr>
            </w:pPr>
            <w:r w:rsidRPr="002C1E2B">
              <w:rPr>
                <w:rFonts w:ascii="Calibri" w:hAnsi="Calibri"/>
                <w:sz w:val="20"/>
                <w:szCs w:val="20"/>
              </w:rPr>
              <w:t xml:space="preserve">Existing residents receiving DAP based payment </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7C9FB38C"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1,030</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15B7F507"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0</w:t>
            </w:r>
          </w:p>
        </w:tc>
        <w:tc>
          <w:tcPr>
            <w:tcW w:w="87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4D3FC810"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1,106</w:t>
            </w:r>
          </w:p>
        </w:tc>
      </w:tr>
      <w:tr w:rsidR="00D44DCC" w:rsidRPr="002C1E2B" w14:paraId="79188040" w14:textId="77777777" w:rsidTr="007B2C64">
        <w:trPr>
          <w:cnfStyle w:val="000000010000" w:firstRow="0" w:lastRow="0" w:firstColumn="0" w:lastColumn="0" w:oddVBand="0" w:evenVBand="0" w:oddHBand="0" w:evenHBand="1" w:firstRowFirstColumn="0" w:firstRowLastColumn="0" w:lastRowFirstColumn="0" w:lastRowLastColumn="0"/>
        </w:trPr>
        <w:tc>
          <w:tcPr>
            <w:tcW w:w="238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27F9AC86" w14:textId="77777777" w:rsidR="00D44DCC" w:rsidRPr="002C1E2B" w:rsidRDefault="00D44DCC" w:rsidP="00D44DCC">
            <w:pPr>
              <w:spacing w:before="60" w:after="60"/>
              <w:rPr>
                <w:rFonts w:ascii="Calibri" w:hAnsi="Calibri"/>
                <w:sz w:val="20"/>
                <w:szCs w:val="20"/>
              </w:rPr>
            </w:pPr>
            <w:r w:rsidRPr="002C1E2B">
              <w:rPr>
                <w:rFonts w:ascii="Calibri" w:hAnsi="Calibri"/>
                <w:sz w:val="20"/>
                <w:szCs w:val="20"/>
              </w:rPr>
              <w:t xml:space="preserve">New residents receiving DAP based payment </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305C5BC2"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0</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6238FB77"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3,094</w:t>
            </w:r>
          </w:p>
        </w:tc>
        <w:tc>
          <w:tcPr>
            <w:tcW w:w="87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3F13E3D7"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1,263</w:t>
            </w:r>
          </w:p>
        </w:tc>
      </w:tr>
      <w:tr w:rsidR="00D44DCC" w:rsidRPr="002C1E2B" w14:paraId="35CA23E6" w14:textId="77777777" w:rsidTr="00D44DCC">
        <w:trPr>
          <w:cnfStyle w:val="000000100000" w:firstRow="0" w:lastRow="0" w:firstColumn="0" w:lastColumn="0" w:oddVBand="0" w:evenVBand="0" w:oddHBand="1" w:evenHBand="0" w:firstRowFirstColumn="0" w:firstRowLastColumn="0" w:lastRowFirstColumn="0" w:lastRowLastColumn="0"/>
        </w:trPr>
        <w:tc>
          <w:tcPr>
            <w:tcW w:w="238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BE5F1" w:themeFill="accent1" w:themeFillTint="33"/>
          </w:tcPr>
          <w:p w14:paraId="3BFD0C97" w14:textId="77777777" w:rsidR="00D44DCC" w:rsidRPr="002C1E2B" w:rsidRDefault="00D44DCC" w:rsidP="00D44DCC">
            <w:pPr>
              <w:pStyle w:val="BodyText"/>
              <w:spacing w:before="60" w:after="60"/>
              <w:rPr>
                <w:rFonts w:ascii="Calibri" w:hAnsi="Calibri"/>
                <w:b/>
                <w:sz w:val="20"/>
                <w:szCs w:val="20"/>
              </w:rPr>
            </w:pPr>
            <w:r w:rsidRPr="002C1E2B">
              <w:rPr>
                <w:rFonts w:ascii="Calibri" w:hAnsi="Calibri"/>
                <w:b/>
                <w:sz w:val="20"/>
                <w:szCs w:val="20"/>
              </w:rPr>
              <w:t>Cost to residents</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BE5F1" w:themeFill="accent1" w:themeFillTint="33"/>
          </w:tcPr>
          <w:p w14:paraId="75D8C190" w14:textId="77777777" w:rsidR="00D44DCC" w:rsidRPr="002C1E2B" w:rsidRDefault="00D44DCC" w:rsidP="00D44DCC">
            <w:pPr>
              <w:spacing w:before="60" w:after="60"/>
              <w:jc w:val="right"/>
              <w:rPr>
                <w:rFonts w:ascii="Calibri" w:hAnsi="Calibri"/>
                <w:sz w:val="20"/>
                <w:szCs w:val="20"/>
              </w:rPr>
            </w:pP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BE5F1" w:themeFill="accent1" w:themeFillTint="33"/>
          </w:tcPr>
          <w:p w14:paraId="1786A0CF" w14:textId="77777777" w:rsidR="00D44DCC" w:rsidRPr="002C1E2B" w:rsidRDefault="00D44DCC" w:rsidP="00D44DCC">
            <w:pPr>
              <w:spacing w:before="60" w:after="60"/>
              <w:jc w:val="right"/>
              <w:rPr>
                <w:rFonts w:ascii="Calibri" w:hAnsi="Calibri"/>
                <w:sz w:val="20"/>
                <w:szCs w:val="20"/>
              </w:rPr>
            </w:pPr>
          </w:p>
        </w:tc>
        <w:tc>
          <w:tcPr>
            <w:tcW w:w="87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BE5F1" w:themeFill="accent1" w:themeFillTint="33"/>
          </w:tcPr>
          <w:p w14:paraId="22D3E377" w14:textId="77777777" w:rsidR="00D44DCC" w:rsidRPr="002C1E2B" w:rsidRDefault="00D44DCC" w:rsidP="00D44DCC">
            <w:pPr>
              <w:spacing w:before="60" w:after="60"/>
              <w:jc w:val="right"/>
              <w:rPr>
                <w:rFonts w:ascii="Calibri" w:hAnsi="Calibri"/>
                <w:sz w:val="20"/>
                <w:szCs w:val="20"/>
              </w:rPr>
            </w:pPr>
          </w:p>
        </w:tc>
      </w:tr>
      <w:tr w:rsidR="00D44DCC" w:rsidRPr="002C1E2B" w14:paraId="5C1CD761" w14:textId="77777777" w:rsidTr="007B2C64">
        <w:trPr>
          <w:cnfStyle w:val="000000010000" w:firstRow="0" w:lastRow="0" w:firstColumn="0" w:lastColumn="0" w:oddVBand="0" w:evenVBand="0" w:oddHBand="0" w:evenHBand="1" w:firstRowFirstColumn="0" w:firstRowLastColumn="0" w:lastRowFirstColumn="0" w:lastRowLastColumn="0"/>
        </w:trPr>
        <w:tc>
          <w:tcPr>
            <w:tcW w:w="238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26CFF5F7" w14:textId="77777777" w:rsidR="00D44DCC" w:rsidRPr="002C1E2B" w:rsidRDefault="00D44DCC" w:rsidP="00D44DCC">
            <w:pPr>
              <w:pStyle w:val="BodyText"/>
              <w:spacing w:before="60" w:after="60"/>
              <w:rPr>
                <w:rFonts w:ascii="Calibri" w:hAnsi="Calibri"/>
                <w:sz w:val="20"/>
                <w:szCs w:val="20"/>
              </w:rPr>
            </w:pPr>
            <w:r w:rsidRPr="002C1E2B">
              <w:rPr>
                <w:rFonts w:ascii="Calibri" w:hAnsi="Calibri"/>
                <w:sz w:val="20"/>
                <w:szCs w:val="20"/>
              </w:rPr>
              <w:t>Residents receiving six month rule</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131BBC2E"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0</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2A0EF413"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0</w:t>
            </w:r>
          </w:p>
        </w:tc>
        <w:tc>
          <w:tcPr>
            <w:tcW w:w="87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1AB63BB2"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0</w:t>
            </w:r>
          </w:p>
        </w:tc>
      </w:tr>
      <w:tr w:rsidR="00D44DCC" w:rsidRPr="002C1E2B" w14:paraId="568EE91D" w14:textId="77777777" w:rsidTr="007B2C64">
        <w:trPr>
          <w:cnfStyle w:val="000000100000" w:firstRow="0" w:lastRow="0" w:firstColumn="0" w:lastColumn="0" w:oddVBand="0" w:evenVBand="0" w:oddHBand="1" w:evenHBand="0" w:firstRowFirstColumn="0" w:firstRowLastColumn="0" w:lastRowFirstColumn="0" w:lastRowLastColumn="0"/>
        </w:trPr>
        <w:tc>
          <w:tcPr>
            <w:tcW w:w="238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597F9B86" w14:textId="77777777" w:rsidR="00D44DCC" w:rsidRPr="002C1E2B" w:rsidRDefault="00D44DCC" w:rsidP="00D44DCC">
            <w:pPr>
              <w:pStyle w:val="BodyText"/>
              <w:spacing w:before="60" w:after="60"/>
              <w:rPr>
                <w:rFonts w:ascii="Calibri" w:hAnsi="Calibri"/>
                <w:sz w:val="20"/>
                <w:szCs w:val="20"/>
              </w:rPr>
            </w:pPr>
            <w:r w:rsidRPr="002C1E2B">
              <w:rPr>
                <w:rFonts w:ascii="Calibri" w:hAnsi="Calibri"/>
                <w:sz w:val="20"/>
                <w:szCs w:val="20"/>
              </w:rPr>
              <w:t>Residents receiving  RAD based payment</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0F7E441E"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0</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7A07DD9B"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0</w:t>
            </w:r>
          </w:p>
        </w:tc>
        <w:tc>
          <w:tcPr>
            <w:tcW w:w="87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1ACD71AE"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0</w:t>
            </w:r>
          </w:p>
        </w:tc>
      </w:tr>
      <w:tr w:rsidR="00D44DCC" w:rsidRPr="002C1E2B" w14:paraId="56E9EE2F" w14:textId="77777777" w:rsidTr="007B2C64">
        <w:trPr>
          <w:cnfStyle w:val="000000010000" w:firstRow="0" w:lastRow="0" w:firstColumn="0" w:lastColumn="0" w:oddVBand="0" w:evenVBand="0" w:oddHBand="0" w:evenHBand="1" w:firstRowFirstColumn="0" w:firstRowLastColumn="0" w:lastRowFirstColumn="0" w:lastRowLastColumn="0"/>
        </w:trPr>
        <w:tc>
          <w:tcPr>
            <w:tcW w:w="238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4391F39F" w14:textId="77777777" w:rsidR="00D44DCC" w:rsidRPr="002C1E2B" w:rsidRDefault="00D44DCC" w:rsidP="00D44DCC">
            <w:pPr>
              <w:pStyle w:val="BodyText"/>
              <w:spacing w:before="60" w:after="60"/>
              <w:rPr>
                <w:rFonts w:ascii="Calibri" w:hAnsi="Calibri"/>
                <w:sz w:val="20"/>
                <w:szCs w:val="20"/>
              </w:rPr>
            </w:pPr>
            <w:r w:rsidRPr="002C1E2B">
              <w:rPr>
                <w:rFonts w:ascii="Calibri" w:hAnsi="Calibri"/>
                <w:sz w:val="20"/>
                <w:szCs w:val="20"/>
              </w:rPr>
              <w:t xml:space="preserve">Residents receiving DAP based payment </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513BFECA"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+208,660</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05AA7808"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-14,135,653</w:t>
            </w:r>
          </w:p>
        </w:tc>
        <w:tc>
          <w:tcPr>
            <w:tcW w:w="87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77CB8CEA"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-5,546,700</w:t>
            </w:r>
          </w:p>
        </w:tc>
      </w:tr>
      <w:tr w:rsidR="00D44DCC" w:rsidRPr="002C1E2B" w14:paraId="3C059DC8" w14:textId="77777777" w:rsidTr="007B2C64">
        <w:trPr>
          <w:cnfStyle w:val="000000100000" w:firstRow="0" w:lastRow="0" w:firstColumn="0" w:lastColumn="0" w:oddVBand="0" w:evenVBand="0" w:oddHBand="1" w:evenHBand="0" w:firstRowFirstColumn="0" w:firstRowLastColumn="0" w:lastRowFirstColumn="0" w:lastRowLastColumn="0"/>
        </w:trPr>
        <w:tc>
          <w:tcPr>
            <w:tcW w:w="238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6763609B" w14:textId="77777777" w:rsidR="00D44DCC" w:rsidRPr="002C1E2B" w:rsidRDefault="00D44DCC" w:rsidP="00D44DCC">
            <w:pPr>
              <w:pStyle w:val="BodyText"/>
              <w:spacing w:before="60" w:after="60"/>
              <w:rPr>
                <w:rFonts w:ascii="Calibri" w:hAnsi="Calibri"/>
                <w:b/>
                <w:sz w:val="20"/>
                <w:szCs w:val="20"/>
              </w:rPr>
            </w:pPr>
            <w:r w:rsidRPr="002C1E2B">
              <w:rPr>
                <w:rFonts w:ascii="Calibri" w:hAnsi="Calibri"/>
                <w:b/>
                <w:sz w:val="20"/>
                <w:szCs w:val="20"/>
              </w:rPr>
              <w:t>Total cost to residents</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6A7E0AD9" w14:textId="77777777" w:rsidR="00D44DCC" w:rsidRPr="002C1E2B" w:rsidRDefault="00D44DCC" w:rsidP="00D44DCC">
            <w:pPr>
              <w:spacing w:before="60" w:after="60"/>
              <w:jc w:val="right"/>
              <w:rPr>
                <w:rFonts w:ascii="Calibri" w:hAnsi="Calibri"/>
                <w:b/>
                <w:bCs/>
                <w:sz w:val="20"/>
                <w:szCs w:val="20"/>
              </w:rPr>
            </w:pPr>
            <w:r w:rsidRPr="002C1E2B">
              <w:rPr>
                <w:rFonts w:ascii="Calibri" w:hAnsi="Calibri"/>
                <w:b/>
                <w:bCs/>
                <w:sz w:val="20"/>
                <w:szCs w:val="20"/>
              </w:rPr>
              <w:t>+208,660</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0073204C" w14:textId="77777777" w:rsidR="00D44DCC" w:rsidRPr="002C1E2B" w:rsidRDefault="00D44DCC" w:rsidP="00D44DCC">
            <w:pPr>
              <w:spacing w:before="60" w:after="60"/>
              <w:jc w:val="right"/>
              <w:rPr>
                <w:rFonts w:ascii="Calibri" w:hAnsi="Calibri"/>
                <w:b/>
                <w:bCs/>
                <w:sz w:val="20"/>
                <w:szCs w:val="20"/>
              </w:rPr>
            </w:pPr>
            <w:r w:rsidRPr="002C1E2B">
              <w:rPr>
                <w:rFonts w:ascii="Calibri" w:hAnsi="Calibri"/>
                <w:b/>
                <w:bCs/>
                <w:sz w:val="20"/>
                <w:szCs w:val="20"/>
              </w:rPr>
              <w:t>-14,135,653</w:t>
            </w:r>
          </w:p>
        </w:tc>
        <w:tc>
          <w:tcPr>
            <w:tcW w:w="87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5BAAA194" w14:textId="77777777" w:rsidR="00D44DCC" w:rsidRPr="002C1E2B" w:rsidRDefault="00D44DCC" w:rsidP="00D44DCC">
            <w:pPr>
              <w:spacing w:before="60" w:after="60"/>
              <w:jc w:val="right"/>
              <w:rPr>
                <w:rFonts w:ascii="Calibri" w:hAnsi="Calibri"/>
                <w:b/>
                <w:bCs/>
                <w:sz w:val="20"/>
                <w:szCs w:val="20"/>
              </w:rPr>
            </w:pPr>
            <w:r w:rsidRPr="002C1E2B">
              <w:rPr>
                <w:rFonts w:ascii="Calibri" w:hAnsi="Calibri"/>
                <w:b/>
                <w:bCs/>
                <w:sz w:val="20"/>
                <w:szCs w:val="20"/>
              </w:rPr>
              <w:t>-5,546,700</w:t>
            </w:r>
          </w:p>
        </w:tc>
      </w:tr>
      <w:tr w:rsidR="00D44DCC" w:rsidRPr="002C1E2B" w14:paraId="748C1485" w14:textId="77777777" w:rsidTr="00D44DCC">
        <w:trPr>
          <w:cnfStyle w:val="000000010000" w:firstRow="0" w:lastRow="0" w:firstColumn="0" w:lastColumn="0" w:oddVBand="0" w:evenVBand="0" w:oddHBand="0" w:evenHBand="1" w:firstRowFirstColumn="0" w:firstRowLastColumn="0" w:lastRowFirstColumn="0" w:lastRowLastColumn="0"/>
        </w:trPr>
        <w:tc>
          <w:tcPr>
            <w:tcW w:w="238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BE5F1" w:themeFill="accent1" w:themeFillTint="33"/>
          </w:tcPr>
          <w:p w14:paraId="3E82DFFE" w14:textId="77777777" w:rsidR="00D44DCC" w:rsidRPr="002C1E2B" w:rsidRDefault="00D44DCC" w:rsidP="00D44DCC">
            <w:pPr>
              <w:pStyle w:val="BodyText"/>
              <w:spacing w:before="60" w:after="60"/>
              <w:rPr>
                <w:rFonts w:ascii="Calibri" w:hAnsi="Calibri"/>
                <w:sz w:val="20"/>
                <w:szCs w:val="20"/>
              </w:rPr>
            </w:pPr>
            <w:r w:rsidRPr="002C1E2B">
              <w:rPr>
                <w:rFonts w:ascii="Calibri" w:hAnsi="Calibri"/>
                <w:b/>
                <w:sz w:val="20"/>
                <w:szCs w:val="20"/>
              </w:rPr>
              <w:t>Cost to retirement village operators</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BE5F1" w:themeFill="accent1" w:themeFillTint="33"/>
          </w:tcPr>
          <w:p w14:paraId="3DD7E10D" w14:textId="77777777" w:rsidR="00D44DCC" w:rsidRPr="002C1E2B" w:rsidRDefault="00D44DCC" w:rsidP="00D44DCC">
            <w:pPr>
              <w:spacing w:before="60" w:after="60"/>
              <w:jc w:val="right"/>
              <w:rPr>
                <w:rFonts w:ascii="Calibri" w:hAnsi="Calibri"/>
                <w:sz w:val="20"/>
                <w:szCs w:val="20"/>
              </w:rPr>
            </w:pP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BE5F1" w:themeFill="accent1" w:themeFillTint="33"/>
          </w:tcPr>
          <w:p w14:paraId="1DE17808" w14:textId="77777777" w:rsidR="00D44DCC" w:rsidRPr="002C1E2B" w:rsidRDefault="00D44DCC" w:rsidP="00D44DCC">
            <w:pPr>
              <w:spacing w:before="60" w:after="60"/>
              <w:jc w:val="right"/>
              <w:rPr>
                <w:rFonts w:ascii="Calibri" w:hAnsi="Calibri"/>
                <w:sz w:val="20"/>
                <w:szCs w:val="20"/>
              </w:rPr>
            </w:pPr>
          </w:p>
        </w:tc>
        <w:tc>
          <w:tcPr>
            <w:tcW w:w="87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BE5F1" w:themeFill="accent1" w:themeFillTint="33"/>
          </w:tcPr>
          <w:p w14:paraId="6DC6893E" w14:textId="77777777" w:rsidR="00D44DCC" w:rsidRPr="002C1E2B" w:rsidRDefault="00D44DCC" w:rsidP="00D44DCC">
            <w:pPr>
              <w:spacing w:before="60" w:after="60"/>
              <w:jc w:val="right"/>
              <w:rPr>
                <w:rFonts w:ascii="Calibri" w:hAnsi="Calibri"/>
                <w:sz w:val="20"/>
                <w:szCs w:val="20"/>
              </w:rPr>
            </w:pPr>
          </w:p>
        </w:tc>
      </w:tr>
      <w:tr w:rsidR="00D44DCC" w:rsidRPr="002C1E2B" w14:paraId="2C7CFDDC" w14:textId="77777777" w:rsidTr="007B2C64">
        <w:trPr>
          <w:cnfStyle w:val="000000100000" w:firstRow="0" w:lastRow="0" w:firstColumn="0" w:lastColumn="0" w:oddVBand="0" w:evenVBand="0" w:oddHBand="1" w:evenHBand="0" w:firstRowFirstColumn="0" w:firstRowLastColumn="0" w:lastRowFirstColumn="0" w:lastRowLastColumn="0"/>
        </w:trPr>
        <w:tc>
          <w:tcPr>
            <w:tcW w:w="238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3CFC1C0A" w14:textId="77777777" w:rsidR="00D44DCC" w:rsidRPr="002C1E2B" w:rsidRDefault="00D44DCC" w:rsidP="00D44DCC">
            <w:pPr>
              <w:pStyle w:val="BodyText"/>
              <w:spacing w:before="60" w:after="60"/>
              <w:rPr>
                <w:rFonts w:ascii="Calibri" w:hAnsi="Calibri"/>
                <w:sz w:val="20"/>
                <w:szCs w:val="20"/>
              </w:rPr>
            </w:pPr>
            <w:r w:rsidRPr="002C1E2B">
              <w:rPr>
                <w:rFonts w:ascii="Calibri" w:hAnsi="Calibri"/>
                <w:sz w:val="20"/>
                <w:szCs w:val="20"/>
              </w:rPr>
              <w:t>Residents receiving six month rule</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2ECC90DD"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0</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78DE30F8"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0</w:t>
            </w:r>
          </w:p>
        </w:tc>
        <w:tc>
          <w:tcPr>
            <w:tcW w:w="87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7F098D41"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0</w:t>
            </w:r>
          </w:p>
        </w:tc>
      </w:tr>
      <w:tr w:rsidR="00D44DCC" w:rsidRPr="002C1E2B" w14:paraId="41895911" w14:textId="77777777" w:rsidTr="007B2C64">
        <w:trPr>
          <w:cnfStyle w:val="000000010000" w:firstRow="0" w:lastRow="0" w:firstColumn="0" w:lastColumn="0" w:oddVBand="0" w:evenVBand="0" w:oddHBand="0" w:evenHBand="1" w:firstRowFirstColumn="0" w:firstRowLastColumn="0" w:lastRowFirstColumn="0" w:lastRowLastColumn="0"/>
        </w:trPr>
        <w:tc>
          <w:tcPr>
            <w:tcW w:w="238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5223B584" w14:textId="77777777" w:rsidR="00D44DCC" w:rsidRPr="002C1E2B" w:rsidRDefault="00D44DCC" w:rsidP="00D44DCC">
            <w:pPr>
              <w:pStyle w:val="BodyText"/>
              <w:spacing w:before="60" w:after="60"/>
              <w:rPr>
                <w:rFonts w:ascii="Calibri" w:hAnsi="Calibri"/>
                <w:sz w:val="20"/>
                <w:szCs w:val="20"/>
              </w:rPr>
            </w:pPr>
            <w:r w:rsidRPr="002C1E2B">
              <w:rPr>
                <w:rFonts w:ascii="Calibri" w:hAnsi="Calibri"/>
                <w:sz w:val="20"/>
                <w:szCs w:val="20"/>
              </w:rPr>
              <w:t>Residents receiving  RAD based payment</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3EF76591"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0</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340032A2"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0</w:t>
            </w:r>
          </w:p>
        </w:tc>
        <w:tc>
          <w:tcPr>
            <w:tcW w:w="87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06A34B38"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0</w:t>
            </w:r>
          </w:p>
        </w:tc>
      </w:tr>
      <w:tr w:rsidR="00D44DCC" w:rsidRPr="002C1E2B" w14:paraId="35FB649D" w14:textId="77777777" w:rsidTr="007B2C64">
        <w:trPr>
          <w:cnfStyle w:val="000000100000" w:firstRow="0" w:lastRow="0" w:firstColumn="0" w:lastColumn="0" w:oddVBand="0" w:evenVBand="0" w:oddHBand="1" w:evenHBand="0" w:firstRowFirstColumn="0" w:firstRowLastColumn="0" w:lastRowFirstColumn="0" w:lastRowLastColumn="0"/>
        </w:trPr>
        <w:tc>
          <w:tcPr>
            <w:tcW w:w="238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4D2AC415" w14:textId="77777777" w:rsidR="00D44DCC" w:rsidRPr="002C1E2B" w:rsidRDefault="00D44DCC" w:rsidP="00D44DCC">
            <w:pPr>
              <w:pStyle w:val="BodyText"/>
              <w:spacing w:before="60" w:after="60"/>
              <w:rPr>
                <w:rFonts w:ascii="Calibri" w:hAnsi="Calibri"/>
                <w:sz w:val="20"/>
                <w:szCs w:val="20"/>
              </w:rPr>
            </w:pPr>
            <w:r w:rsidRPr="002C1E2B">
              <w:rPr>
                <w:rFonts w:ascii="Calibri" w:hAnsi="Calibri"/>
                <w:sz w:val="20"/>
                <w:szCs w:val="20"/>
              </w:rPr>
              <w:t xml:space="preserve">Residents receiving DAP based payment </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7CB12A79"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-321,741</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33B763C9"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+14,150,906</w:t>
            </w:r>
          </w:p>
        </w:tc>
        <w:tc>
          <w:tcPr>
            <w:tcW w:w="87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1D7BEB37"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+5,431,498</w:t>
            </w:r>
          </w:p>
        </w:tc>
      </w:tr>
      <w:tr w:rsidR="00D44DCC" w:rsidRPr="002C1E2B" w14:paraId="5E188B19" w14:textId="77777777" w:rsidTr="007B2C64">
        <w:trPr>
          <w:cnfStyle w:val="000000010000" w:firstRow="0" w:lastRow="0" w:firstColumn="0" w:lastColumn="0" w:oddVBand="0" w:evenVBand="0" w:oddHBand="0" w:evenHBand="1" w:firstRowFirstColumn="0" w:firstRowLastColumn="0" w:lastRowFirstColumn="0" w:lastRowLastColumn="0"/>
        </w:trPr>
        <w:tc>
          <w:tcPr>
            <w:tcW w:w="238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084FA764" w14:textId="77777777" w:rsidR="00D44DCC" w:rsidRPr="002C1E2B" w:rsidRDefault="00D44DCC" w:rsidP="00D44DCC">
            <w:pPr>
              <w:pStyle w:val="BodyText"/>
              <w:spacing w:before="60" w:after="60"/>
              <w:rPr>
                <w:rFonts w:ascii="Calibri" w:hAnsi="Calibri"/>
                <w:sz w:val="20"/>
                <w:szCs w:val="20"/>
              </w:rPr>
            </w:pPr>
            <w:r w:rsidRPr="002C1E2B">
              <w:rPr>
                <w:rFonts w:ascii="Calibri" w:hAnsi="Calibri"/>
                <w:b/>
                <w:sz w:val="20"/>
                <w:szCs w:val="20"/>
              </w:rPr>
              <w:t>Total cost to retirement village operators</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72D55E53" w14:textId="77777777" w:rsidR="00D44DCC" w:rsidRPr="002C1E2B" w:rsidRDefault="00D44DCC" w:rsidP="00D44DCC">
            <w:pPr>
              <w:spacing w:before="60" w:after="60"/>
              <w:jc w:val="right"/>
              <w:rPr>
                <w:rFonts w:ascii="Calibri" w:hAnsi="Calibri"/>
                <w:b/>
                <w:bCs/>
                <w:sz w:val="20"/>
                <w:szCs w:val="20"/>
              </w:rPr>
            </w:pPr>
            <w:r w:rsidRPr="002C1E2B">
              <w:rPr>
                <w:rFonts w:ascii="Calibri" w:hAnsi="Calibri"/>
                <w:b/>
                <w:bCs/>
                <w:sz w:val="20"/>
                <w:szCs w:val="20"/>
              </w:rPr>
              <w:t>-321,741</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7E907C6D" w14:textId="77777777" w:rsidR="00D44DCC" w:rsidRPr="002C1E2B" w:rsidRDefault="00D44DCC" w:rsidP="00D44DCC">
            <w:pPr>
              <w:spacing w:before="60" w:after="60"/>
              <w:jc w:val="right"/>
              <w:rPr>
                <w:rFonts w:ascii="Calibri" w:hAnsi="Calibri"/>
                <w:b/>
                <w:bCs/>
                <w:sz w:val="20"/>
                <w:szCs w:val="20"/>
              </w:rPr>
            </w:pPr>
            <w:r w:rsidRPr="002C1E2B">
              <w:rPr>
                <w:rFonts w:ascii="Calibri" w:hAnsi="Calibri"/>
                <w:b/>
                <w:bCs/>
                <w:sz w:val="20"/>
                <w:szCs w:val="20"/>
              </w:rPr>
              <w:t>+14,150,906</w:t>
            </w:r>
          </w:p>
        </w:tc>
        <w:tc>
          <w:tcPr>
            <w:tcW w:w="87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vAlign w:val="center"/>
          </w:tcPr>
          <w:p w14:paraId="08025F8E" w14:textId="77777777" w:rsidR="00D44DCC" w:rsidRPr="002C1E2B" w:rsidRDefault="00D44DCC" w:rsidP="00D44DCC">
            <w:pPr>
              <w:spacing w:before="60" w:after="60"/>
              <w:jc w:val="right"/>
              <w:rPr>
                <w:rFonts w:ascii="Calibri" w:hAnsi="Calibri"/>
                <w:b/>
                <w:bCs/>
                <w:sz w:val="20"/>
                <w:szCs w:val="20"/>
              </w:rPr>
            </w:pPr>
            <w:r w:rsidRPr="002C1E2B">
              <w:rPr>
                <w:rFonts w:ascii="Calibri" w:hAnsi="Calibri"/>
                <w:b/>
                <w:bCs/>
                <w:sz w:val="20"/>
                <w:szCs w:val="20"/>
              </w:rPr>
              <w:t>+5,431,498</w:t>
            </w:r>
          </w:p>
        </w:tc>
      </w:tr>
      <w:tr w:rsidR="00D44DCC" w:rsidRPr="002C1E2B" w14:paraId="59444D6D" w14:textId="77777777" w:rsidTr="007B2C64">
        <w:trPr>
          <w:cnfStyle w:val="000000100000" w:firstRow="0" w:lastRow="0" w:firstColumn="0" w:lastColumn="0" w:oddVBand="0" w:evenVBand="0" w:oddHBand="1" w:evenHBand="0" w:firstRowFirstColumn="0" w:firstRowLastColumn="0" w:lastRowFirstColumn="0" w:lastRowLastColumn="0"/>
        </w:trPr>
        <w:tc>
          <w:tcPr>
            <w:tcW w:w="238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BE5F1" w:themeFill="accent1" w:themeFillTint="33"/>
          </w:tcPr>
          <w:p w14:paraId="6E9D26FB" w14:textId="77777777" w:rsidR="00D44DCC" w:rsidRPr="002C1E2B" w:rsidRDefault="00554ADE" w:rsidP="00D44DCC">
            <w:pPr>
              <w:pStyle w:val="BodyText"/>
              <w:spacing w:before="60" w:after="60"/>
              <w:rPr>
                <w:rFonts w:ascii="Calibri" w:hAnsi="Calibri"/>
                <w:sz w:val="20"/>
                <w:szCs w:val="20"/>
              </w:rPr>
            </w:pPr>
            <w:r>
              <w:rPr>
                <w:rFonts w:ascii="Calibri" w:hAnsi="Calibri"/>
                <w:b/>
                <w:sz w:val="20"/>
                <w:szCs w:val="20"/>
              </w:rPr>
              <w:t>Net financial impact</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BE5F1" w:themeFill="accent1" w:themeFillTint="33"/>
            <w:vAlign w:val="center"/>
          </w:tcPr>
          <w:p w14:paraId="1DED506A" w14:textId="77777777" w:rsidR="00D44DCC" w:rsidRPr="002C1E2B" w:rsidRDefault="00D44DCC" w:rsidP="00D44DCC">
            <w:pPr>
              <w:spacing w:before="60" w:after="60"/>
              <w:jc w:val="right"/>
              <w:rPr>
                <w:rFonts w:ascii="Calibri" w:hAnsi="Calibri"/>
                <w:b/>
                <w:sz w:val="20"/>
                <w:szCs w:val="20"/>
              </w:rPr>
            </w:pPr>
            <w:r w:rsidRPr="002C1E2B">
              <w:rPr>
                <w:rFonts w:ascii="Calibri" w:hAnsi="Calibri"/>
                <w:b/>
                <w:sz w:val="20"/>
                <w:szCs w:val="20"/>
              </w:rPr>
              <w:t>-113,081</w:t>
            </w:r>
          </w:p>
        </w:tc>
        <w:tc>
          <w:tcPr>
            <w:tcW w:w="87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BE5F1" w:themeFill="accent1" w:themeFillTint="33"/>
            <w:vAlign w:val="center"/>
          </w:tcPr>
          <w:p w14:paraId="3432B545" w14:textId="77777777" w:rsidR="00D44DCC" w:rsidRPr="002C1E2B" w:rsidRDefault="00D44DCC" w:rsidP="00D44DCC">
            <w:pPr>
              <w:spacing w:before="60" w:after="60"/>
              <w:jc w:val="right"/>
              <w:rPr>
                <w:rFonts w:ascii="Calibri" w:hAnsi="Calibri"/>
                <w:b/>
                <w:sz w:val="20"/>
                <w:szCs w:val="20"/>
              </w:rPr>
            </w:pPr>
            <w:r w:rsidRPr="002C1E2B">
              <w:rPr>
                <w:rFonts w:ascii="Calibri" w:hAnsi="Calibri"/>
                <w:b/>
                <w:sz w:val="20"/>
                <w:szCs w:val="20"/>
              </w:rPr>
              <w:t>+15,253</w:t>
            </w:r>
          </w:p>
        </w:tc>
        <w:tc>
          <w:tcPr>
            <w:tcW w:w="87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BE5F1" w:themeFill="accent1" w:themeFillTint="33"/>
            <w:vAlign w:val="center"/>
          </w:tcPr>
          <w:p w14:paraId="1860EBD7" w14:textId="77777777" w:rsidR="00D44DCC" w:rsidRPr="002C1E2B" w:rsidRDefault="00D44DCC" w:rsidP="00D44DCC">
            <w:pPr>
              <w:spacing w:before="60" w:after="60"/>
              <w:jc w:val="right"/>
              <w:rPr>
                <w:rFonts w:ascii="Calibri" w:hAnsi="Calibri"/>
                <w:b/>
                <w:sz w:val="20"/>
                <w:szCs w:val="20"/>
              </w:rPr>
            </w:pPr>
            <w:r w:rsidRPr="002C1E2B">
              <w:rPr>
                <w:rFonts w:ascii="Calibri" w:hAnsi="Calibri"/>
                <w:b/>
                <w:sz w:val="20"/>
                <w:szCs w:val="20"/>
              </w:rPr>
              <w:t>-115,202</w:t>
            </w:r>
          </w:p>
        </w:tc>
      </w:tr>
    </w:tbl>
    <w:p w14:paraId="2C5B42E3" w14:textId="77777777" w:rsidR="00D44DCC" w:rsidRPr="002C1E2B" w:rsidRDefault="00D44DCC" w:rsidP="00D44DCC">
      <w:pPr>
        <w:pStyle w:val="BodyText"/>
      </w:pPr>
    </w:p>
    <w:p w14:paraId="4421D4B5" w14:textId="77777777" w:rsidR="00D44DCC" w:rsidRPr="002C1E2B" w:rsidRDefault="00D44DCC" w:rsidP="00D44DCC">
      <w:pPr>
        <w:pStyle w:val="Heading2"/>
      </w:pPr>
      <w:bookmarkStart w:id="127" w:name="_Toc476572166"/>
      <w:bookmarkStart w:id="128" w:name="_Toc476739276"/>
      <w:bookmarkStart w:id="129" w:name="_Toc476585830"/>
      <w:r w:rsidRPr="002C1E2B">
        <w:t>Qualitative analysis of the options for the aged care rule</w:t>
      </w:r>
      <w:bookmarkEnd w:id="127"/>
      <w:bookmarkEnd w:id="128"/>
      <w:bookmarkEnd w:id="129"/>
    </w:p>
    <w:p w14:paraId="60EA0037" w14:textId="77777777" w:rsidR="00D44DCC" w:rsidRPr="002C1E2B" w:rsidRDefault="00D44DCC" w:rsidP="00D44DCC">
      <w:pPr>
        <w:pStyle w:val="Heading3"/>
      </w:pPr>
      <w:r w:rsidRPr="002C1E2B">
        <w:t>Addresses barriers to entry into aged care</w:t>
      </w:r>
    </w:p>
    <w:p w14:paraId="0C171D5E" w14:textId="77777777" w:rsidR="00D44DCC" w:rsidRPr="002C1E2B" w:rsidRDefault="00D44DCC" w:rsidP="00D44DCC">
      <w:pPr>
        <w:pStyle w:val="BodyText"/>
      </w:pPr>
      <w:r w:rsidRPr="002C1E2B">
        <w:t xml:space="preserve">Each of the proposed options includes an aged care rule that provides non-owner residents with early access to their exit entitlement either in the form of a RAD payment or DAP payments when they are moving to aged care. This means that each of the proposed options will remove the financial barriers to entry to aged care for residents exiting retirement villages. </w:t>
      </w:r>
      <w:r w:rsidRPr="002C1E2B">
        <w:rPr>
          <w:rFonts w:ascii="Times New Roman" w:eastAsia="MS PMincho" w:hAnsi="Times New Roman"/>
        </w:rPr>
        <w:t>This will ensure that non-owner residents will not experience any delays in their entry into aged care and the potential for any delay to exacerbate their health problems.</w:t>
      </w:r>
    </w:p>
    <w:p w14:paraId="6DCE5B63" w14:textId="77777777" w:rsidR="00D44DCC" w:rsidRPr="002C1E2B" w:rsidRDefault="00D44DCC" w:rsidP="00D44DCC">
      <w:pPr>
        <w:pStyle w:val="BodyText"/>
      </w:pPr>
      <w:r w:rsidRPr="002C1E2B">
        <w:t>As all of the options deliver this key objective of the Regulations, the benefits of addressing the financial barriers to entry into aged care are not included in the MCA.</w:t>
      </w:r>
    </w:p>
    <w:p w14:paraId="2094E6AB" w14:textId="77777777" w:rsidR="00D44DCC" w:rsidRPr="002C1E2B" w:rsidRDefault="00D44DCC" w:rsidP="00D44DCC">
      <w:pPr>
        <w:pStyle w:val="Heading3"/>
      </w:pPr>
      <w:r w:rsidRPr="002C1E2B">
        <w:t>Multi-criteria analysis of the options for the aged care rule</w:t>
      </w:r>
    </w:p>
    <w:p w14:paraId="0B61F1C9" w14:textId="77777777" w:rsidR="00D44DCC" w:rsidRPr="002C1E2B" w:rsidRDefault="00D44DCC" w:rsidP="00D44DCC">
      <w:pPr>
        <w:pStyle w:val="BodyText"/>
      </w:pPr>
      <w:r w:rsidRPr="002C1E2B">
        <w:t>The following criteria have been used to assess the impacts of each of the options. The criteria have been developed from the problems identified in Chapter 2 and the objectives of regulation identified in Chapter 3:</w:t>
      </w:r>
    </w:p>
    <w:p w14:paraId="47856052" w14:textId="77777777" w:rsidR="00D44DCC" w:rsidRPr="002C1E2B" w:rsidRDefault="00D44DCC" w:rsidP="00D44DCC">
      <w:pPr>
        <w:pStyle w:val="ListBullet"/>
      </w:pPr>
      <w:r w:rsidRPr="002C1E2B">
        <w:lastRenderedPageBreak/>
        <w:t>Does not retrospectively change residents entitlements (weight: 25 per cent);</w:t>
      </w:r>
    </w:p>
    <w:p w14:paraId="62CCFB62" w14:textId="77777777" w:rsidR="00D44DCC" w:rsidRPr="002C1E2B" w:rsidRDefault="00D44DCC" w:rsidP="00D44DCC">
      <w:pPr>
        <w:pStyle w:val="ListBullet"/>
      </w:pPr>
      <w:r w:rsidRPr="002C1E2B">
        <w:t>Provides non-owner residents with choices of how to pay for their aged care (weight: 25 per cent);</w:t>
      </w:r>
      <w:r w:rsidR="007B2C64" w:rsidRPr="002C1E2B">
        <w:t xml:space="preserve"> and</w:t>
      </w:r>
    </w:p>
    <w:p w14:paraId="6CD4D762" w14:textId="77777777" w:rsidR="00D44DCC" w:rsidRPr="002C1E2B" w:rsidRDefault="00D44DCC" w:rsidP="007B2C64">
      <w:pPr>
        <w:pStyle w:val="ListBullet"/>
        <w:spacing w:after="240"/>
      </w:pPr>
      <w:r w:rsidRPr="002C1E2B">
        <w:t xml:space="preserve">Ensures ongoing viability of the sector – does not risk the financial viability of the sector, including smaller retirement village operators, or retirement village operators with higher than expected numbers of residents exiting in </w:t>
      </w:r>
      <w:r w:rsidR="007B2C64" w:rsidRPr="002C1E2B">
        <w:t>one year (weight: 50 per cent).</w:t>
      </w:r>
    </w:p>
    <w:p w14:paraId="3C57C350" w14:textId="77777777" w:rsidR="00554ADE" w:rsidRDefault="00554ADE" w:rsidP="00554ADE">
      <w:pPr>
        <w:pStyle w:val="BodyText"/>
      </w:pPr>
      <w:r>
        <w:t>The criteria have been weighted in such a way that criteria capturing benefits to residents (the first two criteria) and criteria capturing benefits to retirement village operators (the last criterion) are weighted equally.</w:t>
      </w:r>
    </w:p>
    <w:p w14:paraId="0DEC9F85" w14:textId="77777777" w:rsidR="00D44DCC" w:rsidRPr="002C1E2B" w:rsidRDefault="00D44DCC" w:rsidP="00D44DCC">
      <w:pPr>
        <w:pStyle w:val="BodyText"/>
      </w:pPr>
      <w:r w:rsidRPr="002C1E2B">
        <w:t xml:space="preserve">Each criterion is scored relative to the base case and is ranked on a scale of -10 to +10, where 0 represents no difference from the base case. </w:t>
      </w:r>
    </w:p>
    <w:p w14:paraId="49B0616C" w14:textId="77777777" w:rsidR="00D44DCC" w:rsidRPr="002C1E2B" w:rsidRDefault="00D44DCC" w:rsidP="00D44DCC">
      <w:pPr>
        <w:pStyle w:val="Heading4"/>
      </w:pPr>
      <w:r w:rsidRPr="002C1E2B">
        <w:t>Minimises retrospective changes</w:t>
      </w:r>
    </w:p>
    <w:p w14:paraId="0E96373E" w14:textId="77777777" w:rsidR="00D44DCC" w:rsidRPr="002C1E2B" w:rsidRDefault="00D44DCC" w:rsidP="00D44DCC">
      <w:pPr>
        <w:pStyle w:val="BodyText"/>
      </w:pPr>
      <w:r w:rsidRPr="002C1E2B">
        <w:t xml:space="preserve">Non-owner residents who entered into contracts under the current Regulations would have had a reasonable or legitimate expectation that the aged care rule would apply to them. Removing the rule retrospectively penalises these residents by reducing their entitlements, in the event they entered aged care. </w:t>
      </w:r>
    </w:p>
    <w:p w14:paraId="33D1F22F" w14:textId="77777777" w:rsidR="00D44DCC" w:rsidRPr="002C1E2B" w:rsidRDefault="00D44DCC" w:rsidP="00D44DCC">
      <w:pPr>
        <w:pStyle w:val="BodyText"/>
      </w:pPr>
      <w:r w:rsidRPr="002C1E2B">
        <w:t xml:space="preserve">Under Option 1, existing and new residents will have access to either a DAP or RAD based aged care rule, which means that no existing residents are retrospectively made worse-off than at the time they entered their contracts. Likewise, under Option 2 no existing residents are retrospectively made worse-off than at the time they entered their contracts. Therefore this option is assessed as being equivalent to Option 1 against this criterion. Option 3 reduces the choice of payment options to existing residents. Retrospectively reducing the entitlement is not considered an equitable outcome for these residents, although it is still an improvement on the base case, where they would not have access to any form of aged care payments. </w:t>
      </w:r>
    </w:p>
    <w:p w14:paraId="1844B271" w14:textId="77777777" w:rsidR="00D44DCC" w:rsidRPr="002C1E2B" w:rsidRDefault="00D44DCC" w:rsidP="00D44DCC">
      <w:pPr>
        <w:pStyle w:val="BodyText"/>
      </w:pPr>
      <w:r w:rsidRPr="002C1E2B">
        <w:t>The scores for each option against this criterion are presented in the table below.</w:t>
      </w:r>
    </w:p>
    <w:p w14:paraId="1E7E69D3" w14:textId="77777777" w:rsidR="00D44DCC" w:rsidRPr="002C1E2B" w:rsidRDefault="00D44DCC" w:rsidP="007B2C64">
      <w:pPr>
        <w:pStyle w:val="Caption"/>
        <w:spacing w:after="120"/>
      </w:pPr>
      <w:r w:rsidRPr="002C1E2B">
        <w:t xml:space="preserve">Table </w:t>
      </w:r>
      <w:r w:rsidRPr="002C1E2B">
        <w:fldChar w:fldCharType="begin"/>
      </w:r>
      <w:r w:rsidRPr="002C1E2B">
        <w:instrText xml:space="preserve"> STYLEREF 1 \s </w:instrText>
      </w:r>
      <w:r w:rsidRPr="002C1E2B">
        <w:fldChar w:fldCharType="separate"/>
      </w:r>
      <w:r w:rsidR="00BE6CE4">
        <w:rPr>
          <w:noProof/>
        </w:rPr>
        <w:t>5</w:t>
      </w:r>
      <w:r w:rsidRPr="002C1E2B">
        <w:fldChar w:fldCharType="end"/>
      </w:r>
      <w:r w:rsidRPr="002C1E2B">
        <w:t>.</w:t>
      </w:r>
      <w:r w:rsidRPr="002C1E2B">
        <w:fldChar w:fldCharType="begin"/>
      </w:r>
      <w:r w:rsidRPr="002C1E2B">
        <w:instrText xml:space="preserve"> SEQ Table \* ARABIC \s 1 </w:instrText>
      </w:r>
      <w:r w:rsidRPr="002C1E2B">
        <w:fldChar w:fldCharType="separate"/>
      </w:r>
      <w:r w:rsidR="00BE6CE4">
        <w:rPr>
          <w:noProof/>
        </w:rPr>
        <w:t>9</w:t>
      </w:r>
      <w:r w:rsidRPr="002C1E2B">
        <w:fldChar w:fldCharType="end"/>
      </w:r>
      <w:r w:rsidRPr="002C1E2B">
        <w:t xml:space="preserve"> </w:t>
      </w:r>
      <w:r w:rsidR="007B2C64" w:rsidRPr="002C1E2B">
        <w:t>–</w:t>
      </w:r>
      <w:r w:rsidRPr="002C1E2B">
        <w:t xml:space="preserve"> Aged care rule: minimises retrospective changes</w:t>
      </w:r>
    </w:p>
    <w:tbl>
      <w:tblPr>
        <w:tblStyle w:val="OWTable"/>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5"/>
        <w:gridCol w:w="1277"/>
        <w:gridCol w:w="1275"/>
        <w:gridCol w:w="1275"/>
        <w:gridCol w:w="1275"/>
      </w:tblGrid>
      <w:tr w:rsidR="00A169E6" w:rsidRPr="002C1E2B" w14:paraId="172AADE6" w14:textId="77777777" w:rsidTr="007B2C64">
        <w:trPr>
          <w:cnfStyle w:val="100000000000" w:firstRow="1" w:lastRow="0" w:firstColumn="0" w:lastColumn="0" w:oddVBand="0" w:evenVBand="0" w:oddHBand="0" w:evenHBand="0" w:firstRowFirstColumn="0" w:firstRowLastColumn="0" w:lastRowFirstColumn="0" w:lastRowLastColumn="0"/>
          <w:tblHeader/>
          <w:jc w:val="center"/>
        </w:trPr>
        <w:tc>
          <w:tcPr>
            <w:tcW w:w="2171" w:type="pct"/>
            <w:shd w:val="clear" w:color="auto" w:fill="1F497D" w:themeFill="text2"/>
          </w:tcPr>
          <w:p w14:paraId="72AE9625" w14:textId="77777777" w:rsidR="00D44DCC" w:rsidRPr="002C1E2B" w:rsidRDefault="005A5A6C" w:rsidP="00D44DCC">
            <w:pPr>
              <w:pStyle w:val="BodyText"/>
              <w:spacing w:before="60" w:after="60"/>
              <w:rPr>
                <w:rFonts w:ascii="Calibri" w:hAnsi="Calibri"/>
                <w:b/>
                <w:color w:val="FFFFFF" w:themeColor="background1"/>
                <w:sz w:val="20"/>
                <w:szCs w:val="20"/>
              </w:rPr>
            </w:pPr>
            <w:r>
              <w:rPr>
                <w:rFonts w:ascii="Calibri" w:hAnsi="Calibri"/>
                <w:b/>
                <w:color w:val="FFFFFF" w:themeColor="background1"/>
                <w:sz w:val="20"/>
                <w:szCs w:val="20"/>
              </w:rPr>
              <w:t>Criteria</w:t>
            </w:r>
          </w:p>
        </w:tc>
        <w:tc>
          <w:tcPr>
            <w:tcW w:w="708" w:type="pct"/>
            <w:shd w:val="clear" w:color="auto" w:fill="1F497D" w:themeFill="text2"/>
          </w:tcPr>
          <w:p w14:paraId="2EC3091F" w14:textId="77777777" w:rsidR="00D44DCC" w:rsidRPr="002C1E2B" w:rsidRDefault="00D44DCC" w:rsidP="00D44DCC">
            <w:pPr>
              <w:pStyle w:val="BodyText"/>
              <w:spacing w:before="60" w:after="60"/>
              <w:jc w:val="center"/>
              <w:rPr>
                <w:rFonts w:ascii="Calibri" w:hAnsi="Calibri"/>
                <w:b/>
                <w:color w:val="FFFFFF" w:themeColor="background1"/>
                <w:sz w:val="20"/>
                <w:szCs w:val="20"/>
              </w:rPr>
            </w:pPr>
            <w:r w:rsidRPr="002C1E2B">
              <w:rPr>
                <w:rFonts w:ascii="Calibri" w:hAnsi="Calibri"/>
                <w:b/>
                <w:color w:val="FFFFFF" w:themeColor="background1"/>
                <w:sz w:val="20"/>
                <w:szCs w:val="20"/>
              </w:rPr>
              <w:t>Weighting</w:t>
            </w:r>
          </w:p>
        </w:tc>
        <w:tc>
          <w:tcPr>
            <w:tcW w:w="707" w:type="pct"/>
            <w:shd w:val="clear" w:color="auto" w:fill="1F497D" w:themeFill="text2"/>
          </w:tcPr>
          <w:p w14:paraId="0B41B186" w14:textId="77777777" w:rsidR="00D44DCC" w:rsidRPr="002C1E2B" w:rsidRDefault="00D44DCC" w:rsidP="00D44DCC">
            <w:pPr>
              <w:pStyle w:val="BodyText"/>
              <w:spacing w:before="60" w:after="60"/>
              <w:jc w:val="center"/>
              <w:rPr>
                <w:rFonts w:ascii="Calibri" w:hAnsi="Calibri"/>
                <w:b/>
                <w:color w:val="FFFFFF" w:themeColor="background1"/>
                <w:sz w:val="20"/>
                <w:szCs w:val="20"/>
              </w:rPr>
            </w:pPr>
            <w:r w:rsidRPr="002C1E2B">
              <w:rPr>
                <w:rFonts w:ascii="Calibri" w:hAnsi="Calibri"/>
                <w:b/>
                <w:color w:val="FFFFFF" w:themeColor="background1"/>
                <w:sz w:val="20"/>
                <w:szCs w:val="20"/>
              </w:rPr>
              <w:t>Option 1</w:t>
            </w:r>
          </w:p>
        </w:tc>
        <w:tc>
          <w:tcPr>
            <w:tcW w:w="707" w:type="pct"/>
            <w:shd w:val="clear" w:color="auto" w:fill="1F497D" w:themeFill="text2"/>
          </w:tcPr>
          <w:p w14:paraId="72440B30" w14:textId="77777777" w:rsidR="00D44DCC" w:rsidRPr="002C1E2B" w:rsidRDefault="00D44DCC" w:rsidP="00D44DCC">
            <w:pPr>
              <w:pStyle w:val="BodyText"/>
              <w:spacing w:before="60" w:after="60"/>
              <w:jc w:val="center"/>
              <w:rPr>
                <w:rFonts w:ascii="Calibri" w:hAnsi="Calibri"/>
                <w:b/>
                <w:color w:val="FFFFFF" w:themeColor="background1"/>
                <w:sz w:val="20"/>
                <w:szCs w:val="20"/>
              </w:rPr>
            </w:pPr>
            <w:r w:rsidRPr="002C1E2B">
              <w:rPr>
                <w:rFonts w:ascii="Calibri" w:hAnsi="Calibri"/>
                <w:b/>
                <w:color w:val="FFFFFF" w:themeColor="background1"/>
                <w:sz w:val="20"/>
                <w:szCs w:val="20"/>
              </w:rPr>
              <w:t>Option 2</w:t>
            </w:r>
          </w:p>
        </w:tc>
        <w:tc>
          <w:tcPr>
            <w:tcW w:w="707" w:type="pct"/>
            <w:shd w:val="clear" w:color="auto" w:fill="1F497D" w:themeFill="text2"/>
          </w:tcPr>
          <w:p w14:paraId="376E2267" w14:textId="77777777" w:rsidR="00D44DCC" w:rsidRPr="002C1E2B" w:rsidRDefault="00D44DCC" w:rsidP="00D44DCC">
            <w:pPr>
              <w:pStyle w:val="BodyText"/>
              <w:spacing w:before="60" w:after="60"/>
              <w:jc w:val="center"/>
              <w:rPr>
                <w:rFonts w:ascii="Calibri" w:hAnsi="Calibri"/>
                <w:b/>
                <w:color w:val="FFFFFF" w:themeColor="background1"/>
                <w:sz w:val="20"/>
                <w:szCs w:val="20"/>
              </w:rPr>
            </w:pPr>
            <w:r w:rsidRPr="002C1E2B">
              <w:rPr>
                <w:rFonts w:ascii="Calibri" w:hAnsi="Calibri"/>
                <w:b/>
                <w:color w:val="FFFFFF" w:themeColor="background1"/>
                <w:sz w:val="20"/>
                <w:szCs w:val="20"/>
              </w:rPr>
              <w:t>Option 3</w:t>
            </w:r>
          </w:p>
        </w:tc>
      </w:tr>
      <w:tr w:rsidR="00A169E6" w:rsidRPr="002C1E2B" w14:paraId="426F2FA0" w14:textId="77777777" w:rsidTr="007B2C64">
        <w:trPr>
          <w:cnfStyle w:val="000000100000" w:firstRow="0" w:lastRow="0" w:firstColumn="0" w:lastColumn="0" w:oddVBand="0" w:evenVBand="0" w:oddHBand="1" w:evenHBand="0" w:firstRowFirstColumn="0" w:firstRowLastColumn="0" w:lastRowFirstColumn="0" w:lastRowLastColumn="0"/>
          <w:jc w:val="center"/>
        </w:trPr>
        <w:tc>
          <w:tcPr>
            <w:tcW w:w="2171" w:type="pct"/>
            <w:shd w:val="clear" w:color="auto" w:fill="FFFFFF" w:themeFill="background1"/>
          </w:tcPr>
          <w:p w14:paraId="5B5E1A48" w14:textId="77777777" w:rsidR="00D44DCC" w:rsidRPr="002C1E2B" w:rsidRDefault="00D44DCC" w:rsidP="00D44DCC">
            <w:pPr>
              <w:pStyle w:val="BodyText"/>
              <w:spacing w:before="60" w:after="60"/>
              <w:rPr>
                <w:rFonts w:ascii="Calibri" w:hAnsi="Calibri"/>
                <w:sz w:val="20"/>
                <w:szCs w:val="20"/>
              </w:rPr>
            </w:pPr>
            <w:r w:rsidRPr="002C1E2B">
              <w:rPr>
                <w:rFonts w:ascii="Calibri" w:hAnsi="Calibri"/>
                <w:sz w:val="20"/>
                <w:szCs w:val="20"/>
              </w:rPr>
              <w:t>Minimises retrospective changes</w:t>
            </w:r>
          </w:p>
        </w:tc>
        <w:tc>
          <w:tcPr>
            <w:tcW w:w="708" w:type="pct"/>
            <w:shd w:val="clear" w:color="auto" w:fill="FFFFFF" w:themeFill="background1"/>
          </w:tcPr>
          <w:p w14:paraId="4423322B"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25%</w:t>
            </w:r>
          </w:p>
        </w:tc>
        <w:tc>
          <w:tcPr>
            <w:tcW w:w="707" w:type="pct"/>
            <w:shd w:val="clear" w:color="auto" w:fill="FFFFFF" w:themeFill="background1"/>
            <w:vAlign w:val="center"/>
          </w:tcPr>
          <w:p w14:paraId="154878AF"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+10</w:t>
            </w:r>
          </w:p>
        </w:tc>
        <w:tc>
          <w:tcPr>
            <w:tcW w:w="707" w:type="pct"/>
            <w:shd w:val="clear" w:color="auto" w:fill="FFFFFF" w:themeFill="background1"/>
            <w:vAlign w:val="center"/>
          </w:tcPr>
          <w:p w14:paraId="184A9BFB"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+10</w:t>
            </w:r>
          </w:p>
        </w:tc>
        <w:tc>
          <w:tcPr>
            <w:tcW w:w="707" w:type="pct"/>
            <w:shd w:val="clear" w:color="auto" w:fill="FFFFFF" w:themeFill="background1"/>
            <w:vAlign w:val="center"/>
          </w:tcPr>
          <w:p w14:paraId="014EADD3"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+5</w:t>
            </w:r>
          </w:p>
        </w:tc>
      </w:tr>
    </w:tbl>
    <w:p w14:paraId="3E82DAE7" w14:textId="77777777" w:rsidR="00D44DCC" w:rsidRPr="002C1E2B" w:rsidRDefault="00D44DCC" w:rsidP="00D44DCC">
      <w:pPr>
        <w:pStyle w:val="BodyText"/>
      </w:pPr>
    </w:p>
    <w:p w14:paraId="3D14A3B0" w14:textId="77777777" w:rsidR="00D44DCC" w:rsidRPr="002C1E2B" w:rsidRDefault="00D44DCC" w:rsidP="00D44DCC">
      <w:pPr>
        <w:pStyle w:val="Heading4"/>
      </w:pPr>
      <w:r w:rsidRPr="002C1E2B">
        <w:t>Choice of aged care payments for consumers</w:t>
      </w:r>
    </w:p>
    <w:p w14:paraId="5BD8739F" w14:textId="77777777" w:rsidR="00D44DCC" w:rsidRPr="002C1E2B" w:rsidRDefault="00D44DCC" w:rsidP="00D44DCC">
      <w:pPr>
        <w:pStyle w:val="BodyText"/>
      </w:pPr>
      <w:r w:rsidRPr="002C1E2B">
        <w:t>Under Option 1 all residents leaving retirement villages for aged care would have access to the aged care rule with a choice of a RAD rule or a DAP rule (up to their estimated exit entitlement). By comparison to the base case, this option removes the possibility that a delay in the return of a resident’s exit entitlement will interfere with their entry into aged care. It also provides residents with the most choice regarding how they will pay for their aged care costs and significantly reduces the aged care costs they incur prior to the sale of their retirement village unit.</w:t>
      </w:r>
    </w:p>
    <w:p w14:paraId="19D88F0E" w14:textId="77777777" w:rsidR="00D44DCC" w:rsidRPr="002C1E2B" w:rsidRDefault="00D44DCC" w:rsidP="00D44DCC">
      <w:pPr>
        <w:pStyle w:val="BodyText"/>
      </w:pPr>
      <w:r w:rsidRPr="002C1E2B">
        <w:lastRenderedPageBreak/>
        <w:t>Under Option 2, all residents will have access to a DAP-based aged care rule, while existing residents will have access to their choice of DAP or RAD-based payments. For all residents, this will ensure that the return of exit entitlements does not interfere with their entry into aged care. However, new residents will not have as much choice about how they pay for this care while they are waiting for their exit entitlement.</w:t>
      </w:r>
    </w:p>
    <w:p w14:paraId="23F4BBF8" w14:textId="77777777" w:rsidR="00D44DCC" w:rsidRPr="002C1E2B" w:rsidRDefault="00D44DCC" w:rsidP="00D44DCC">
      <w:pPr>
        <w:pStyle w:val="BodyText"/>
      </w:pPr>
      <w:r w:rsidRPr="002C1E2B">
        <w:t xml:space="preserve">Under Option 3 all residents leaving retirement villages for aged care would have access to a DAP based aged care rule (but no RAD rule). This is an improvement on the base case, as it means that these residents will not risk having to delay their entry into aged care or choose a cheaper/less desirable aged care provider because they do not have access to the funds held up in their exit entitlement.  However, for the non-resident population as a whole, Option 3 does not provide as much choice regarding the type of aged care payments as Options 1 and 2.  </w:t>
      </w:r>
    </w:p>
    <w:p w14:paraId="7EDBCF30" w14:textId="77777777" w:rsidR="00D44DCC" w:rsidRPr="002C1E2B" w:rsidRDefault="00D44DCC" w:rsidP="00D44DCC">
      <w:pPr>
        <w:pStyle w:val="BodyText"/>
      </w:pPr>
      <w:r w:rsidRPr="002C1E2B">
        <w:t>The scores for each option against this criterion are presented in the table below.</w:t>
      </w:r>
    </w:p>
    <w:p w14:paraId="51A86A2F" w14:textId="77777777" w:rsidR="00D44DCC" w:rsidRPr="002C1E2B" w:rsidRDefault="00D44DCC" w:rsidP="007B2C64">
      <w:pPr>
        <w:pStyle w:val="Caption"/>
        <w:spacing w:after="120"/>
        <w:ind w:left="360" w:firstLine="360"/>
      </w:pPr>
      <w:r w:rsidRPr="002C1E2B">
        <w:t xml:space="preserve">Table </w:t>
      </w:r>
      <w:r w:rsidRPr="002C1E2B">
        <w:fldChar w:fldCharType="begin"/>
      </w:r>
      <w:r w:rsidRPr="002C1E2B">
        <w:instrText xml:space="preserve"> STYLEREF 1 \s </w:instrText>
      </w:r>
      <w:r w:rsidRPr="002C1E2B">
        <w:fldChar w:fldCharType="separate"/>
      </w:r>
      <w:r w:rsidR="00BE6CE4">
        <w:rPr>
          <w:noProof/>
        </w:rPr>
        <w:t>5</w:t>
      </w:r>
      <w:r w:rsidRPr="002C1E2B">
        <w:fldChar w:fldCharType="end"/>
      </w:r>
      <w:r w:rsidRPr="002C1E2B">
        <w:t>.</w:t>
      </w:r>
      <w:r w:rsidRPr="002C1E2B">
        <w:fldChar w:fldCharType="begin"/>
      </w:r>
      <w:r w:rsidRPr="002C1E2B">
        <w:instrText xml:space="preserve"> SEQ Table \* ARABIC \s 1 </w:instrText>
      </w:r>
      <w:r w:rsidRPr="002C1E2B">
        <w:fldChar w:fldCharType="separate"/>
      </w:r>
      <w:r w:rsidR="00BE6CE4">
        <w:rPr>
          <w:noProof/>
        </w:rPr>
        <w:t>10</w:t>
      </w:r>
      <w:r w:rsidRPr="002C1E2B">
        <w:fldChar w:fldCharType="end"/>
      </w:r>
      <w:r w:rsidRPr="002C1E2B">
        <w:t xml:space="preserve"> </w:t>
      </w:r>
      <w:r w:rsidR="007B2C64" w:rsidRPr="002C1E2B">
        <w:t>–</w:t>
      </w:r>
      <w:r w:rsidRPr="002C1E2B">
        <w:t xml:space="preserve"> Aged care rule: choice of aged care payments for non-owner residents</w:t>
      </w:r>
    </w:p>
    <w:tbl>
      <w:tblPr>
        <w:tblStyle w:val="OWTable"/>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5"/>
        <w:gridCol w:w="1277"/>
        <w:gridCol w:w="1275"/>
        <w:gridCol w:w="1275"/>
        <w:gridCol w:w="1275"/>
      </w:tblGrid>
      <w:tr w:rsidR="00A169E6" w:rsidRPr="002C1E2B" w14:paraId="3AEA6B7E" w14:textId="77777777" w:rsidTr="007B2C64">
        <w:trPr>
          <w:cnfStyle w:val="100000000000" w:firstRow="1" w:lastRow="0" w:firstColumn="0" w:lastColumn="0" w:oddVBand="0" w:evenVBand="0" w:oddHBand="0" w:evenHBand="0" w:firstRowFirstColumn="0" w:firstRowLastColumn="0" w:lastRowFirstColumn="0" w:lastRowLastColumn="0"/>
          <w:tblHeader/>
          <w:jc w:val="center"/>
        </w:trPr>
        <w:tc>
          <w:tcPr>
            <w:tcW w:w="2171" w:type="pct"/>
            <w:shd w:val="clear" w:color="auto" w:fill="1F497D" w:themeFill="text2"/>
          </w:tcPr>
          <w:p w14:paraId="44FE6FC1" w14:textId="77777777" w:rsidR="00D44DCC" w:rsidRPr="002C1E2B" w:rsidRDefault="005A5A6C" w:rsidP="00D44DCC">
            <w:pPr>
              <w:pStyle w:val="BodyText"/>
              <w:spacing w:before="60" w:after="60"/>
              <w:rPr>
                <w:rFonts w:ascii="Calibri" w:hAnsi="Calibri"/>
                <w:b/>
                <w:color w:val="FFFFFF" w:themeColor="background1"/>
                <w:sz w:val="20"/>
                <w:szCs w:val="20"/>
              </w:rPr>
            </w:pPr>
            <w:r>
              <w:rPr>
                <w:rFonts w:ascii="Calibri" w:hAnsi="Calibri"/>
                <w:b/>
                <w:color w:val="FFFFFF" w:themeColor="background1"/>
                <w:sz w:val="20"/>
                <w:szCs w:val="20"/>
              </w:rPr>
              <w:t>Criteria</w:t>
            </w:r>
          </w:p>
        </w:tc>
        <w:tc>
          <w:tcPr>
            <w:tcW w:w="708" w:type="pct"/>
            <w:shd w:val="clear" w:color="auto" w:fill="1F497D" w:themeFill="text2"/>
          </w:tcPr>
          <w:p w14:paraId="7012216B" w14:textId="77777777" w:rsidR="00D44DCC" w:rsidRPr="002C1E2B" w:rsidRDefault="00D44DCC" w:rsidP="00D44DCC">
            <w:pPr>
              <w:pStyle w:val="BodyText"/>
              <w:spacing w:before="60" w:after="60"/>
              <w:jc w:val="center"/>
              <w:rPr>
                <w:rFonts w:ascii="Calibri" w:hAnsi="Calibri"/>
                <w:b/>
                <w:color w:val="FFFFFF" w:themeColor="background1"/>
                <w:sz w:val="20"/>
                <w:szCs w:val="20"/>
              </w:rPr>
            </w:pPr>
            <w:r w:rsidRPr="002C1E2B">
              <w:rPr>
                <w:rFonts w:ascii="Calibri" w:hAnsi="Calibri"/>
                <w:b/>
                <w:color w:val="FFFFFF" w:themeColor="background1"/>
                <w:sz w:val="20"/>
                <w:szCs w:val="20"/>
              </w:rPr>
              <w:t>Weighting</w:t>
            </w:r>
          </w:p>
        </w:tc>
        <w:tc>
          <w:tcPr>
            <w:tcW w:w="707" w:type="pct"/>
            <w:shd w:val="clear" w:color="auto" w:fill="1F497D" w:themeFill="text2"/>
          </w:tcPr>
          <w:p w14:paraId="0298EBB4" w14:textId="77777777" w:rsidR="00D44DCC" w:rsidRPr="002C1E2B" w:rsidRDefault="00D44DCC" w:rsidP="00D44DCC">
            <w:pPr>
              <w:pStyle w:val="BodyText"/>
              <w:spacing w:before="60" w:after="60"/>
              <w:jc w:val="center"/>
              <w:rPr>
                <w:rFonts w:ascii="Calibri" w:hAnsi="Calibri"/>
                <w:b/>
                <w:color w:val="FFFFFF" w:themeColor="background1"/>
                <w:sz w:val="20"/>
                <w:szCs w:val="20"/>
              </w:rPr>
            </w:pPr>
            <w:r w:rsidRPr="002C1E2B">
              <w:rPr>
                <w:rFonts w:ascii="Calibri" w:hAnsi="Calibri"/>
                <w:b/>
                <w:color w:val="FFFFFF" w:themeColor="background1"/>
                <w:sz w:val="20"/>
                <w:szCs w:val="20"/>
              </w:rPr>
              <w:t>Option 1</w:t>
            </w:r>
          </w:p>
        </w:tc>
        <w:tc>
          <w:tcPr>
            <w:tcW w:w="707" w:type="pct"/>
            <w:shd w:val="clear" w:color="auto" w:fill="1F497D" w:themeFill="text2"/>
          </w:tcPr>
          <w:p w14:paraId="3F97062C" w14:textId="77777777" w:rsidR="00D44DCC" w:rsidRPr="002C1E2B" w:rsidRDefault="00D44DCC" w:rsidP="00D44DCC">
            <w:pPr>
              <w:pStyle w:val="BodyText"/>
              <w:spacing w:before="60" w:after="60"/>
              <w:jc w:val="center"/>
              <w:rPr>
                <w:rFonts w:ascii="Calibri" w:hAnsi="Calibri"/>
                <w:b/>
                <w:color w:val="FFFFFF" w:themeColor="background1"/>
                <w:sz w:val="20"/>
                <w:szCs w:val="20"/>
              </w:rPr>
            </w:pPr>
            <w:r w:rsidRPr="002C1E2B">
              <w:rPr>
                <w:rFonts w:ascii="Calibri" w:hAnsi="Calibri"/>
                <w:b/>
                <w:color w:val="FFFFFF" w:themeColor="background1"/>
                <w:sz w:val="20"/>
                <w:szCs w:val="20"/>
              </w:rPr>
              <w:t>Option 2</w:t>
            </w:r>
          </w:p>
        </w:tc>
        <w:tc>
          <w:tcPr>
            <w:tcW w:w="707" w:type="pct"/>
            <w:shd w:val="clear" w:color="auto" w:fill="1F497D" w:themeFill="text2"/>
          </w:tcPr>
          <w:p w14:paraId="1FD49F27" w14:textId="77777777" w:rsidR="00D44DCC" w:rsidRPr="002C1E2B" w:rsidRDefault="00D44DCC" w:rsidP="00D44DCC">
            <w:pPr>
              <w:pStyle w:val="BodyText"/>
              <w:spacing w:before="60" w:after="60"/>
              <w:jc w:val="center"/>
              <w:rPr>
                <w:rFonts w:ascii="Calibri" w:hAnsi="Calibri"/>
                <w:b/>
                <w:color w:val="FFFFFF" w:themeColor="background1"/>
                <w:sz w:val="20"/>
                <w:szCs w:val="20"/>
              </w:rPr>
            </w:pPr>
            <w:r w:rsidRPr="002C1E2B">
              <w:rPr>
                <w:rFonts w:ascii="Calibri" w:hAnsi="Calibri"/>
                <w:b/>
                <w:color w:val="FFFFFF" w:themeColor="background1"/>
                <w:sz w:val="20"/>
                <w:szCs w:val="20"/>
              </w:rPr>
              <w:t>Option 3</w:t>
            </w:r>
          </w:p>
        </w:tc>
      </w:tr>
      <w:tr w:rsidR="00A169E6" w:rsidRPr="002C1E2B" w14:paraId="3E88C1D3" w14:textId="77777777" w:rsidTr="007B2C64">
        <w:trPr>
          <w:cnfStyle w:val="000000100000" w:firstRow="0" w:lastRow="0" w:firstColumn="0" w:lastColumn="0" w:oddVBand="0" w:evenVBand="0" w:oddHBand="1" w:evenHBand="0" w:firstRowFirstColumn="0" w:firstRowLastColumn="0" w:lastRowFirstColumn="0" w:lastRowLastColumn="0"/>
          <w:jc w:val="center"/>
        </w:trPr>
        <w:tc>
          <w:tcPr>
            <w:tcW w:w="2171" w:type="pct"/>
            <w:shd w:val="clear" w:color="auto" w:fill="FFFFFF" w:themeFill="background1"/>
            <w:vAlign w:val="center"/>
          </w:tcPr>
          <w:p w14:paraId="4E2A8FD2" w14:textId="77777777" w:rsidR="00D44DCC" w:rsidRPr="002C1E2B" w:rsidRDefault="00D44DCC" w:rsidP="007B2C64">
            <w:pPr>
              <w:pStyle w:val="BodyText"/>
              <w:spacing w:before="60" w:after="60"/>
              <w:rPr>
                <w:rFonts w:ascii="Calibri" w:hAnsi="Calibri"/>
                <w:sz w:val="20"/>
                <w:szCs w:val="20"/>
              </w:rPr>
            </w:pPr>
            <w:r w:rsidRPr="002C1E2B">
              <w:rPr>
                <w:rFonts w:ascii="Calibri" w:hAnsi="Calibri"/>
                <w:sz w:val="20"/>
                <w:szCs w:val="20"/>
              </w:rPr>
              <w:t>Choice of aged care payments for non-owner residents</w:t>
            </w:r>
          </w:p>
        </w:tc>
        <w:tc>
          <w:tcPr>
            <w:tcW w:w="708" w:type="pct"/>
            <w:shd w:val="clear" w:color="auto" w:fill="FFFFFF" w:themeFill="background1"/>
            <w:vAlign w:val="center"/>
          </w:tcPr>
          <w:p w14:paraId="51DC5D54" w14:textId="77777777" w:rsidR="00D44DCC" w:rsidRPr="002C1E2B" w:rsidRDefault="00D44DCC" w:rsidP="007B2C64">
            <w:pPr>
              <w:spacing w:before="60" w:after="60"/>
              <w:jc w:val="right"/>
              <w:rPr>
                <w:rFonts w:ascii="Calibri" w:hAnsi="Calibri"/>
                <w:sz w:val="20"/>
                <w:szCs w:val="20"/>
              </w:rPr>
            </w:pPr>
            <w:r w:rsidRPr="002C1E2B">
              <w:rPr>
                <w:rFonts w:ascii="Calibri" w:hAnsi="Calibri"/>
                <w:sz w:val="20"/>
                <w:szCs w:val="20"/>
              </w:rPr>
              <w:t>25%</w:t>
            </w:r>
          </w:p>
        </w:tc>
        <w:tc>
          <w:tcPr>
            <w:tcW w:w="707" w:type="pct"/>
            <w:shd w:val="clear" w:color="auto" w:fill="FFFFFF" w:themeFill="background1"/>
            <w:vAlign w:val="center"/>
          </w:tcPr>
          <w:p w14:paraId="0DF54AE4" w14:textId="77777777" w:rsidR="00D44DCC" w:rsidRPr="002C1E2B" w:rsidRDefault="00D44DCC" w:rsidP="007B2C64">
            <w:pPr>
              <w:spacing w:before="60" w:after="60"/>
              <w:jc w:val="right"/>
              <w:rPr>
                <w:rFonts w:ascii="Calibri" w:hAnsi="Calibri"/>
                <w:sz w:val="20"/>
                <w:szCs w:val="20"/>
              </w:rPr>
            </w:pPr>
            <w:r w:rsidRPr="002C1E2B">
              <w:rPr>
                <w:rFonts w:ascii="Calibri" w:hAnsi="Calibri"/>
                <w:sz w:val="20"/>
                <w:szCs w:val="20"/>
              </w:rPr>
              <w:t>+10</w:t>
            </w:r>
          </w:p>
        </w:tc>
        <w:tc>
          <w:tcPr>
            <w:tcW w:w="707" w:type="pct"/>
            <w:shd w:val="clear" w:color="auto" w:fill="FFFFFF" w:themeFill="background1"/>
            <w:vAlign w:val="center"/>
          </w:tcPr>
          <w:p w14:paraId="1646CB79" w14:textId="77777777" w:rsidR="00D44DCC" w:rsidRPr="002C1E2B" w:rsidRDefault="00D44DCC" w:rsidP="007B2C64">
            <w:pPr>
              <w:spacing w:before="60" w:after="60"/>
              <w:jc w:val="right"/>
              <w:rPr>
                <w:rFonts w:ascii="Calibri" w:hAnsi="Calibri"/>
                <w:sz w:val="20"/>
                <w:szCs w:val="20"/>
              </w:rPr>
            </w:pPr>
            <w:r w:rsidRPr="002C1E2B">
              <w:rPr>
                <w:rFonts w:ascii="Calibri" w:hAnsi="Calibri"/>
                <w:sz w:val="20"/>
                <w:szCs w:val="20"/>
              </w:rPr>
              <w:t>+7.5</w:t>
            </w:r>
          </w:p>
        </w:tc>
        <w:tc>
          <w:tcPr>
            <w:tcW w:w="707" w:type="pct"/>
            <w:shd w:val="clear" w:color="auto" w:fill="FFFFFF" w:themeFill="background1"/>
            <w:vAlign w:val="center"/>
          </w:tcPr>
          <w:p w14:paraId="34F88EBD" w14:textId="77777777" w:rsidR="00D44DCC" w:rsidRPr="002C1E2B" w:rsidRDefault="00D44DCC" w:rsidP="007B2C64">
            <w:pPr>
              <w:spacing w:before="60" w:after="60"/>
              <w:jc w:val="right"/>
              <w:rPr>
                <w:rFonts w:ascii="Calibri" w:hAnsi="Calibri"/>
                <w:sz w:val="20"/>
                <w:szCs w:val="20"/>
              </w:rPr>
            </w:pPr>
            <w:r w:rsidRPr="002C1E2B">
              <w:rPr>
                <w:rFonts w:ascii="Calibri" w:hAnsi="Calibri"/>
                <w:sz w:val="20"/>
                <w:szCs w:val="20"/>
              </w:rPr>
              <w:t>+5</w:t>
            </w:r>
          </w:p>
        </w:tc>
      </w:tr>
    </w:tbl>
    <w:p w14:paraId="1F809B57" w14:textId="77777777" w:rsidR="00D44DCC" w:rsidRPr="002C1E2B" w:rsidRDefault="00D44DCC" w:rsidP="00D44DCC">
      <w:pPr>
        <w:pStyle w:val="BodyText"/>
      </w:pPr>
    </w:p>
    <w:p w14:paraId="23D40A5C" w14:textId="77777777" w:rsidR="00D44DCC" w:rsidRPr="002C1E2B" w:rsidRDefault="00D44DCC" w:rsidP="00D44DCC">
      <w:pPr>
        <w:pStyle w:val="Heading4"/>
      </w:pPr>
      <w:r w:rsidRPr="002C1E2B">
        <w:t>Minimises impacts on the overall viability of the sector</w:t>
      </w:r>
    </w:p>
    <w:p w14:paraId="189E3647" w14:textId="77777777" w:rsidR="00D44DCC" w:rsidRPr="002C1E2B" w:rsidRDefault="00D44DCC" w:rsidP="00D44DCC">
      <w:pPr>
        <w:pStyle w:val="BodyText"/>
      </w:pPr>
      <w:r w:rsidRPr="002C1E2B">
        <w:t xml:space="preserve">Under the base case, all new non-owner residents would be eligible for the six month rule, without exemption. This could lead to large costs to retirement village operators. Retirement villages would be required to pay exiting non-owner residents in advance an average of $258,700 for 4.5 months before units are sold. This would have a significant impact on the viability of the sector, especially for smaller retirement village operators, or retirement village operators with higher than expected numbers of residents leaving in one year. </w:t>
      </w:r>
    </w:p>
    <w:p w14:paraId="089506E1" w14:textId="77777777" w:rsidR="00D44DCC" w:rsidRPr="002C1E2B" w:rsidRDefault="00D44DCC" w:rsidP="00D44DCC">
      <w:pPr>
        <w:pStyle w:val="BodyText"/>
      </w:pPr>
      <w:r w:rsidRPr="002C1E2B">
        <w:t>Option 1 will be slightly more expensive for the sector than the base case. This is because all retirement village residents entering aged care would have access to either DAPs or a RAD based payment, whereas under the base case, they would not. The total cost to the sector is estimated at $1.7 million per annum on average over the 20 year period, which would slightly worsen the overall viability of the sector.</w:t>
      </w:r>
    </w:p>
    <w:p w14:paraId="5835AB58" w14:textId="77777777" w:rsidR="00D44DCC" w:rsidRPr="002C1E2B" w:rsidRDefault="00D44DCC" w:rsidP="00D44DCC">
      <w:pPr>
        <w:pStyle w:val="BodyText"/>
      </w:pPr>
      <w:r w:rsidRPr="002C1E2B">
        <w:t>Option 2 would reduce the number of cases where a retirement village operator is required to pay lump-sum early exit entitlements. Additionally, the insertion of the 85 per cent cap on the estimated exit entitlements paid prior to the sale of the unit and financial hardship provisions for operators under the aged care rule will further reduce the financial impacts on retirement village operators and hence significantly improves the viability of the sector compared to the base case.</w:t>
      </w:r>
      <w:r w:rsidR="003D7600">
        <w:t xml:space="preserve"> Under this option, the total cost to the sector is approximately $2.6 million per annum on average over the 20 year period.</w:t>
      </w:r>
    </w:p>
    <w:p w14:paraId="1DFB455C" w14:textId="77777777" w:rsidR="00D44DCC" w:rsidRPr="002C1E2B" w:rsidRDefault="00D44DCC" w:rsidP="00D44DCC">
      <w:pPr>
        <w:pStyle w:val="BodyText"/>
      </w:pPr>
      <w:r w:rsidRPr="002C1E2B">
        <w:t xml:space="preserve">Option 3 significantly reduces the number of times where retirement village operators are required to pay lump-sum early exit entitlements and hence is the least likely option to </w:t>
      </w:r>
      <w:r w:rsidRPr="002C1E2B">
        <w:lastRenderedPageBreak/>
        <w:t>adversely impact the viability of the sector. Under this option the sector would be better off on average by $5.4 million per annum over the 20 year period, compared to the base case.</w:t>
      </w:r>
    </w:p>
    <w:p w14:paraId="4BA08D99" w14:textId="77777777" w:rsidR="00D44DCC" w:rsidRPr="002C1E2B" w:rsidRDefault="00D44DCC" w:rsidP="00D44DCC">
      <w:pPr>
        <w:pStyle w:val="BodyText"/>
      </w:pPr>
      <w:r w:rsidRPr="002C1E2B">
        <w:t>The scores for each option against this criterion are presented in the table below.</w:t>
      </w:r>
    </w:p>
    <w:p w14:paraId="696502BE" w14:textId="77777777" w:rsidR="00D44DCC" w:rsidRPr="002C1E2B" w:rsidRDefault="00D44DCC" w:rsidP="007B2C64">
      <w:pPr>
        <w:pStyle w:val="Caption"/>
        <w:spacing w:after="120"/>
      </w:pPr>
      <w:r w:rsidRPr="002C1E2B">
        <w:t xml:space="preserve">Table </w:t>
      </w:r>
      <w:r w:rsidRPr="002C1E2B">
        <w:fldChar w:fldCharType="begin"/>
      </w:r>
      <w:r w:rsidRPr="002C1E2B">
        <w:instrText xml:space="preserve"> STYLEREF 1 \s </w:instrText>
      </w:r>
      <w:r w:rsidRPr="002C1E2B">
        <w:fldChar w:fldCharType="separate"/>
      </w:r>
      <w:r w:rsidR="00BE6CE4">
        <w:rPr>
          <w:noProof/>
        </w:rPr>
        <w:t>5</w:t>
      </w:r>
      <w:r w:rsidRPr="002C1E2B">
        <w:fldChar w:fldCharType="end"/>
      </w:r>
      <w:r w:rsidRPr="002C1E2B">
        <w:t>.</w:t>
      </w:r>
      <w:r w:rsidRPr="002C1E2B">
        <w:fldChar w:fldCharType="begin"/>
      </w:r>
      <w:r w:rsidRPr="002C1E2B">
        <w:instrText xml:space="preserve"> SEQ Table \* ARABIC \s 1 </w:instrText>
      </w:r>
      <w:r w:rsidRPr="002C1E2B">
        <w:fldChar w:fldCharType="separate"/>
      </w:r>
      <w:r w:rsidR="00BE6CE4">
        <w:rPr>
          <w:noProof/>
        </w:rPr>
        <w:t>11</w:t>
      </w:r>
      <w:r w:rsidRPr="002C1E2B">
        <w:fldChar w:fldCharType="end"/>
      </w:r>
      <w:r w:rsidRPr="002C1E2B">
        <w:t xml:space="preserve"> </w:t>
      </w:r>
      <w:r w:rsidR="007B2C64" w:rsidRPr="002C1E2B">
        <w:t>–</w:t>
      </w:r>
      <w:r w:rsidRPr="002C1E2B">
        <w:t xml:space="preserve"> Aged care rule: viability of the sector</w:t>
      </w:r>
    </w:p>
    <w:tbl>
      <w:tblPr>
        <w:tblStyle w:val="OWTable"/>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5"/>
        <w:gridCol w:w="1277"/>
        <w:gridCol w:w="1275"/>
        <w:gridCol w:w="1275"/>
        <w:gridCol w:w="1275"/>
      </w:tblGrid>
      <w:tr w:rsidR="00A169E6" w:rsidRPr="002C1E2B" w14:paraId="24ED8179" w14:textId="77777777" w:rsidTr="007B2C64">
        <w:trPr>
          <w:cnfStyle w:val="100000000000" w:firstRow="1" w:lastRow="0" w:firstColumn="0" w:lastColumn="0" w:oddVBand="0" w:evenVBand="0" w:oddHBand="0" w:evenHBand="0" w:firstRowFirstColumn="0" w:firstRowLastColumn="0" w:lastRowFirstColumn="0" w:lastRowLastColumn="0"/>
          <w:tblHeader/>
          <w:jc w:val="center"/>
        </w:trPr>
        <w:tc>
          <w:tcPr>
            <w:tcW w:w="2171" w:type="pct"/>
            <w:shd w:val="clear" w:color="auto" w:fill="1F497D" w:themeFill="text2"/>
          </w:tcPr>
          <w:p w14:paraId="63271CE5" w14:textId="77777777" w:rsidR="00D44DCC" w:rsidRPr="002C1E2B" w:rsidRDefault="005A5A6C" w:rsidP="00D44DCC">
            <w:pPr>
              <w:pStyle w:val="BodyText"/>
              <w:spacing w:before="60" w:after="60"/>
              <w:rPr>
                <w:rFonts w:ascii="Calibri" w:hAnsi="Calibri"/>
                <w:b/>
                <w:color w:val="FFFFFF" w:themeColor="background1"/>
                <w:sz w:val="20"/>
                <w:szCs w:val="20"/>
              </w:rPr>
            </w:pPr>
            <w:r>
              <w:rPr>
                <w:rFonts w:ascii="Calibri" w:hAnsi="Calibri"/>
                <w:b/>
                <w:color w:val="FFFFFF" w:themeColor="background1"/>
                <w:sz w:val="20"/>
                <w:szCs w:val="20"/>
              </w:rPr>
              <w:t>Criteria</w:t>
            </w:r>
          </w:p>
        </w:tc>
        <w:tc>
          <w:tcPr>
            <w:tcW w:w="708" w:type="pct"/>
            <w:shd w:val="clear" w:color="auto" w:fill="1F497D" w:themeFill="text2"/>
          </w:tcPr>
          <w:p w14:paraId="6E8C7047" w14:textId="77777777" w:rsidR="00D44DCC" w:rsidRPr="002C1E2B" w:rsidRDefault="00D44DCC" w:rsidP="00D44DCC">
            <w:pPr>
              <w:pStyle w:val="BodyText"/>
              <w:spacing w:before="60" w:after="60"/>
              <w:jc w:val="center"/>
              <w:rPr>
                <w:rFonts w:ascii="Calibri" w:hAnsi="Calibri"/>
                <w:b/>
                <w:color w:val="FFFFFF" w:themeColor="background1"/>
                <w:sz w:val="20"/>
                <w:szCs w:val="20"/>
              </w:rPr>
            </w:pPr>
            <w:r w:rsidRPr="002C1E2B">
              <w:rPr>
                <w:rFonts w:ascii="Calibri" w:hAnsi="Calibri"/>
                <w:b/>
                <w:color w:val="FFFFFF" w:themeColor="background1"/>
                <w:sz w:val="20"/>
                <w:szCs w:val="20"/>
              </w:rPr>
              <w:t>Weighting</w:t>
            </w:r>
          </w:p>
        </w:tc>
        <w:tc>
          <w:tcPr>
            <w:tcW w:w="707" w:type="pct"/>
            <w:shd w:val="clear" w:color="auto" w:fill="1F497D" w:themeFill="text2"/>
          </w:tcPr>
          <w:p w14:paraId="1CBC53FF" w14:textId="77777777" w:rsidR="00D44DCC" w:rsidRPr="002C1E2B" w:rsidRDefault="00D44DCC" w:rsidP="00D44DCC">
            <w:pPr>
              <w:pStyle w:val="BodyText"/>
              <w:spacing w:before="60" w:after="60"/>
              <w:jc w:val="center"/>
              <w:rPr>
                <w:rFonts w:ascii="Calibri" w:hAnsi="Calibri"/>
                <w:b/>
                <w:color w:val="FFFFFF" w:themeColor="background1"/>
                <w:sz w:val="20"/>
                <w:szCs w:val="20"/>
              </w:rPr>
            </w:pPr>
            <w:r w:rsidRPr="002C1E2B">
              <w:rPr>
                <w:rFonts w:ascii="Calibri" w:hAnsi="Calibri"/>
                <w:b/>
                <w:color w:val="FFFFFF" w:themeColor="background1"/>
                <w:sz w:val="20"/>
                <w:szCs w:val="20"/>
              </w:rPr>
              <w:t>Option 1</w:t>
            </w:r>
          </w:p>
        </w:tc>
        <w:tc>
          <w:tcPr>
            <w:tcW w:w="707" w:type="pct"/>
            <w:shd w:val="clear" w:color="auto" w:fill="1F497D" w:themeFill="text2"/>
          </w:tcPr>
          <w:p w14:paraId="7FEF2F61" w14:textId="77777777" w:rsidR="00D44DCC" w:rsidRPr="002C1E2B" w:rsidRDefault="00D44DCC" w:rsidP="00D44DCC">
            <w:pPr>
              <w:pStyle w:val="BodyText"/>
              <w:spacing w:before="60" w:after="60"/>
              <w:jc w:val="center"/>
              <w:rPr>
                <w:rFonts w:ascii="Calibri" w:hAnsi="Calibri"/>
                <w:b/>
                <w:color w:val="FFFFFF" w:themeColor="background1"/>
                <w:sz w:val="20"/>
                <w:szCs w:val="20"/>
              </w:rPr>
            </w:pPr>
            <w:r w:rsidRPr="002C1E2B">
              <w:rPr>
                <w:rFonts w:ascii="Calibri" w:hAnsi="Calibri"/>
                <w:b/>
                <w:color w:val="FFFFFF" w:themeColor="background1"/>
                <w:sz w:val="20"/>
                <w:szCs w:val="20"/>
              </w:rPr>
              <w:t>Option 2</w:t>
            </w:r>
          </w:p>
        </w:tc>
        <w:tc>
          <w:tcPr>
            <w:tcW w:w="707" w:type="pct"/>
            <w:shd w:val="clear" w:color="auto" w:fill="1F497D" w:themeFill="text2"/>
          </w:tcPr>
          <w:p w14:paraId="15F9A2F6" w14:textId="77777777" w:rsidR="00D44DCC" w:rsidRPr="002C1E2B" w:rsidRDefault="00D44DCC" w:rsidP="00D44DCC">
            <w:pPr>
              <w:pStyle w:val="BodyText"/>
              <w:spacing w:before="60" w:after="60"/>
              <w:jc w:val="center"/>
              <w:rPr>
                <w:rFonts w:ascii="Calibri" w:hAnsi="Calibri"/>
                <w:b/>
                <w:color w:val="FFFFFF" w:themeColor="background1"/>
                <w:sz w:val="20"/>
                <w:szCs w:val="20"/>
              </w:rPr>
            </w:pPr>
            <w:r w:rsidRPr="002C1E2B">
              <w:rPr>
                <w:rFonts w:ascii="Calibri" w:hAnsi="Calibri"/>
                <w:b/>
                <w:color w:val="FFFFFF" w:themeColor="background1"/>
                <w:sz w:val="20"/>
                <w:szCs w:val="20"/>
              </w:rPr>
              <w:t>Option 3</w:t>
            </w:r>
          </w:p>
        </w:tc>
      </w:tr>
      <w:tr w:rsidR="00A169E6" w:rsidRPr="002C1E2B" w14:paraId="0284A5FD" w14:textId="77777777" w:rsidTr="007B2C64">
        <w:trPr>
          <w:cnfStyle w:val="000000100000" w:firstRow="0" w:lastRow="0" w:firstColumn="0" w:lastColumn="0" w:oddVBand="0" w:evenVBand="0" w:oddHBand="1" w:evenHBand="0" w:firstRowFirstColumn="0" w:firstRowLastColumn="0" w:lastRowFirstColumn="0" w:lastRowLastColumn="0"/>
          <w:jc w:val="center"/>
        </w:trPr>
        <w:tc>
          <w:tcPr>
            <w:tcW w:w="2171" w:type="pct"/>
            <w:shd w:val="clear" w:color="auto" w:fill="FFFFFF" w:themeFill="background1"/>
          </w:tcPr>
          <w:p w14:paraId="468CCB16" w14:textId="77777777" w:rsidR="00D44DCC" w:rsidRPr="002C1E2B" w:rsidRDefault="00D44DCC" w:rsidP="00D44DCC">
            <w:pPr>
              <w:pStyle w:val="BodyText"/>
              <w:spacing w:before="60" w:after="60"/>
              <w:rPr>
                <w:rFonts w:ascii="Calibri" w:hAnsi="Calibri"/>
                <w:sz w:val="20"/>
                <w:szCs w:val="20"/>
              </w:rPr>
            </w:pPr>
            <w:r w:rsidRPr="002C1E2B">
              <w:rPr>
                <w:rFonts w:ascii="Calibri" w:hAnsi="Calibri"/>
                <w:sz w:val="20"/>
                <w:szCs w:val="20"/>
              </w:rPr>
              <w:t>Viability of the sector</w:t>
            </w:r>
          </w:p>
        </w:tc>
        <w:tc>
          <w:tcPr>
            <w:tcW w:w="708" w:type="pct"/>
            <w:shd w:val="clear" w:color="auto" w:fill="FFFFFF" w:themeFill="background1"/>
          </w:tcPr>
          <w:p w14:paraId="2257D373"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25%</w:t>
            </w:r>
          </w:p>
        </w:tc>
        <w:tc>
          <w:tcPr>
            <w:tcW w:w="707" w:type="pct"/>
            <w:shd w:val="clear" w:color="auto" w:fill="FFFFFF" w:themeFill="background1"/>
            <w:vAlign w:val="center"/>
          </w:tcPr>
          <w:p w14:paraId="1E57AF0F"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-2.5</w:t>
            </w:r>
          </w:p>
        </w:tc>
        <w:tc>
          <w:tcPr>
            <w:tcW w:w="707" w:type="pct"/>
            <w:shd w:val="clear" w:color="auto" w:fill="FFFFFF" w:themeFill="background1"/>
            <w:vAlign w:val="center"/>
          </w:tcPr>
          <w:p w14:paraId="24E3827B"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+7.5</w:t>
            </w:r>
          </w:p>
        </w:tc>
        <w:tc>
          <w:tcPr>
            <w:tcW w:w="707" w:type="pct"/>
            <w:shd w:val="clear" w:color="auto" w:fill="FFFFFF" w:themeFill="background1"/>
            <w:vAlign w:val="center"/>
          </w:tcPr>
          <w:p w14:paraId="47116CB8"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+10</w:t>
            </w:r>
          </w:p>
        </w:tc>
      </w:tr>
    </w:tbl>
    <w:p w14:paraId="35E097E7" w14:textId="77777777" w:rsidR="00D44DCC" w:rsidRPr="002C1E2B" w:rsidRDefault="00D44DCC" w:rsidP="00D44DCC">
      <w:pPr>
        <w:pStyle w:val="Heading2"/>
        <w:numPr>
          <w:ilvl w:val="0"/>
          <w:numId w:val="0"/>
        </w:numPr>
        <w:spacing w:after="120"/>
        <w:ind w:left="936" w:hanging="936"/>
      </w:pPr>
    </w:p>
    <w:p w14:paraId="04304D38" w14:textId="77777777" w:rsidR="00D44DCC" w:rsidRPr="002C1E2B" w:rsidRDefault="00D44DCC" w:rsidP="00D44DCC">
      <w:pPr>
        <w:pStyle w:val="Heading2"/>
      </w:pPr>
      <w:bookmarkStart w:id="130" w:name="_Toc476572167"/>
      <w:bookmarkStart w:id="131" w:name="_Toc476739277"/>
      <w:bookmarkStart w:id="132" w:name="_Toc476585831"/>
      <w:r w:rsidRPr="002C1E2B">
        <w:t>Overall assessment</w:t>
      </w:r>
      <w:bookmarkEnd w:id="130"/>
      <w:bookmarkEnd w:id="131"/>
      <w:bookmarkEnd w:id="132"/>
    </w:p>
    <w:p w14:paraId="4C0F0EB9" w14:textId="715E5969" w:rsidR="00D44DCC" w:rsidRPr="002C1E2B" w:rsidRDefault="00D44DCC" w:rsidP="00D44DCC">
      <w:pPr>
        <w:pStyle w:val="BodyText"/>
      </w:pPr>
      <w:r w:rsidRPr="002C1E2B">
        <w:t xml:space="preserve">Option 2 is the preferred option as it has the highest MCA score </w:t>
      </w:r>
      <w:r w:rsidR="004E65AE">
        <w:t xml:space="preserve">which reflects that </w:t>
      </w:r>
      <w:proofErr w:type="gramStart"/>
      <w:r w:rsidR="004E65AE">
        <w:t xml:space="preserve">it </w:t>
      </w:r>
      <w:r w:rsidR="004E65AE" w:rsidRPr="002C1E2B">
        <w:t xml:space="preserve"> </w:t>
      </w:r>
      <w:r w:rsidRPr="002C1E2B">
        <w:t>manages</w:t>
      </w:r>
      <w:proofErr w:type="gramEnd"/>
      <w:r w:rsidRPr="002C1E2B">
        <w:t xml:space="preserve"> a balance between financial impacts on residents and on the sector. </w:t>
      </w:r>
    </w:p>
    <w:p w14:paraId="78B49D94" w14:textId="77777777" w:rsidR="00D44DCC" w:rsidRPr="002C1E2B" w:rsidRDefault="00D44DCC" w:rsidP="00D44DCC">
      <w:pPr>
        <w:pStyle w:val="BodyText"/>
      </w:pPr>
      <w:r w:rsidRPr="002C1E2B">
        <w:t xml:space="preserve">Option 1 receives the lowest MCA score; mainly as a result of the impact on the viability of the sector (it is less financially viable than the base case for operators). Option 3 receives the second highest score because it does not address the issue of retrospectivity and minimises payment choices for non-owner residents. Option 2 scores the highest because it minimises the retrospective changes and balances the choice of aged care payments for non-owner residents with the ongoing viability of the sector. </w:t>
      </w:r>
    </w:p>
    <w:p w14:paraId="440E36D1" w14:textId="77777777" w:rsidR="00554ADE" w:rsidRDefault="00D44DCC" w:rsidP="00263234">
      <w:pPr>
        <w:pStyle w:val="BodyText"/>
      </w:pPr>
      <w:r w:rsidRPr="002C1E2B">
        <w:t xml:space="preserve">While Option 1 achieves the highest net impact, it is not the preferred option because this impact simply represents a transfer between operators and non-owner residents. Option 2 is the preferred option because it provides for a positive net impact and minimises the transfers between operators and residents.  </w:t>
      </w:r>
    </w:p>
    <w:p w14:paraId="7059DA19" w14:textId="77777777" w:rsidR="00D44DCC" w:rsidRPr="002C1E2B" w:rsidRDefault="00D44DCC" w:rsidP="00D44DCC">
      <w:pPr>
        <w:pStyle w:val="Caption"/>
        <w:spacing w:after="120"/>
      </w:pPr>
      <w:r w:rsidRPr="002C1E2B">
        <w:t xml:space="preserve">Table </w:t>
      </w:r>
      <w:r w:rsidRPr="002C1E2B">
        <w:fldChar w:fldCharType="begin"/>
      </w:r>
      <w:r w:rsidRPr="002C1E2B">
        <w:instrText xml:space="preserve"> STYLEREF 1 \s </w:instrText>
      </w:r>
      <w:r w:rsidRPr="002C1E2B">
        <w:fldChar w:fldCharType="separate"/>
      </w:r>
      <w:r w:rsidR="00BE6CE4">
        <w:rPr>
          <w:noProof/>
        </w:rPr>
        <w:t>5</w:t>
      </w:r>
      <w:r w:rsidRPr="002C1E2B">
        <w:fldChar w:fldCharType="end"/>
      </w:r>
      <w:r w:rsidRPr="002C1E2B">
        <w:t>.</w:t>
      </w:r>
      <w:r w:rsidRPr="002C1E2B">
        <w:fldChar w:fldCharType="begin"/>
      </w:r>
      <w:r w:rsidRPr="002C1E2B">
        <w:instrText xml:space="preserve"> SEQ Table \* ARABIC \s 1 </w:instrText>
      </w:r>
      <w:r w:rsidRPr="002C1E2B">
        <w:fldChar w:fldCharType="separate"/>
      </w:r>
      <w:r w:rsidR="00BE6CE4">
        <w:rPr>
          <w:noProof/>
        </w:rPr>
        <w:t>12</w:t>
      </w:r>
      <w:r w:rsidRPr="002C1E2B">
        <w:fldChar w:fldCharType="end"/>
      </w:r>
      <w:r w:rsidRPr="002C1E2B">
        <w:t xml:space="preserve"> – Options comparison of multi-criteria analysis and financial impacts</w:t>
      </w:r>
    </w:p>
    <w:tbl>
      <w:tblPr>
        <w:tblStyle w:val="OWTable"/>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1070"/>
        <w:gridCol w:w="1195"/>
        <w:gridCol w:w="1193"/>
        <w:gridCol w:w="1193"/>
      </w:tblGrid>
      <w:tr w:rsidR="00A169E6" w:rsidRPr="002C1E2B" w14:paraId="6B097DED" w14:textId="77777777" w:rsidTr="007B2C64">
        <w:trPr>
          <w:cnfStyle w:val="100000000000" w:firstRow="1" w:lastRow="0" w:firstColumn="0" w:lastColumn="0" w:oddVBand="0" w:evenVBand="0" w:oddHBand="0" w:evenHBand="0" w:firstRowFirstColumn="0" w:firstRowLastColumn="0" w:lastRowFirstColumn="0" w:lastRowLastColumn="0"/>
          <w:tblHeader/>
          <w:jc w:val="center"/>
        </w:trPr>
        <w:tc>
          <w:tcPr>
            <w:tcW w:w="0" w:type="auto"/>
            <w:shd w:val="clear" w:color="auto" w:fill="1F497D" w:themeFill="text2"/>
          </w:tcPr>
          <w:p w14:paraId="4210D9AF" w14:textId="77777777" w:rsidR="00D44DCC" w:rsidRPr="002C1E2B" w:rsidRDefault="00D44DCC" w:rsidP="00D44DCC">
            <w:pPr>
              <w:pStyle w:val="BodyText"/>
              <w:spacing w:before="60" w:after="60"/>
              <w:rPr>
                <w:rFonts w:ascii="Calibri" w:hAnsi="Calibri"/>
                <w:b/>
                <w:color w:val="FFFFFF" w:themeColor="background1"/>
                <w:sz w:val="20"/>
                <w:szCs w:val="20"/>
              </w:rPr>
            </w:pPr>
            <w:r w:rsidRPr="002C1E2B">
              <w:rPr>
                <w:rFonts w:ascii="Calibri" w:hAnsi="Calibri"/>
                <w:b/>
                <w:color w:val="FFFFFF" w:themeColor="background1"/>
                <w:sz w:val="20"/>
                <w:szCs w:val="20"/>
              </w:rPr>
              <w:t>Overall impact summary</w:t>
            </w:r>
          </w:p>
        </w:tc>
        <w:tc>
          <w:tcPr>
            <w:tcW w:w="0" w:type="auto"/>
            <w:shd w:val="clear" w:color="auto" w:fill="1F497D" w:themeFill="text2"/>
          </w:tcPr>
          <w:p w14:paraId="1B7BD7EE" w14:textId="77777777" w:rsidR="00D44DCC" w:rsidRPr="002C1E2B" w:rsidRDefault="00D44DCC" w:rsidP="00D44DCC">
            <w:pPr>
              <w:pStyle w:val="BodyText"/>
              <w:spacing w:before="60" w:after="60"/>
              <w:jc w:val="center"/>
              <w:rPr>
                <w:rFonts w:ascii="Calibri" w:hAnsi="Calibri"/>
                <w:b/>
                <w:color w:val="FFFFFF" w:themeColor="background1"/>
                <w:sz w:val="20"/>
                <w:szCs w:val="20"/>
              </w:rPr>
            </w:pPr>
          </w:p>
        </w:tc>
        <w:tc>
          <w:tcPr>
            <w:tcW w:w="0" w:type="auto"/>
            <w:shd w:val="clear" w:color="auto" w:fill="1F497D" w:themeFill="text2"/>
          </w:tcPr>
          <w:p w14:paraId="791798A1" w14:textId="77777777" w:rsidR="00D44DCC" w:rsidRPr="002C1E2B" w:rsidRDefault="00D44DCC" w:rsidP="00D44DCC">
            <w:pPr>
              <w:pStyle w:val="BodyText"/>
              <w:spacing w:before="60" w:after="60"/>
              <w:jc w:val="center"/>
              <w:rPr>
                <w:rFonts w:ascii="Calibri" w:hAnsi="Calibri"/>
                <w:b/>
                <w:color w:val="FFFFFF" w:themeColor="background1"/>
                <w:sz w:val="20"/>
                <w:szCs w:val="20"/>
              </w:rPr>
            </w:pPr>
            <w:r w:rsidRPr="002C1E2B">
              <w:rPr>
                <w:rFonts w:ascii="Calibri" w:hAnsi="Calibri"/>
                <w:b/>
                <w:color w:val="FFFFFF" w:themeColor="background1"/>
                <w:sz w:val="20"/>
                <w:szCs w:val="20"/>
              </w:rPr>
              <w:t>Option 1</w:t>
            </w:r>
          </w:p>
        </w:tc>
        <w:tc>
          <w:tcPr>
            <w:tcW w:w="0" w:type="auto"/>
            <w:shd w:val="clear" w:color="auto" w:fill="1F497D" w:themeFill="text2"/>
          </w:tcPr>
          <w:p w14:paraId="19474A28" w14:textId="77777777" w:rsidR="00D44DCC" w:rsidRPr="002C1E2B" w:rsidRDefault="00D44DCC" w:rsidP="00D44DCC">
            <w:pPr>
              <w:pStyle w:val="BodyText"/>
              <w:spacing w:before="60" w:after="60"/>
              <w:jc w:val="center"/>
              <w:rPr>
                <w:rFonts w:ascii="Calibri" w:hAnsi="Calibri"/>
                <w:b/>
                <w:color w:val="FFFFFF" w:themeColor="background1"/>
                <w:sz w:val="20"/>
                <w:szCs w:val="20"/>
              </w:rPr>
            </w:pPr>
            <w:r w:rsidRPr="002C1E2B">
              <w:rPr>
                <w:rFonts w:ascii="Calibri" w:hAnsi="Calibri"/>
                <w:b/>
                <w:color w:val="FFFFFF" w:themeColor="background1"/>
                <w:sz w:val="20"/>
                <w:szCs w:val="20"/>
              </w:rPr>
              <w:t>Option 2</w:t>
            </w:r>
          </w:p>
        </w:tc>
        <w:tc>
          <w:tcPr>
            <w:tcW w:w="0" w:type="auto"/>
            <w:shd w:val="clear" w:color="auto" w:fill="1F497D" w:themeFill="text2"/>
          </w:tcPr>
          <w:p w14:paraId="5EF4A923" w14:textId="77777777" w:rsidR="00D44DCC" w:rsidRPr="002C1E2B" w:rsidRDefault="00D44DCC" w:rsidP="00D44DCC">
            <w:pPr>
              <w:pStyle w:val="BodyText"/>
              <w:spacing w:before="60" w:after="60"/>
              <w:jc w:val="center"/>
              <w:rPr>
                <w:rFonts w:ascii="Calibri" w:hAnsi="Calibri"/>
                <w:b/>
                <w:color w:val="FFFFFF" w:themeColor="background1"/>
                <w:sz w:val="20"/>
                <w:szCs w:val="20"/>
              </w:rPr>
            </w:pPr>
            <w:r w:rsidRPr="002C1E2B">
              <w:rPr>
                <w:rFonts w:ascii="Calibri" w:hAnsi="Calibri"/>
                <w:b/>
                <w:color w:val="FFFFFF" w:themeColor="background1"/>
                <w:sz w:val="20"/>
                <w:szCs w:val="20"/>
              </w:rPr>
              <w:t>Option 3</w:t>
            </w:r>
          </w:p>
        </w:tc>
      </w:tr>
      <w:tr w:rsidR="00A169E6" w:rsidRPr="002C1E2B" w14:paraId="26924342" w14:textId="77777777" w:rsidTr="007B2C64">
        <w:trPr>
          <w:cnfStyle w:val="000000100000" w:firstRow="0" w:lastRow="0" w:firstColumn="0" w:lastColumn="0" w:oddVBand="0" w:evenVBand="0" w:oddHBand="1" w:evenHBand="0" w:firstRowFirstColumn="0" w:firstRowLastColumn="0" w:lastRowFirstColumn="0" w:lastRowLastColumn="0"/>
          <w:jc w:val="center"/>
        </w:trPr>
        <w:tc>
          <w:tcPr>
            <w:tcW w:w="0" w:type="auto"/>
            <w:shd w:val="clear" w:color="auto" w:fill="DBE5F1" w:themeFill="accent1" w:themeFillTint="33"/>
          </w:tcPr>
          <w:p w14:paraId="6630E19C" w14:textId="77777777" w:rsidR="00D44DCC" w:rsidRPr="002C1E2B" w:rsidRDefault="00D44DCC" w:rsidP="00D44DCC">
            <w:pPr>
              <w:pStyle w:val="BodyText"/>
              <w:spacing w:before="60" w:after="60"/>
              <w:rPr>
                <w:rFonts w:ascii="Calibri" w:hAnsi="Calibri"/>
                <w:b/>
                <w:sz w:val="20"/>
                <w:szCs w:val="20"/>
              </w:rPr>
            </w:pPr>
            <w:r w:rsidRPr="002C1E2B">
              <w:rPr>
                <w:rFonts w:ascii="Calibri" w:hAnsi="Calibri"/>
                <w:b/>
                <w:sz w:val="20"/>
                <w:szCs w:val="20"/>
              </w:rPr>
              <w:t>Non-financial impacts</w:t>
            </w:r>
          </w:p>
        </w:tc>
        <w:tc>
          <w:tcPr>
            <w:tcW w:w="0" w:type="auto"/>
            <w:shd w:val="clear" w:color="auto" w:fill="DBE5F1" w:themeFill="accent1" w:themeFillTint="33"/>
          </w:tcPr>
          <w:p w14:paraId="7C4C08E4" w14:textId="77777777" w:rsidR="00D44DCC" w:rsidRPr="002C1E2B" w:rsidRDefault="00D44DCC" w:rsidP="00D44DCC">
            <w:pPr>
              <w:pStyle w:val="BodyText"/>
              <w:spacing w:before="60" w:after="60"/>
              <w:jc w:val="center"/>
              <w:rPr>
                <w:rFonts w:ascii="Calibri" w:hAnsi="Calibri"/>
                <w:b/>
                <w:sz w:val="20"/>
                <w:szCs w:val="20"/>
              </w:rPr>
            </w:pPr>
            <w:r w:rsidRPr="002C1E2B">
              <w:rPr>
                <w:rFonts w:ascii="Calibri" w:hAnsi="Calibri"/>
                <w:b/>
                <w:sz w:val="20"/>
                <w:szCs w:val="20"/>
              </w:rPr>
              <w:t>Weighting</w:t>
            </w:r>
          </w:p>
        </w:tc>
        <w:tc>
          <w:tcPr>
            <w:tcW w:w="0" w:type="auto"/>
            <w:shd w:val="clear" w:color="auto" w:fill="DBE5F1" w:themeFill="accent1" w:themeFillTint="33"/>
          </w:tcPr>
          <w:p w14:paraId="0BFE1043" w14:textId="77777777" w:rsidR="00D44DCC" w:rsidRPr="002C1E2B" w:rsidRDefault="00D44DCC" w:rsidP="00D44DCC">
            <w:pPr>
              <w:pStyle w:val="BodyText"/>
              <w:spacing w:before="60" w:after="60"/>
              <w:jc w:val="center"/>
              <w:rPr>
                <w:rFonts w:ascii="Calibri" w:hAnsi="Calibri"/>
                <w:b/>
                <w:sz w:val="20"/>
                <w:szCs w:val="20"/>
              </w:rPr>
            </w:pPr>
            <w:r w:rsidRPr="002C1E2B">
              <w:rPr>
                <w:rFonts w:ascii="Calibri" w:hAnsi="Calibri"/>
                <w:b/>
                <w:sz w:val="20"/>
                <w:szCs w:val="20"/>
              </w:rPr>
              <w:t>Score</w:t>
            </w:r>
          </w:p>
        </w:tc>
        <w:tc>
          <w:tcPr>
            <w:tcW w:w="0" w:type="auto"/>
            <w:shd w:val="clear" w:color="auto" w:fill="DBE5F1" w:themeFill="accent1" w:themeFillTint="33"/>
          </w:tcPr>
          <w:p w14:paraId="2CC2905D" w14:textId="77777777" w:rsidR="00D44DCC" w:rsidRPr="002C1E2B" w:rsidRDefault="00D44DCC" w:rsidP="00D44DCC">
            <w:pPr>
              <w:pStyle w:val="BodyText"/>
              <w:spacing w:before="60" w:after="60"/>
              <w:jc w:val="center"/>
              <w:rPr>
                <w:rFonts w:ascii="Calibri" w:hAnsi="Calibri"/>
                <w:b/>
                <w:sz w:val="20"/>
                <w:szCs w:val="20"/>
              </w:rPr>
            </w:pPr>
            <w:r w:rsidRPr="002C1E2B">
              <w:rPr>
                <w:rFonts w:ascii="Calibri" w:hAnsi="Calibri"/>
                <w:b/>
                <w:sz w:val="20"/>
                <w:szCs w:val="20"/>
              </w:rPr>
              <w:t>Score</w:t>
            </w:r>
          </w:p>
        </w:tc>
        <w:tc>
          <w:tcPr>
            <w:tcW w:w="0" w:type="auto"/>
            <w:shd w:val="clear" w:color="auto" w:fill="DBE5F1" w:themeFill="accent1" w:themeFillTint="33"/>
          </w:tcPr>
          <w:p w14:paraId="3F291833" w14:textId="77777777" w:rsidR="00D44DCC" w:rsidRPr="002C1E2B" w:rsidRDefault="00D44DCC" w:rsidP="00D44DCC">
            <w:pPr>
              <w:pStyle w:val="BodyText"/>
              <w:spacing w:before="60" w:after="60"/>
              <w:jc w:val="center"/>
              <w:rPr>
                <w:rFonts w:ascii="Calibri" w:hAnsi="Calibri"/>
                <w:b/>
                <w:sz w:val="20"/>
                <w:szCs w:val="20"/>
              </w:rPr>
            </w:pPr>
            <w:r w:rsidRPr="002C1E2B">
              <w:rPr>
                <w:rFonts w:ascii="Calibri" w:hAnsi="Calibri"/>
                <w:b/>
                <w:sz w:val="20"/>
                <w:szCs w:val="20"/>
              </w:rPr>
              <w:t>Score</w:t>
            </w:r>
          </w:p>
        </w:tc>
      </w:tr>
      <w:tr w:rsidR="00A169E6" w:rsidRPr="002C1E2B" w14:paraId="150DD1FF" w14:textId="77777777" w:rsidTr="007B2C64">
        <w:trPr>
          <w:cnfStyle w:val="000000010000" w:firstRow="0" w:lastRow="0" w:firstColumn="0" w:lastColumn="0" w:oddVBand="0" w:evenVBand="0" w:oddHBand="0" w:evenHBand="1" w:firstRowFirstColumn="0" w:firstRowLastColumn="0" w:lastRowFirstColumn="0" w:lastRowLastColumn="0"/>
          <w:jc w:val="center"/>
        </w:trPr>
        <w:tc>
          <w:tcPr>
            <w:tcW w:w="0" w:type="auto"/>
            <w:shd w:val="clear" w:color="auto" w:fill="FFFFFF" w:themeFill="background1"/>
          </w:tcPr>
          <w:p w14:paraId="542AEF93" w14:textId="77777777" w:rsidR="00D44DCC" w:rsidRPr="002C1E2B" w:rsidRDefault="00D44DCC" w:rsidP="00D44DCC">
            <w:pPr>
              <w:pStyle w:val="BodyText"/>
              <w:spacing w:before="60" w:after="60"/>
              <w:rPr>
                <w:rFonts w:ascii="Calibri" w:hAnsi="Calibri"/>
                <w:sz w:val="20"/>
                <w:szCs w:val="20"/>
              </w:rPr>
            </w:pPr>
            <w:r w:rsidRPr="002C1E2B">
              <w:rPr>
                <w:rFonts w:ascii="Calibri" w:hAnsi="Calibri"/>
                <w:sz w:val="20"/>
                <w:szCs w:val="20"/>
              </w:rPr>
              <w:t>Minimises retrospective changes</w:t>
            </w:r>
          </w:p>
        </w:tc>
        <w:tc>
          <w:tcPr>
            <w:tcW w:w="0" w:type="auto"/>
            <w:shd w:val="clear" w:color="auto" w:fill="FFFFFF" w:themeFill="background1"/>
            <w:vAlign w:val="center"/>
          </w:tcPr>
          <w:p w14:paraId="0E35C7E0"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25%</w:t>
            </w:r>
          </w:p>
        </w:tc>
        <w:tc>
          <w:tcPr>
            <w:tcW w:w="0" w:type="auto"/>
            <w:shd w:val="clear" w:color="auto" w:fill="FFFFFF" w:themeFill="background1"/>
            <w:vAlign w:val="center"/>
          </w:tcPr>
          <w:p w14:paraId="40419E50"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+10</w:t>
            </w:r>
          </w:p>
        </w:tc>
        <w:tc>
          <w:tcPr>
            <w:tcW w:w="0" w:type="auto"/>
            <w:shd w:val="clear" w:color="auto" w:fill="FFFFFF" w:themeFill="background1"/>
            <w:vAlign w:val="center"/>
          </w:tcPr>
          <w:p w14:paraId="306336E9"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+10</w:t>
            </w:r>
          </w:p>
        </w:tc>
        <w:tc>
          <w:tcPr>
            <w:tcW w:w="0" w:type="auto"/>
            <w:shd w:val="clear" w:color="auto" w:fill="FFFFFF" w:themeFill="background1"/>
            <w:vAlign w:val="center"/>
          </w:tcPr>
          <w:p w14:paraId="693E45EF"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+5</w:t>
            </w:r>
          </w:p>
        </w:tc>
      </w:tr>
      <w:tr w:rsidR="00A169E6" w:rsidRPr="002C1E2B" w14:paraId="202109C0" w14:textId="77777777" w:rsidTr="007B2C64">
        <w:trPr>
          <w:cnfStyle w:val="000000100000" w:firstRow="0" w:lastRow="0" w:firstColumn="0" w:lastColumn="0" w:oddVBand="0" w:evenVBand="0" w:oddHBand="1" w:evenHBand="0" w:firstRowFirstColumn="0" w:firstRowLastColumn="0" w:lastRowFirstColumn="0" w:lastRowLastColumn="0"/>
          <w:jc w:val="center"/>
        </w:trPr>
        <w:tc>
          <w:tcPr>
            <w:tcW w:w="0" w:type="auto"/>
            <w:shd w:val="clear" w:color="auto" w:fill="FFFFFF" w:themeFill="background1"/>
          </w:tcPr>
          <w:p w14:paraId="4E3DD3E4" w14:textId="77777777" w:rsidR="00D44DCC" w:rsidRPr="002C1E2B" w:rsidRDefault="00D44DCC" w:rsidP="00D44DCC">
            <w:pPr>
              <w:pStyle w:val="BodyText"/>
              <w:spacing w:before="60" w:after="60"/>
              <w:rPr>
                <w:rFonts w:ascii="Calibri" w:hAnsi="Calibri"/>
                <w:sz w:val="20"/>
                <w:szCs w:val="20"/>
              </w:rPr>
            </w:pPr>
            <w:r w:rsidRPr="002C1E2B">
              <w:rPr>
                <w:rFonts w:ascii="Calibri" w:hAnsi="Calibri"/>
                <w:sz w:val="20"/>
                <w:szCs w:val="20"/>
              </w:rPr>
              <w:t>Choice of aged care payments for non-owner residents</w:t>
            </w:r>
          </w:p>
        </w:tc>
        <w:tc>
          <w:tcPr>
            <w:tcW w:w="0" w:type="auto"/>
            <w:shd w:val="clear" w:color="auto" w:fill="FFFFFF" w:themeFill="background1"/>
            <w:vAlign w:val="center"/>
          </w:tcPr>
          <w:p w14:paraId="34F6AAC5"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25%</w:t>
            </w:r>
          </w:p>
        </w:tc>
        <w:tc>
          <w:tcPr>
            <w:tcW w:w="0" w:type="auto"/>
            <w:shd w:val="clear" w:color="auto" w:fill="FFFFFF" w:themeFill="background1"/>
            <w:vAlign w:val="center"/>
          </w:tcPr>
          <w:p w14:paraId="76021258"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+10</w:t>
            </w:r>
          </w:p>
        </w:tc>
        <w:tc>
          <w:tcPr>
            <w:tcW w:w="0" w:type="auto"/>
            <w:shd w:val="clear" w:color="auto" w:fill="FFFFFF" w:themeFill="background1"/>
            <w:vAlign w:val="center"/>
          </w:tcPr>
          <w:p w14:paraId="48869E73"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+7.5</w:t>
            </w:r>
          </w:p>
        </w:tc>
        <w:tc>
          <w:tcPr>
            <w:tcW w:w="0" w:type="auto"/>
            <w:shd w:val="clear" w:color="auto" w:fill="FFFFFF" w:themeFill="background1"/>
            <w:vAlign w:val="center"/>
          </w:tcPr>
          <w:p w14:paraId="6F796B94"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+5</w:t>
            </w:r>
          </w:p>
        </w:tc>
      </w:tr>
      <w:tr w:rsidR="00A169E6" w:rsidRPr="002C1E2B" w14:paraId="4838EFB7" w14:textId="77777777" w:rsidTr="007B2C64">
        <w:trPr>
          <w:cnfStyle w:val="000000010000" w:firstRow="0" w:lastRow="0" w:firstColumn="0" w:lastColumn="0" w:oddVBand="0" w:evenVBand="0" w:oddHBand="0" w:evenHBand="1" w:firstRowFirstColumn="0" w:firstRowLastColumn="0" w:lastRowFirstColumn="0" w:lastRowLastColumn="0"/>
          <w:jc w:val="center"/>
        </w:trPr>
        <w:tc>
          <w:tcPr>
            <w:tcW w:w="0" w:type="auto"/>
            <w:shd w:val="clear" w:color="auto" w:fill="FFFFFF" w:themeFill="background1"/>
          </w:tcPr>
          <w:p w14:paraId="2E7FBD54" w14:textId="77777777" w:rsidR="00D44DCC" w:rsidRPr="002C1E2B" w:rsidRDefault="00D44DCC" w:rsidP="00D44DCC">
            <w:pPr>
              <w:pStyle w:val="BodyText"/>
              <w:spacing w:before="60" w:after="60"/>
              <w:rPr>
                <w:rFonts w:ascii="Calibri" w:hAnsi="Calibri"/>
                <w:sz w:val="20"/>
                <w:szCs w:val="20"/>
              </w:rPr>
            </w:pPr>
            <w:r w:rsidRPr="002C1E2B">
              <w:rPr>
                <w:rFonts w:ascii="Calibri" w:hAnsi="Calibri"/>
                <w:sz w:val="20"/>
                <w:szCs w:val="20"/>
              </w:rPr>
              <w:t>Viability of the sector</w:t>
            </w:r>
          </w:p>
        </w:tc>
        <w:tc>
          <w:tcPr>
            <w:tcW w:w="0" w:type="auto"/>
            <w:shd w:val="clear" w:color="auto" w:fill="FFFFFF" w:themeFill="background1"/>
            <w:vAlign w:val="center"/>
          </w:tcPr>
          <w:p w14:paraId="758F0A4B"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50%</w:t>
            </w:r>
          </w:p>
        </w:tc>
        <w:tc>
          <w:tcPr>
            <w:tcW w:w="0" w:type="auto"/>
            <w:shd w:val="clear" w:color="auto" w:fill="FFFFFF" w:themeFill="background1"/>
            <w:vAlign w:val="center"/>
          </w:tcPr>
          <w:p w14:paraId="0B8AC3BA"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-2.5</w:t>
            </w:r>
          </w:p>
        </w:tc>
        <w:tc>
          <w:tcPr>
            <w:tcW w:w="0" w:type="auto"/>
            <w:shd w:val="clear" w:color="auto" w:fill="FFFFFF" w:themeFill="background1"/>
            <w:vAlign w:val="center"/>
          </w:tcPr>
          <w:p w14:paraId="6583805F"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+7.5</w:t>
            </w:r>
          </w:p>
        </w:tc>
        <w:tc>
          <w:tcPr>
            <w:tcW w:w="0" w:type="auto"/>
            <w:shd w:val="clear" w:color="auto" w:fill="FFFFFF" w:themeFill="background1"/>
            <w:vAlign w:val="center"/>
          </w:tcPr>
          <w:p w14:paraId="00E0B97F" w14:textId="77777777" w:rsidR="00D44DCC" w:rsidRPr="002C1E2B" w:rsidRDefault="00D44DCC" w:rsidP="00D44DCC">
            <w:pPr>
              <w:spacing w:before="60" w:after="60"/>
              <w:jc w:val="right"/>
              <w:rPr>
                <w:rFonts w:ascii="Calibri" w:hAnsi="Calibri"/>
                <w:sz w:val="20"/>
                <w:szCs w:val="20"/>
              </w:rPr>
            </w:pPr>
            <w:r w:rsidRPr="002C1E2B">
              <w:rPr>
                <w:rFonts w:ascii="Calibri" w:hAnsi="Calibri"/>
                <w:sz w:val="20"/>
                <w:szCs w:val="20"/>
              </w:rPr>
              <w:t>+10</w:t>
            </w:r>
          </w:p>
        </w:tc>
      </w:tr>
      <w:tr w:rsidR="00A169E6" w:rsidRPr="002C1E2B" w14:paraId="39E13712" w14:textId="77777777" w:rsidTr="007B2C64">
        <w:trPr>
          <w:cnfStyle w:val="000000100000" w:firstRow="0" w:lastRow="0" w:firstColumn="0" w:lastColumn="0" w:oddVBand="0" w:evenVBand="0" w:oddHBand="1" w:evenHBand="0" w:firstRowFirstColumn="0" w:firstRowLastColumn="0" w:lastRowFirstColumn="0" w:lastRowLastColumn="0"/>
          <w:jc w:val="center"/>
        </w:trPr>
        <w:tc>
          <w:tcPr>
            <w:tcW w:w="0" w:type="auto"/>
            <w:shd w:val="clear" w:color="auto" w:fill="FFFFFF" w:themeFill="background1"/>
          </w:tcPr>
          <w:p w14:paraId="4B510A42" w14:textId="77777777" w:rsidR="00D44DCC" w:rsidRPr="002C1E2B" w:rsidRDefault="00D44DCC" w:rsidP="00D44DCC">
            <w:pPr>
              <w:pStyle w:val="BodyText"/>
              <w:spacing w:before="60" w:after="60"/>
              <w:jc w:val="right"/>
              <w:rPr>
                <w:rFonts w:ascii="Calibri" w:hAnsi="Calibri"/>
                <w:b/>
                <w:sz w:val="20"/>
                <w:szCs w:val="20"/>
              </w:rPr>
            </w:pPr>
            <w:r w:rsidRPr="002C1E2B">
              <w:rPr>
                <w:rFonts w:ascii="Calibri" w:hAnsi="Calibri"/>
                <w:b/>
                <w:sz w:val="20"/>
                <w:szCs w:val="20"/>
              </w:rPr>
              <w:t>Weighted average score</w:t>
            </w:r>
          </w:p>
        </w:tc>
        <w:tc>
          <w:tcPr>
            <w:tcW w:w="0" w:type="auto"/>
            <w:shd w:val="clear" w:color="auto" w:fill="FFFFFF" w:themeFill="background1"/>
          </w:tcPr>
          <w:p w14:paraId="7F0375EA" w14:textId="77777777" w:rsidR="00D44DCC" w:rsidRPr="002C1E2B" w:rsidRDefault="00D44DCC" w:rsidP="00D44DCC">
            <w:pPr>
              <w:spacing w:before="60" w:after="60"/>
              <w:jc w:val="right"/>
              <w:rPr>
                <w:rFonts w:ascii="Calibri" w:hAnsi="Calibri"/>
                <w:b/>
                <w:sz w:val="20"/>
                <w:szCs w:val="20"/>
              </w:rPr>
            </w:pPr>
          </w:p>
        </w:tc>
        <w:tc>
          <w:tcPr>
            <w:tcW w:w="0" w:type="auto"/>
            <w:shd w:val="clear" w:color="auto" w:fill="FFFFFF" w:themeFill="background1"/>
            <w:vAlign w:val="center"/>
          </w:tcPr>
          <w:p w14:paraId="42CFA072" w14:textId="77777777" w:rsidR="00D44DCC" w:rsidRPr="002C1E2B" w:rsidRDefault="00D44DCC" w:rsidP="00D44DCC">
            <w:pPr>
              <w:spacing w:before="60" w:after="60"/>
              <w:jc w:val="right"/>
              <w:rPr>
                <w:rFonts w:ascii="Calibri" w:hAnsi="Calibri"/>
                <w:b/>
                <w:sz w:val="20"/>
                <w:szCs w:val="20"/>
              </w:rPr>
            </w:pPr>
            <w:r w:rsidRPr="002C1E2B">
              <w:rPr>
                <w:rFonts w:ascii="Calibri" w:hAnsi="Calibri"/>
                <w:b/>
                <w:sz w:val="20"/>
                <w:szCs w:val="20"/>
              </w:rPr>
              <w:t>+3.75</w:t>
            </w:r>
          </w:p>
        </w:tc>
        <w:tc>
          <w:tcPr>
            <w:tcW w:w="0" w:type="auto"/>
            <w:shd w:val="clear" w:color="auto" w:fill="FFFFFF" w:themeFill="background1"/>
            <w:vAlign w:val="center"/>
          </w:tcPr>
          <w:p w14:paraId="324B1ACB" w14:textId="77777777" w:rsidR="00D44DCC" w:rsidRPr="002C1E2B" w:rsidRDefault="00D44DCC" w:rsidP="00D44DCC">
            <w:pPr>
              <w:spacing w:before="60" w:after="60"/>
              <w:jc w:val="right"/>
              <w:rPr>
                <w:rFonts w:ascii="Calibri" w:hAnsi="Calibri"/>
                <w:b/>
                <w:sz w:val="20"/>
                <w:szCs w:val="20"/>
              </w:rPr>
            </w:pPr>
            <w:r w:rsidRPr="002C1E2B">
              <w:rPr>
                <w:rFonts w:ascii="Calibri" w:hAnsi="Calibri"/>
                <w:b/>
                <w:sz w:val="20"/>
                <w:szCs w:val="20"/>
              </w:rPr>
              <w:t>+8.13</w:t>
            </w:r>
          </w:p>
        </w:tc>
        <w:tc>
          <w:tcPr>
            <w:tcW w:w="0" w:type="auto"/>
            <w:shd w:val="clear" w:color="auto" w:fill="FFFFFF" w:themeFill="background1"/>
            <w:vAlign w:val="center"/>
          </w:tcPr>
          <w:p w14:paraId="064FAE5F" w14:textId="77777777" w:rsidR="00D44DCC" w:rsidRPr="002C1E2B" w:rsidRDefault="00D44DCC" w:rsidP="00D44DCC">
            <w:pPr>
              <w:spacing w:before="60" w:after="60"/>
              <w:jc w:val="right"/>
              <w:rPr>
                <w:rFonts w:ascii="Calibri" w:hAnsi="Calibri"/>
                <w:b/>
                <w:sz w:val="20"/>
                <w:szCs w:val="20"/>
              </w:rPr>
            </w:pPr>
            <w:r w:rsidRPr="002C1E2B">
              <w:rPr>
                <w:rFonts w:ascii="Calibri" w:hAnsi="Calibri"/>
                <w:b/>
                <w:sz w:val="20"/>
                <w:szCs w:val="20"/>
              </w:rPr>
              <w:t>+7.5</w:t>
            </w:r>
          </w:p>
        </w:tc>
      </w:tr>
      <w:tr w:rsidR="00A169E6" w:rsidRPr="002C1E2B" w14:paraId="3ABE7878" w14:textId="77777777" w:rsidTr="007B2C64">
        <w:trPr>
          <w:cnfStyle w:val="000000010000" w:firstRow="0" w:lastRow="0" w:firstColumn="0" w:lastColumn="0" w:oddVBand="0" w:evenVBand="0" w:oddHBand="0" w:evenHBand="1" w:firstRowFirstColumn="0" w:firstRowLastColumn="0" w:lastRowFirstColumn="0" w:lastRowLastColumn="0"/>
          <w:jc w:val="center"/>
        </w:trPr>
        <w:tc>
          <w:tcPr>
            <w:tcW w:w="0" w:type="auto"/>
            <w:shd w:val="clear" w:color="auto" w:fill="DBE5F1" w:themeFill="accent1" w:themeFillTint="33"/>
          </w:tcPr>
          <w:p w14:paraId="100A8F19" w14:textId="77777777" w:rsidR="00D44DCC" w:rsidRPr="002C1E2B" w:rsidRDefault="00D44DCC" w:rsidP="00D44DCC">
            <w:pPr>
              <w:pStyle w:val="BodyText"/>
              <w:spacing w:before="60" w:after="60"/>
              <w:rPr>
                <w:rFonts w:ascii="Calibri" w:hAnsi="Calibri"/>
                <w:b/>
                <w:sz w:val="20"/>
                <w:szCs w:val="20"/>
              </w:rPr>
            </w:pPr>
            <w:r w:rsidRPr="002C1E2B">
              <w:rPr>
                <w:rFonts w:ascii="Calibri" w:hAnsi="Calibri"/>
                <w:b/>
                <w:sz w:val="20"/>
                <w:szCs w:val="20"/>
              </w:rPr>
              <w:t>Financial impacts (relative to base case)</w:t>
            </w:r>
          </w:p>
        </w:tc>
        <w:tc>
          <w:tcPr>
            <w:tcW w:w="0" w:type="auto"/>
            <w:shd w:val="clear" w:color="auto" w:fill="DBE5F1" w:themeFill="accent1" w:themeFillTint="33"/>
          </w:tcPr>
          <w:p w14:paraId="00207898" w14:textId="77777777" w:rsidR="00D44DCC" w:rsidRPr="002C1E2B" w:rsidRDefault="00D44DCC" w:rsidP="00D44DCC">
            <w:pPr>
              <w:spacing w:before="60" w:after="60"/>
              <w:jc w:val="right"/>
              <w:rPr>
                <w:rFonts w:ascii="Calibri" w:hAnsi="Calibri"/>
                <w:b/>
                <w:sz w:val="20"/>
                <w:szCs w:val="20"/>
              </w:rPr>
            </w:pPr>
          </w:p>
        </w:tc>
        <w:tc>
          <w:tcPr>
            <w:tcW w:w="0" w:type="auto"/>
            <w:shd w:val="clear" w:color="auto" w:fill="DBE5F1" w:themeFill="accent1" w:themeFillTint="33"/>
          </w:tcPr>
          <w:p w14:paraId="78BF0FC5" w14:textId="77777777" w:rsidR="00D44DCC" w:rsidRPr="002C1E2B" w:rsidRDefault="00D44DCC" w:rsidP="00D44DCC">
            <w:pPr>
              <w:spacing w:before="60" w:after="60"/>
              <w:jc w:val="right"/>
              <w:rPr>
                <w:rFonts w:ascii="Calibri" w:hAnsi="Calibri"/>
                <w:b/>
                <w:sz w:val="20"/>
                <w:szCs w:val="20"/>
              </w:rPr>
            </w:pPr>
            <w:r w:rsidRPr="002C1E2B">
              <w:rPr>
                <w:rFonts w:ascii="Calibri" w:hAnsi="Calibri"/>
                <w:b/>
                <w:sz w:val="20"/>
                <w:szCs w:val="20"/>
              </w:rPr>
              <w:t>$ per annum</w:t>
            </w:r>
          </w:p>
        </w:tc>
        <w:tc>
          <w:tcPr>
            <w:tcW w:w="0" w:type="auto"/>
            <w:shd w:val="clear" w:color="auto" w:fill="DBE5F1" w:themeFill="accent1" w:themeFillTint="33"/>
            <w:vAlign w:val="center"/>
          </w:tcPr>
          <w:p w14:paraId="54CCED61" w14:textId="77777777" w:rsidR="00D44DCC" w:rsidRPr="002C1E2B" w:rsidRDefault="00D44DCC" w:rsidP="00D44DCC">
            <w:pPr>
              <w:spacing w:before="60" w:after="60"/>
              <w:jc w:val="right"/>
              <w:rPr>
                <w:rFonts w:ascii="Calibri" w:hAnsi="Calibri"/>
                <w:b/>
                <w:sz w:val="20"/>
                <w:szCs w:val="20"/>
              </w:rPr>
            </w:pPr>
            <w:r w:rsidRPr="002C1E2B">
              <w:rPr>
                <w:rFonts w:ascii="Calibri" w:hAnsi="Calibri"/>
                <w:b/>
                <w:sz w:val="20"/>
                <w:szCs w:val="20"/>
              </w:rPr>
              <w:t>$ per annum</w:t>
            </w:r>
          </w:p>
        </w:tc>
        <w:tc>
          <w:tcPr>
            <w:tcW w:w="0" w:type="auto"/>
            <w:shd w:val="clear" w:color="auto" w:fill="DBE5F1" w:themeFill="accent1" w:themeFillTint="33"/>
            <w:vAlign w:val="center"/>
          </w:tcPr>
          <w:p w14:paraId="54BB9135" w14:textId="77777777" w:rsidR="00D44DCC" w:rsidRPr="002C1E2B" w:rsidRDefault="00D44DCC" w:rsidP="00D44DCC">
            <w:pPr>
              <w:spacing w:before="60" w:after="60"/>
              <w:jc w:val="right"/>
              <w:rPr>
                <w:rFonts w:ascii="Calibri" w:hAnsi="Calibri"/>
                <w:b/>
                <w:sz w:val="20"/>
                <w:szCs w:val="20"/>
              </w:rPr>
            </w:pPr>
            <w:r w:rsidRPr="002C1E2B">
              <w:rPr>
                <w:rFonts w:ascii="Calibri" w:hAnsi="Calibri"/>
                <w:b/>
                <w:sz w:val="20"/>
                <w:szCs w:val="20"/>
              </w:rPr>
              <w:t>$ per annum</w:t>
            </w:r>
          </w:p>
        </w:tc>
      </w:tr>
      <w:tr w:rsidR="00A169E6" w:rsidRPr="002C1E2B" w14:paraId="15E0035D" w14:textId="77777777" w:rsidTr="007B2C64">
        <w:trPr>
          <w:cnfStyle w:val="000000100000" w:firstRow="0" w:lastRow="0" w:firstColumn="0" w:lastColumn="0" w:oddVBand="0" w:evenVBand="0" w:oddHBand="1" w:evenHBand="0" w:firstRowFirstColumn="0" w:firstRowLastColumn="0" w:lastRowFirstColumn="0" w:lastRowLastColumn="0"/>
          <w:trHeight w:val="469"/>
          <w:jc w:val="center"/>
        </w:trPr>
        <w:tc>
          <w:tcPr>
            <w:tcW w:w="0" w:type="auto"/>
            <w:shd w:val="clear" w:color="auto" w:fill="FFFFFF" w:themeFill="background1"/>
          </w:tcPr>
          <w:p w14:paraId="382061BF" w14:textId="77777777" w:rsidR="00D44DCC" w:rsidRPr="002C1E2B" w:rsidRDefault="00D44DCC" w:rsidP="00D44DCC">
            <w:pPr>
              <w:pStyle w:val="BodyText"/>
              <w:spacing w:before="60" w:after="60"/>
              <w:rPr>
                <w:rFonts w:ascii="Calibri" w:hAnsi="Calibri"/>
                <w:sz w:val="20"/>
                <w:szCs w:val="20"/>
              </w:rPr>
            </w:pPr>
            <w:r w:rsidRPr="002C1E2B">
              <w:rPr>
                <w:rFonts w:ascii="Calibri" w:hAnsi="Calibri"/>
                <w:sz w:val="20"/>
                <w:szCs w:val="20"/>
              </w:rPr>
              <w:t>Total impacts for non-owner residents moving to aged care (average between 2018 and 2037)</w:t>
            </w:r>
          </w:p>
        </w:tc>
        <w:tc>
          <w:tcPr>
            <w:tcW w:w="0" w:type="auto"/>
            <w:shd w:val="clear" w:color="auto" w:fill="FFFFFF" w:themeFill="background1"/>
          </w:tcPr>
          <w:p w14:paraId="4D52A12C" w14:textId="77777777" w:rsidR="00D44DCC" w:rsidRPr="002C1E2B" w:rsidRDefault="00D44DCC" w:rsidP="00D44DCC">
            <w:pPr>
              <w:spacing w:before="60" w:after="60"/>
              <w:jc w:val="right"/>
              <w:rPr>
                <w:rFonts w:ascii="Calibri" w:hAnsi="Calibri"/>
                <w:b/>
                <w:sz w:val="20"/>
                <w:szCs w:val="20"/>
              </w:rPr>
            </w:pPr>
          </w:p>
        </w:tc>
        <w:tc>
          <w:tcPr>
            <w:tcW w:w="0" w:type="auto"/>
            <w:shd w:val="clear" w:color="auto" w:fill="FFFFFF" w:themeFill="background1"/>
            <w:vAlign w:val="center"/>
          </w:tcPr>
          <w:p w14:paraId="75FDE514" w14:textId="77777777" w:rsidR="00D44DCC" w:rsidRPr="002C1E2B" w:rsidRDefault="00D44DCC" w:rsidP="00D44DCC">
            <w:pPr>
              <w:spacing w:before="60" w:after="60"/>
              <w:jc w:val="right"/>
              <w:rPr>
                <w:rFonts w:ascii="Calibri" w:hAnsi="Calibri"/>
                <w:bCs/>
                <w:sz w:val="20"/>
                <w:szCs w:val="20"/>
              </w:rPr>
            </w:pPr>
            <w:r w:rsidRPr="002C1E2B">
              <w:rPr>
                <w:rFonts w:ascii="Calibri" w:hAnsi="Calibri"/>
                <w:bCs/>
                <w:sz w:val="20"/>
                <w:szCs w:val="20"/>
              </w:rPr>
              <w:t>+3,057,236</w:t>
            </w:r>
          </w:p>
        </w:tc>
        <w:tc>
          <w:tcPr>
            <w:tcW w:w="0" w:type="auto"/>
            <w:shd w:val="clear" w:color="auto" w:fill="FFFFFF" w:themeFill="background1"/>
            <w:vAlign w:val="center"/>
          </w:tcPr>
          <w:p w14:paraId="284A3723" w14:textId="77777777" w:rsidR="00D44DCC" w:rsidRPr="002C1E2B" w:rsidRDefault="00D44DCC" w:rsidP="00D44DCC">
            <w:pPr>
              <w:spacing w:before="60" w:after="60"/>
              <w:jc w:val="right"/>
              <w:rPr>
                <w:rFonts w:ascii="Calibri" w:hAnsi="Calibri"/>
                <w:bCs/>
                <w:sz w:val="20"/>
                <w:szCs w:val="20"/>
              </w:rPr>
            </w:pPr>
            <w:r w:rsidRPr="002C1E2B">
              <w:rPr>
                <w:rFonts w:ascii="Calibri" w:hAnsi="Calibri"/>
                <w:bCs/>
                <w:sz w:val="20"/>
                <w:szCs w:val="20"/>
              </w:rPr>
              <w:t>-2,122,771</w:t>
            </w:r>
          </w:p>
        </w:tc>
        <w:tc>
          <w:tcPr>
            <w:tcW w:w="0" w:type="auto"/>
            <w:shd w:val="clear" w:color="auto" w:fill="FFFFFF" w:themeFill="background1"/>
            <w:vAlign w:val="center"/>
          </w:tcPr>
          <w:p w14:paraId="423211C1" w14:textId="77777777" w:rsidR="00D44DCC" w:rsidRPr="002C1E2B" w:rsidRDefault="00D44DCC" w:rsidP="00D44DCC">
            <w:pPr>
              <w:spacing w:before="60" w:after="60"/>
              <w:jc w:val="right"/>
              <w:rPr>
                <w:rFonts w:ascii="Calibri" w:hAnsi="Calibri"/>
                <w:bCs/>
                <w:sz w:val="20"/>
                <w:szCs w:val="20"/>
              </w:rPr>
            </w:pPr>
            <w:r w:rsidRPr="002C1E2B">
              <w:rPr>
                <w:rFonts w:ascii="Calibri" w:hAnsi="Calibri"/>
                <w:bCs/>
                <w:sz w:val="20"/>
                <w:szCs w:val="20"/>
              </w:rPr>
              <w:t>-5,546,700</w:t>
            </w:r>
          </w:p>
        </w:tc>
      </w:tr>
      <w:tr w:rsidR="00A169E6" w:rsidRPr="002C1E2B" w14:paraId="379C63FA" w14:textId="77777777" w:rsidTr="007B2C64">
        <w:trPr>
          <w:cnfStyle w:val="000000010000" w:firstRow="0" w:lastRow="0" w:firstColumn="0" w:lastColumn="0" w:oddVBand="0" w:evenVBand="0" w:oddHBand="0" w:evenHBand="1" w:firstRowFirstColumn="0" w:firstRowLastColumn="0" w:lastRowFirstColumn="0" w:lastRowLastColumn="0"/>
          <w:jc w:val="center"/>
        </w:trPr>
        <w:tc>
          <w:tcPr>
            <w:tcW w:w="0" w:type="auto"/>
            <w:shd w:val="clear" w:color="auto" w:fill="FFFFFF" w:themeFill="background1"/>
          </w:tcPr>
          <w:p w14:paraId="4DEDCFFD" w14:textId="77777777" w:rsidR="00D44DCC" w:rsidRPr="002C1E2B" w:rsidRDefault="00D44DCC" w:rsidP="00D44DCC">
            <w:pPr>
              <w:pStyle w:val="BodyText"/>
              <w:spacing w:before="60" w:after="60"/>
              <w:rPr>
                <w:rFonts w:ascii="Calibri" w:hAnsi="Calibri"/>
                <w:sz w:val="20"/>
                <w:szCs w:val="20"/>
              </w:rPr>
            </w:pPr>
            <w:r w:rsidRPr="002C1E2B">
              <w:rPr>
                <w:rFonts w:ascii="Calibri" w:hAnsi="Calibri"/>
                <w:sz w:val="20"/>
                <w:szCs w:val="20"/>
              </w:rPr>
              <w:t>Total impact for sector (average between 2018 and 2037)</w:t>
            </w:r>
          </w:p>
        </w:tc>
        <w:tc>
          <w:tcPr>
            <w:tcW w:w="0" w:type="auto"/>
            <w:shd w:val="clear" w:color="auto" w:fill="FFFFFF" w:themeFill="background1"/>
          </w:tcPr>
          <w:p w14:paraId="37510882" w14:textId="77777777" w:rsidR="00D44DCC" w:rsidRPr="002C1E2B" w:rsidRDefault="00D44DCC" w:rsidP="00D44DCC">
            <w:pPr>
              <w:spacing w:before="60" w:after="60"/>
              <w:jc w:val="right"/>
              <w:rPr>
                <w:rFonts w:ascii="Calibri" w:hAnsi="Calibri"/>
                <w:b/>
                <w:sz w:val="20"/>
                <w:szCs w:val="20"/>
              </w:rPr>
            </w:pPr>
          </w:p>
        </w:tc>
        <w:tc>
          <w:tcPr>
            <w:tcW w:w="0" w:type="auto"/>
            <w:shd w:val="clear" w:color="auto" w:fill="FFFFFF" w:themeFill="background1"/>
            <w:vAlign w:val="center"/>
          </w:tcPr>
          <w:p w14:paraId="3AC036C6" w14:textId="77777777" w:rsidR="00D44DCC" w:rsidRPr="002C1E2B" w:rsidRDefault="00D44DCC" w:rsidP="00D44DCC">
            <w:pPr>
              <w:spacing w:before="60" w:after="60"/>
              <w:jc w:val="right"/>
              <w:rPr>
                <w:rFonts w:ascii="Calibri" w:hAnsi="Calibri"/>
                <w:bCs/>
                <w:sz w:val="20"/>
                <w:szCs w:val="20"/>
              </w:rPr>
            </w:pPr>
            <w:r w:rsidRPr="002C1E2B">
              <w:rPr>
                <w:rFonts w:ascii="Calibri" w:hAnsi="Calibri"/>
                <w:bCs/>
                <w:sz w:val="20"/>
                <w:szCs w:val="20"/>
              </w:rPr>
              <w:t>-1,732,998</w:t>
            </w:r>
          </w:p>
        </w:tc>
        <w:tc>
          <w:tcPr>
            <w:tcW w:w="0" w:type="auto"/>
            <w:shd w:val="clear" w:color="auto" w:fill="FFFFFF" w:themeFill="background1"/>
            <w:vAlign w:val="center"/>
          </w:tcPr>
          <w:p w14:paraId="7B0211B5" w14:textId="77777777" w:rsidR="00D44DCC" w:rsidRPr="002C1E2B" w:rsidRDefault="00D44DCC" w:rsidP="00D44DCC">
            <w:pPr>
              <w:spacing w:before="60" w:after="60"/>
              <w:jc w:val="right"/>
              <w:rPr>
                <w:rFonts w:ascii="Calibri" w:hAnsi="Calibri"/>
                <w:bCs/>
                <w:sz w:val="20"/>
                <w:szCs w:val="20"/>
              </w:rPr>
            </w:pPr>
            <w:r w:rsidRPr="002C1E2B">
              <w:rPr>
                <w:rFonts w:ascii="Calibri" w:hAnsi="Calibri"/>
                <w:bCs/>
                <w:sz w:val="20"/>
                <w:szCs w:val="20"/>
              </w:rPr>
              <w:t>+2,598,828</w:t>
            </w:r>
          </w:p>
        </w:tc>
        <w:tc>
          <w:tcPr>
            <w:tcW w:w="0" w:type="auto"/>
            <w:shd w:val="clear" w:color="auto" w:fill="FFFFFF" w:themeFill="background1"/>
            <w:vAlign w:val="center"/>
          </w:tcPr>
          <w:p w14:paraId="196E4D69" w14:textId="77777777" w:rsidR="00D44DCC" w:rsidRPr="002C1E2B" w:rsidRDefault="00D44DCC" w:rsidP="00D44DCC">
            <w:pPr>
              <w:spacing w:before="60" w:after="60"/>
              <w:jc w:val="right"/>
              <w:rPr>
                <w:rFonts w:ascii="Calibri" w:hAnsi="Calibri"/>
                <w:bCs/>
                <w:sz w:val="20"/>
                <w:szCs w:val="20"/>
              </w:rPr>
            </w:pPr>
            <w:r w:rsidRPr="002C1E2B">
              <w:rPr>
                <w:rFonts w:ascii="Calibri" w:hAnsi="Calibri"/>
                <w:bCs/>
                <w:sz w:val="20"/>
                <w:szCs w:val="20"/>
              </w:rPr>
              <w:t>+5,431,498</w:t>
            </w:r>
          </w:p>
        </w:tc>
      </w:tr>
      <w:tr w:rsidR="00A169E6" w:rsidRPr="002C1E2B" w14:paraId="6EAEF1B2" w14:textId="77777777" w:rsidTr="007B2C64">
        <w:trPr>
          <w:cnfStyle w:val="000000100000" w:firstRow="0" w:lastRow="0" w:firstColumn="0" w:lastColumn="0" w:oddVBand="0" w:evenVBand="0" w:oddHBand="1" w:evenHBand="0" w:firstRowFirstColumn="0" w:firstRowLastColumn="0" w:lastRowFirstColumn="0" w:lastRowLastColumn="0"/>
          <w:jc w:val="center"/>
        </w:trPr>
        <w:tc>
          <w:tcPr>
            <w:tcW w:w="0" w:type="auto"/>
            <w:shd w:val="clear" w:color="auto" w:fill="FFFFFF" w:themeFill="background1"/>
          </w:tcPr>
          <w:p w14:paraId="05B43575" w14:textId="77777777" w:rsidR="00D44DCC" w:rsidRPr="002C1E2B" w:rsidRDefault="00D44DCC" w:rsidP="00D44DCC">
            <w:pPr>
              <w:pStyle w:val="BodyText"/>
              <w:spacing w:before="60" w:after="60"/>
              <w:rPr>
                <w:rFonts w:ascii="Calibri" w:hAnsi="Calibri"/>
                <w:b/>
                <w:sz w:val="20"/>
                <w:szCs w:val="20"/>
              </w:rPr>
            </w:pPr>
            <w:r w:rsidRPr="002C1E2B">
              <w:rPr>
                <w:rFonts w:ascii="Calibri" w:hAnsi="Calibri"/>
                <w:b/>
                <w:sz w:val="20"/>
                <w:szCs w:val="20"/>
              </w:rPr>
              <w:t>Net impact (average between 2018 and 2037)</w:t>
            </w:r>
          </w:p>
        </w:tc>
        <w:tc>
          <w:tcPr>
            <w:tcW w:w="0" w:type="auto"/>
            <w:shd w:val="clear" w:color="auto" w:fill="FFFFFF" w:themeFill="background1"/>
          </w:tcPr>
          <w:p w14:paraId="6D736F7D" w14:textId="77777777" w:rsidR="00D44DCC" w:rsidRPr="002C1E2B" w:rsidRDefault="00D44DCC" w:rsidP="00D44DCC">
            <w:pPr>
              <w:spacing w:before="60" w:after="60"/>
              <w:jc w:val="right"/>
              <w:rPr>
                <w:rFonts w:ascii="Calibri" w:hAnsi="Calibri"/>
                <w:b/>
                <w:sz w:val="20"/>
                <w:szCs w:val="20"/>
              </w:rPr>
            </w:pPr>
          </w:p>
        </w:tc>
        <w:tc>
          <w:tcPr>
            <w:tcW w:w="0" w:type="auto"/>
            <w:shd w:val="clear" w:color="auto" w:fill="FFFFFF" w:themeFill="background1"/>
            <w:vAlign w:val="center"/>
          </w:tcPr>
          <w:p w14:paraId="00891223" w14:textId="77777777" w:rsidR="00D44DCC" w:rsidRPr="002C1E2B" w:rsidRDefault="00D44DCC" w:rsidP="00D44DCC">
            <w:pPr>
              <w:spacing w:before="60" w:after="60"/>
              <w:jc w:val="right"/>
              <w:rPr>
                <w:rFonts w:ascii="Calibri" w:hAnsi="Calibri"/>
                <w:b/>
                <w:sz w:val="20"/>
                <w:szCs w:val="20"/>
              </w:rPr>
            </w:pPr>
            <w:r w:rsidRPr="002C1E2B">
              <w:rPr>
                <w:rFonts w:ascii="Calibri" w:hAnsi="Calibri"/>
                <w:b/>
                <w:sz w:val="20"/>
                <w:szCs w:val="20"/>
              </w:rPr>
              <w:t>+1,324,238</w:t>
            </w:r>
          </w:p>
        </w:tc>
        <w:tc>
          <w:tcPr>
            <w:tcW w:w="0" w:type="auto"/>
            <w:shd w:val="clear" w:color="auto" w:fill="FFFFFF" w:themeFill="background1"/>
            <w:vAlign w:val="center"/>
          </w:tcPr>
          <w:p w14:paraId="258988A1" w14:textId="77777777" w:rsidR="00D44DCC" w:rsidRPr="002C1E2B" w:rsidRDefault="00D44DCC" w:rsidP="00D44DCC">
            <w:pPr>
              <w:spacing w:before="60" w:after="60"/>
              <w:jc w:val="right"/>
              <w:rPr>
                <w:rFonts w:ascii="Calibri" w:hAnsi="Calibri"/>
                <w:b/>
                <w:sz w:val="20"/>
                <w:szCs w:val="20"/>
              </w:rPr>
            </w:pPr>
            <w:r w:rsidRPr="002C1E2B">
              <w:rPr>
                <w:rFonts w:ascii="Calibri" w:hAnsi="Calibri"/>
                <w:b/>
                <w:sz w:val="20"/>
                <w:szCs w:val="20"/>
              </w:rPr>
              <w:t>+476,057</w:t>
            </w:r>
          </w:p>
        </w:tc>
        <w:tc>
          <w:tcPr>
            <w:tcW w:w="0" w:type="auto"/>
            <w:shd w:val="clear" w:color="auto" w:fill="FFFFFF" w:themeFill="background1"/>
            <w:vAlign w:val="center"/>
          </w:tcPr>
          <w:p w14:paraId="284B6002" w14:textId="77777777" w:rsidR="00D44DCC" w:rsidRPr="002C1E2B" w:rsidRDefault="00D44DCC" w:rsidP="00D44DCC">
            <w:pPr>
              <w:spacing w:before="60" w:after="60"/>
              <w:jc w:val="right"/>
              <w:rPr>
                <w:rFonts w:ascii="Calibri" w:hAnsi="Calibri"/>
                <w:b/>
                <w:sz w:val="20"/>
                <w:szCs w:val="20"/>
              </w:rPr>
            </w:pPr>
            <w:r w:rsidRPr="002C1E2B">
              <w:rPr>
                <w:rFonts w:ascii="Calibri" w:hAnsi="Calibri"/>
                <w:b/>
                <w:sz w:val="20"/>
                <w:szCs w:val="20"/>
              </w:rPr>
              <w:t>-115,202</w:t>
            </w:r>
          </w:p>
        </w:tc>
      </w:tr>
    </w:tbl>
    <w:p w14:paraId="487B2E5D" w14:textId="77777777" w:rsidR="00554ADE" w:rsidRDefault="00554ADE" w:rsidP="00D44DCC">
      <w:pPr>
        <w:spacing w:after="200" w:line="276" w:lineRule="auto"/>
      </w:pPr>
    </w:p>
    <w:p w14:paraId="38AE8F36" w14:textId="77777777" w:rsidR="00554ADE" w:rsidRDefault="00554ADE">
      <w:pPr>
        <w:spacing w:after="200" w:line="276" w:lineRule="auto"/>
      </w:pPr>
      <w:r>
        <w:br w:type="page"/>
      </w:r>
    </w:p>
    <w:p w14:paraId="1BB8D3E6" w14:textId="77777777" w:rsidR="00D8095A" w:rsidRPr="002C1E2B" w:rsidRDefault="00D8095A" w:rsidP="00D8095A">
      <w:pPr>
        <w:pStyle w:val="Heading1"/>
      </w:pPr>
      <w:bookmarkStart w:id="133" w:name="_Toc474258436"/>
      <w:bookmarkStart w:id="134" w:name="_Toc476739278"/>
      <w:bookmarkStart w:id="135" w:name="_Toc476585832"/>
      <w:r w:rsidRPr="002C1E2B">
        <w:lastRenderedPageBreak/>
        <w:t>Preferred option</w:t>
      </w:r>
      <w:bookmarkEnd w:id="133"/>
      <w:bookmarkEnd w:id="134"/>
      <w:bookmarkEnd w:id="135"/>
    </w:p>
    <w:p w14:paraId="1CA5EAC2" w14:textId="77777777" w:rsidR="00D8095A" w:rsidRPr="002C1E2B" w:rsidRDefault="00D8095A" w:rsidP="00D8095A">
      <w:pPr>
        <w:pStyle w:val="BodyText"/>
        <w:rPr>
          <w:i/>
        </w:rPr>
      </w:pPr>
      <w:r w:rsidRPr="002C1E2B">
        <w:rPr>
          <w:i/>
        </w:rPr>
        <w:t xml:space="preserve">This chapter provides a summary of the preferred option and the impacts of this option on small businesses and industry competition. </w:t>
      </w:r>
    </w:p>
    <w:p w14:paraId="242BE3E7" w14:textId="77777777" w:rsidR="00D8095A" w:rsidRPr="002C1E2B" w:rsidRDefault="00D8095A" w:rsidP="00D8095A">
      <w:pPr>
        <w:pStyle w:val="Heading2"/>
      </w:pPr>
      <w:bookmarkStart w:id="136" w:name="_Toc474258437"/>
      <w:bookmarkStart w:id="137" w:name="_Toc476739279"/>
      <w:bookmarkStart w:id="138" w:name="_Toc476585833"/>
      <w:r w:rsidRPr="002C1E2B">
        <w:t>Summary of preferred option and impacts</w:t>
      </w:r>
      <w:bookmarkEnd w:id="136"/>
      <w:bookmarkEnd w:id="137"/>
      <w:bookmarkEnd w:id="138"/>
    </w:p>
    <w:p w14:paraId="42D2DD13" w14:textId="77777777" w:rsidR="00D44DCC" w:rsidRPr="002C1E2B" w:rsidRDefault="00D44DCC" w:rsidP="00D44DCC">
      <w:pPr>
        <w:pStyle w:val="BodyText"/>
      </w:pPr>
      <w:bookmarkStart w:id="139" w:name="_Toc474258438"/>
      <w:r w:rsidRPr="002C1E2B">
        <w:t xml:space="preserve">Based on the analysis in Chapter 5 of this RIS, the preferred option is Option 2. This option involves remaking the Regulations in their current form, but replacing the current aged care rule (r.6) to be a DAP rule for all residents who entered retirement villages after 31 July 2006 with an optional (grandfathered) RAD rule for residents who are already living in retirement villages. Overall, the option has been assessed as best meeting the objectives of: </w:t>
      </w:r>
    </w:p>
    <w:p w14:paraId="2E77F8AC" w14:textId="77777777" w:rsidR="00B073EF" w:rsidRPr="002C1E2B" w:rsidRDefault="00B073EF" w:rsidP="00B073EF">
      <w:pPr>
        <w:pStyle w:val="ListBullet"/>
      </w:pPr>
      <w:r w:rsidRPr="002C1E2B">
        <w:rPr>
          <w:b/>
          <w:i/>
        </w:rPr>
        <w:t>Ensuring the return of non-owner residents’ exit entitlements does not interfere with their entry into aged care –</w:t>
      </w:r>
      <w:r w:rsidRPr="002C1E2B">
        <w:t xml:space="preserve"> the preferred option addresses the financial barriers of entry to aged care that can occur when there are delays returning retirement village residents’ exit entitlement. Residents who are waiting for the return of their exit entitlement are less likely to be forced to delay their entry into aged care or have to seek a cheaper/less desirable provider; </w:t>
      </w:r>
    </w:p>
    <w:p w14:paraId="4B8B9EFF" w14:textId="77777777" w:rsidR="00B073EF" w:rsidRPr="002C1E2B" w:rsidRDefault="00B073EF" w:rsidP="00B073EF">
      <w:pPr>
        <w:pStyle w:val="ListBullet"/>
      </w:pPr>
      <w:r w:rsidRPr="002C1E2B">
        <w:rPr>
          <w:b/>
          <w:i/>
        </w:rPr>
        <w:t>Addressing problems relating to the clarity and complexity of contracts –</w:t>
      </w:r>
      <w:r w:rsidRPr="002C1E2B">
        <w:t xml:space="preserve"> the preferred option maintains the regulatory amendments introduced in 2014 that addressed problems associated with the complexity of retirement village contracts. This will reduce the likelihood of residents suffering from financial or other type of harm because they have not understood the implications of their contract;</w:t>
      </w:r>
    </w:p>
    <w:p w14:paraId="465F8589" w14:textId="77777777" w:rsidR="00B073EF" w:rsidRDefault="00B073EF" w:rsidP="00B073EF">
      <w:pPr>
        <w:pStyle w:val="ListBullet"/>
      </w:pPr>
      <w:r w:rsidRPr="002C1E2B">
        <w:rPr>
          <w:b/>
          <w:bCs/>
          <w:i/>
          <w:iCs/>
        </w:rPr>
        <w:t>Minimising compliance burden on the sector</w:t>
      </w:r>
      <w:r w:rsidRPr="002C1E2B">
        <w:t xml:space="preserve"> – the option results in a small amount ongoing compliances costs associated with regulations covering the </w:t>
      </w:r>
      <w:r>
        <w:t>content and layout of contracts;</w:t>
      </w:r>
    </w:p>
    <w:p w14:paraId="5992BDFF" w14:textId="77777777" w:rsidR="00B073EF" w:rsidRDefault="00B073EF" w:rsidP="00B073EF">
      <w:pPr>
        <w:pStyle w:val="ListBullet"/>
      </w:pPr>
      <w:r w:rsidRPr="002C1E2B">
        <w:rPr>
          <w:b/>
          <w:i/>
        </w:rPr>
        <w:t>Minimising retrospective changes to non-owner residents’ contractual arrangements –</w:t>
      </w:r>
      <w:r w:rsidRPr="002C1E2B">
        <w:t xml:space="preserve"> the preferred option does not result in any retrospective changes to the conditions of existing retirement village residents, which would make them financially worse-off; </w:t>
      </w:r>
    </w:p>
    <w:p w14:paraId="6D8FC8AF" w14:textId="77777777" w:rsidR="00B073EF" w:rsidRDefault="00B073EF" w:rsidP="00B073EF">
      <w:pPr>
        <w:pStyle w:val="ListBullet"/>
      </w:pPr>
      <w:r w:rsidRPr="00B073EF">
        <w:rPr>
          <w:b/>
          <w:i/>
        </w:rPr>
        <w:t>Ensuring the ongoing viability of the sector –</w:t>
      </w:r>
      <w:r w:rsidRPr="002C1E2B">
        <w:t xml:space="preserve"> the preferred option retains exemptions to the six month rule and this more than offsets the cost of the proposed changes to the aged care rule, which results in the sector being financially better off than under the base case; </w:t>
      </w:r>
      <w:r>
        <w:t>and</w:t>
      </w:r>
    </w:p>
    <w:p w14:paraId="4012D4BD" w14:textId="77777777" w:rsidR="00D44DCC" w:rsidRPr="002C1E2B" w:rsidRDefault="00B073EF" w:rsidP="00B073EF">
      <w:pPr>
        <w:pStyle w:val="ListBullet"/>
        <w:spacing w:after="240"/>
      </w:pPr>
      <w:r w:rsidRPr="00B073EF">
        <w:rPr>
          <w:b/>
          <w:i/>
        </w:rPr>
        <w:t>Providing non-owner residents with the appropriate level of choice of aged care payment when entering into aged care –</w:t>
      </w:r>
      <w:r w:rsidRPr="002C1E2B">
        <w:t xml:space="preserve"> the preferred option does not reduce the choice that current non-owner residents will have on how they will pay for aged care. It does, however, reduce t</w:t>
      </w:r>
      <w:r>
        <w:t>he choice for future residents.</w:t>
      </w:r>
    </w:p>
    <w:p w14:paraId="2D78378B" w14:textId="5204A01D" w:rsidR="00364B96" w:rsidRPr="00A169E6" w:rsidRDefault="00D44DCC" w:rsidP="00D44DCC">
      <w:pPr>
        <w:pStyle w:val="BodyText"/>
        <w:rPr>
          <w:rStyle w:val="field-content"/>
        </w:rPr>
      </w:pPr>
      <w:r w:rsidRPr="002C1E2B">
        <w:t>The preferred option balances the financial impact between residents and retirement village operators. Under the preferred option, the total financial impact on residents will be – $2.1 million per annum and the total financial impact on retirement village operators will be +$2.6 million per annum.</w:t>
      </w:r>
      <w:r w:rsidRPr="002C1E2B">
        <w:rPr>
          <w:rStyle w:val="FootnoteReference"/>
          <w:lang w:val="en-AU"/>
        </w:rPr>
        <w:footnoteReference w:id="42"/>
      </w:r>
      <w:r w:rsidRPr="002C1E2B">
        <w:t xml:space="preserve"> The net financial impact on society of the preferred option is relatively small (+$0.5 million per annum on average over the 20 year period) as financial </w:t>
      </w:r>
      <w:r w:rsidRPr="002C1E2B">
        <w:rPr>
          <w:rStyle w:val="field-content"/>
        </w:rPr>
        <w:lastRenderedPageBreak/>
        <w:t xml:space="preserve">impacts relate mainly to transfers between village operators and residents. On an individual basis, current residents are expected to be no more than $824 worse-off, on average, than under the current arrangements. However, in extreme cases, some residents may be up to $6,607 worse-off, on average, than under current arrangements (see case studies in </w:t>
      </w:r>
      <w:r w:rsidRPr="002C1E2B">
        <w:rPr>
          <w:rStyle w:val="field-content"/>
        </w:rPr>
        <w:fldChar w:fldCharType="begin"/>
      </w:r>
      <w:r w:rsidRPr="002C1E2B">
        <w:rPr>
          <w:rStyle w:val="field-content"/>
        </w:rPr>
        <w:instrText xml:space="preserve"> REF _Ref476135334 \h </w:instrText>
      </w:r>
      <w:r w:rsidRPr="002C1E2B">
        <w:rPr>
          <w:rStyle w:val="field-content"/>
        </w:rPr>
      </w:r>
      <w:r w:rsidRPr="002C1E2B">
        <w:rPr>
          <w:rStyle w:val="field-content"/>
        </w:rPr>
        <w:fldChar w:fldCharType="separate"/>
      </w:r>
      <w:r w:rsidR="00BE6CE4" w:rsidRPr="002C1E2B">
        <w:t xml:space="preserve">Figure </w:t>
      </w:r>
      <w:r w:rsidR="00BE6CE4">
        <w:rPr>
          <w:noProof/>
        </w:rPr>
        <w:t>6</w:t>
      </w:r>
      <w:r w:rsidR="00BE6CE4">
        <w:t>.</w:t>
      </w:r>
      <w:r w:rsidR="00BE6CE4">
        <w:rPr>
          <w:noProof/>
        </w:rPr>
        <w:t>3</w:t>
      </w:r>
      <w:r w:rsidRPr="002C1E2B">
        <w:rPr>
          <w:rStyle w:val="field-content"/>
        </w:rPr>
        <w:fldChar w:fldCharType="end"/>
      </w:r>
      <w:r w:rsidRPr="002C1E2B">
        <w:rPr>
          <w:rStyle w:val="field-content"/>
        </w:rPr>
        <w:t xml:space="preserve"> and </w:t>
      </w:r>
      <w:r w:rsidRPr="002C1E2B">
        <w:rPr>
          <w:rStyle w:val="field-content"/>
        </w:rPr>
        <w:fldChar w:fldCharType="begin"/>
      </w:r>
      <w:r w:rsidRPr="002C1E2B">
        <w:rPr>
          <w:rStyle w:val="field-content"/>
        </w:rPr>
        <w:instrText xml:space="preserve"> REF _Ref476135342 \h </w:instrText>
      </w:r>
      <w:r w:rsidRPr="002C1E2B">
        <w:rPr>
          <w:rStyle w:val="field-content"/>
        </w:rPr>
      </w:r>
      <w:r w:rsidRPr="002C1E2B">
        <w:rPr>
          <w:rStyle w:val="field-content"/>
        </w:rPr>
        <w:fldChar w:fldCharType="separate"/>
      </w:r>
      <w:r w:rsidR="00BE6CE4" w:rsidRPr="002C1E2B">
        <w:t xml:space="preserve">Figure </w:t>
      </w:r>
      <w:r w:rsidR="00BE6CE4">
        <w:rPr>
          <w:noProof/>
        </w:rPr>
        <w:t>6</w:t>
      </w:r>
      <w:r w:rsidR="00BE6CE4">
        <w:t>.</w:t>
      </w:r>
      <w:r w:rsidR="00BE6CE4">
        <w:rPr>
          <w:noProof/>
        </w:rPr>
        <w:t>4</w:t>
      </w:r>
      <w:r w:rsidRPr="002C1E2B">
        <w:rPr>
          <w:rStyle w:val="field-content"/>
        </w:rPr>
        <w:fldChar w:fldCharType="end"/>
      </w:r>
      <w:r w:rsidRPr="002C1E2B">
        <w:rPr>
          <w:rStyle w:val="field-content"/>
        </w:rPr>
        <w:t>).</w:t>
      </w:r>
    </w:p>
    <w:p w14:paraId="77F7A403" w14:textId="77777777" w:rsidR="00525845" w:rsidRDefault="00525845" w:rsidP="00525845">
      <w:pPr>
        <w:pStyle w:val="BodyText"/>
      </w:pPr>
      <w:r w:rsidRPr="00FB538F">
        <w:t>The total impacts on RV operators and residents will also vary over time</w:t>
      </w:r>
      <w:r>
        <w:t xml:space="preserve">. As explained in the options analysis and in Appendix E, this is a result of changes in the population of residents who are eligible for a RAD-based aged care rule payment and a DAP-based aged care rule payment over time. </w:t>
      </w:r>
    </w:p>
    <w:p w14:paraId="725C0318" w14:textId="77777777" w:rsidR="00525845" w:rsidRDefault="00525845" w:rsidP="00525845">
      <w:pPr>
        <w:pStyle w:val="BodyText"/>
      </w:pPr>
      <w:r>
        <w:t>For example, compared to base case where the Regulations have expired:</w:t>
      </w:r>
    </w:p>
    <w:p w14:paraId="4EEFA13C" w14:textId="77777777" w:rsidR="00525845" w:rsidRDefault="00525845" w:rsidP="00525845">
      <w:pPr>
        <w:pStyle w:val="ListBullet"/>
      </w:pPr>
      <w:r>
        <w:t>Residents as a group will be better off by as much as $5.7 million in 2021, and will be worse off by as much as $7.0 million in 2032; and</w:t>
      </w:r>
    </w:p>
    <w:p w14:paraId="5A095BD4" w14:textId="77777777" w:rsidR="00525845" w:rsidRDefault="00525845" w:rsidP="00525845">
      <w:pPr>
        <w:pStyle w:val="ListBullet"/>
        <w:spacing w:after="240"/>
      </w:pPr>
      <w:r>
        <w:t xml:space="preserve">RV operators as a group will be as much as $4.9 million worse off in 2021 and as much as </w:t>
      </w:r>
      <w:r w:rsidR="00B66202">
        <w:t xml:space="preserve">$7.0 million better off in 2032 (see </w:t>
      </w:r>
      <w:r w:rsidR="00B66202">
        <w:fldChar w:fldCharType="begin"/>
      </w:r>
      <w:r w:rsidR="00B66202">
        <w:instrText xml:space="preserve"> REF _Ref476729756 \h </w:instrText>
      </w:r>
      <w:r w:rsidR="00B66202">
        <w:fldChar w:fldCharType="separate"/>
      </w:r>
      <w:r w:rsidR="00BE6CE4">
        <w:t xml:space="preserve">Figure </w:t>
      </w:r>
      <w:r w:rsidR="00BE6CE4">
        <w:rPr>
          <w:noProof/>
        </w:rPr>
        <w:t>6</w:t>
      </w:r>
      <w:r w:rsidR="00BE6CE4">
        <w:t>.</w:t>
      </w:r>
      <w:r w:rsidR="00BE6CE4">
        <w:rPr>
          <w:noProof/>
        </w:rPr>
        <w:t>1</w:t>
      </w:r>
      <w:r w:rsidR="00B66202">
        <w:fldChar w:fldCharType="end"/>
      </w:r>
      <w:r w:rsidR="00B66202">
        <w:t>).</w:t>
      </w:r>
    </w:p>
    <w:p w14:paraId="3414B679" w14:textId="77777777" w:rsidR="00525845" w:rsidRPr="00B10B38" w:rsidRDefault="00525845" w:rsidP="00525845">
      <w:pPr>
        <w:pStyle w:val="BodyText"/>
      </w:pPr>
      <w:r w:rsidRPr="00B10B38">
        <w:t xml:space="preserve">Compared to the current </w:t>
      </w:r>
      <w:r w:rsidR="00263234">
        <w:t>R</w:t>
      </w:r>
      <w:r w:rsidRPr="00B10B38">
        <w:t>egulations, under the preferred option:</w:t>
      </w:r>
    </w:p>
    <w:p w14:paraId="19A90D5C" w14:textId="77777777" w:rsidR="00525845" w:rsidRPr="00B10B38" w:rsidRDefault="00525845" w:rsidP="00525845">
      <w:pPr>
        <w:pStyle w:val="ListBullet"/>
      </w:pPr>
      <w:r>
        <w:t>R</w:t>
      </w:r>
      <w:r w:rsidRPr="00B10B38">
        <w:t>esidents as a group will initially be worse off by $0.5 million in 2018 , and will be worse off by as much as $5.5 million in 2032; and</w:t>
      </w:r>
    </w:p>
    <w:p w14:paraId="05724E41" w14:textId="77777777" w:rsidR="00525845" w:rsidRDefault="00525845" w:rsidP="00525845">
      <w:pPr>
        <w:pStyle w:val="ListBullet"/>
        <w:spacing w:after="240"/>
      </w:pPr>
      <w:r w:rsidRPr="00B10B38">
        <w:t xml:space="preserve">RV operators as a group will be up to </w:t>
      </w:r>
      <w:r>
        <w:t>$4.6 million</w:t>
      </w:r>
      <w:r w:rsidRPr="00B10B38">
        <w:t xml:space="preserve"> worse off in 2021, and up to </w:t>
      </w:r>
      <w:r>
        <w:t>$7.2 million</w:t>
      </w:r>
      <w:r w:rsidRPr="00B10B38">
        <w:t xml:space="preserve"> better off in 2032</w:t>
      </w:r>
      <w:r w:rsidR="00B66202">
        <w:t xml:space="preserve"> (see </w:t>
      </w:r>
      <w:r w:rsidR="00B66202">
        <w:fldChar w:fldCharType="begin"/>
      </w:r>
      <w:r w:rsidR="00B66202">
        <w:instrText xml:space="preserve"> REF _Ref476730164 \h </w:instrText>
      </w:r>
      <w:r w:rsidR="00B66202">
        <w:fldChar w:fldCharType="separate"/>
      </w:r>
      <w:r w:rsidR="00BE6CE4">
        <w:t xml:space="preserve">Figure </w:t>
      </w:r>
      <w:r w:rsidR="00BE6CE4">
        <w:rPr>
          <w:noProof/>
        </w:rPr>
        <w:t>6</w:t>
      </w:r>
      <w:r w:rsidR="00BE6CE4">
        <w:t>.</w:t>
      </w:r>
      <w:r w:rsidR="00BE6CE4">
        <w:rPr>
          <w:noProof/>
        </w:rPr>
        <w:t>2</w:t>
      </w:r>
      <w:r w:rsidR="00B66202">
        <w:fldChar w:fldCharType="end"/>
      </w:r>
      <w:r w:rsidR="00B66202">
        <w:t>)</w:t>
      </w:r>
      <w:r w:rsidRPr="00B10B38">
        <w:t>.</w:t>
      </w:r>
    </w:p>
    <w:p w14:paraId="0D30C033" w14:textId="77777777" w:rsidR="00C11D17" w:rsidRDefault="00C11D17" w:rsidP="00263234">
      <w:pPr>
        <w:pStyle w:val="Caption"/>
        <w:spacing w:after="120"/>
      </w:pPr>
      <w:bookmarkStart w:id="140" w:name="_Ref476729756"/>
      <w:r>
        <w:t xml:space="preserve">Figure </w:t>
      </w:r>
      <w:r>
        <w:fldChar w:fldCharType="begin"/>
      </w:r>
      <w:r>
        <w:instrText xml:space="preserve"> STYLEREF 1 \s </w:instrText>
      </w:r>
      <w:r>
        <w:fldChar w:fldCharType="separate"/>
      </w:r>
      <w:r w:rsidR="00BE6CE4">
        <w:rPr>
          <w:noProof/>
        </w:rPr>
        <w:t>6</w:t>
      </w:r>
      <w:r>
        <w:fldChar w:fldCharType="end"/>
      </w:r>
      <w:r>
        <w:t>.</w:t>
      </w:r>
      <w:r>
        <w:fldChar w:fldCharType="begin"/>
      </w:r>
      <w:r>
        <w:instrText xml:space="preserve"> SEQ Figure \* ARABIC \s 1 </w:instrText>
      </w:r>
      <w:r>
        <w:fldChar w:fldCharType="separate"/>
      </w:r>
      <w:r w:rsidR="00BE6CE4">
        <w:rPr>
          <w:noProof/>
        </w:rPr>
        <w:t>1</w:t>
      </w:r>
      <w:r>
        <w:fldChar w:fldCharType="end"/>
      </w:r>
      <w:bookmarkEnd w:id="140"/>
      <w:r>
        <w:t xml:space="preserve"> -</w:t>
      </w:r>
      <w:r w:rsidRPr="00C11D17">
        <w:t xml:space="preserve"> Financial impacts of preferred option, relative to </w:t>
      </w:r>
      <w:r w:rsidR="00B66202">
        <w:t>base case</w:t>
      </w:r>
    </w:p>
    <w:p w14:paraId="224A1AED" w14:textId="77777777" w:rsidR="00525845" w:rsidRDefault="00525845" w:rsidP="00263234">
      <w:pPr>
        <w:pStyle w:val="BodyText"/>
        <w:spacing w:after="0"/>
        <w:jc w:val="center"/>
      </w:pPr>
      <w:r w:rsidRPr="002C1E2B">
        <w:rPr>
          <w:noProof/>
          <w:lang w:eastAsia="en-AU"/>
        </w:rPr>
        <w:drawing>
          <wp:inline distT="0" distB="0" distL="0" distR="0" wp14:anchorId="3B5DD412" wp14:editId="199D89DD">
            <wp:extent cx="5732145" cy="2632956"/>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732145" cy="2632956"/>
                    </a:xfrm>
                    <a:prstGeom prst="rect">
                      <a:avLst/>
                    </a:prstGeom>
                    <a:noFill/>
                    <a:ln>
                      <a:noFill/>
                    </a:ln>
                  </pic:spPr>
                </pic:pic>
              </a:graphicData>
            </a:graphic>
          </wp:inline>
        </w:drawing>
      </w:r>
    </w:p>
    <w:p w14:paraId="0FF7CAFF" w14:textId="77777777" w:rsidR="00B66202" w:rsidRDefault="00B66202" w:rsidP="00D44DCC">
      <w:pPr>
        <w:pStyle w:val="BodyText"/>
      </w:pPr>
    </w:p>
    <w:p w14:paraId="30334465" w14:textId="77777777" w:rsidR="00B66202" w:rsidRDefault="00B66202" w:rsidP="00B66202">
      <w:pPr>
        <w:pStyle w:val="Caption"/>
      </w:pPr>
      <w:bookmarkStart w:id="141" w:name="_Ref476730164"/>
      <w:r>
        <w:lastRenderedPageBreak/>
        <w:t xml:space="preserve">Figure </w:t>
      </w:r>
      <w:r>
        <w:fldChar w:fldCharType="begin"/>
      </w:r>
      <w:r>
        <w:instrText xml:space="preserve"> STYLEREF 1 \s </w:instrText>
      </w:r>
      <w:r>
        <w:fldChar w:fldCharType="separate"/>
      </w:r>
      <w:r w:rsidR="00BE6CE4">
        <w:rPr>
          <w:noProof/>
        </w:rPr>
        <w:t>6</w:t>
      </w:r>
      <w:r>
        <w:fldChar w:fldCharType="end"/>
      </w:r>
      <w:r>
        <w:t>.</w:t>
      </w:r>
      <w:r>
        <w:fldChar w:fldCharType="begin"/>
      </w:r>
      <w:r>
        <w:instrText xml:space="preserve"> SEQ Figure \* ARABIC \s 1 </w:instrText>
      </w:r>
      <w:r>
        <w:fldChar w:fldCharType="separate"/>
      </w:r>
      <w:r w:rsidR="00BE6CE4">
        <w:rPr>
          <w:noProof/>
        </w:rPr>
        <w:t>2</w:t>
      </w:r>
      <w:r>
        <w:fldChar w:fldCharType="end"/>
      </w:r>
      <w:bookmarkEnd w:id="141"/>
      <w:r>
        <w:t xml:space="preserve"> -</w:t>
      </w:r>
      <w:r w:rsidRPr="00C11D17">
        <w:t xml:space="preserve"> Financial impacts of preferred option, relative to status quo</w:t>
      </w:r>
    </w:p>
    <w:p w14:paraId="39D3B387" w14:textId="77777777" w:rsidR="00B66202" w:rsidRDefault="00B66202" w:rsidP="00D44DCC">
      <w:pPr>
        <w:pStyle w:val="BodyText"/>
      </w:pPr>
      <w:r w:rsidRPr="002C1E2B">
        <w:rPr>
          <w:noProof/>
          <w:lang w:eastAsia="en-AU"/>
        </w:rPr>
        <w:drawing>
          <wp:inline distT="0" distB="0" distL="0" distR="0" wp14:anchorId="288AE972" wp14:editId="742A8138">
            <wp:extent cx="5732145" cy="2630582"/>
            <wp:effectExtent l="0" t="0" r="1905" b="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732145" cy="2630582"/>
                    </a:xfrm>
                    <a:prstGeom prst="rect">
                      <a:avLst/>
                    </a:prstGeom>
                    <a:noFill/>
                    <a:ln>
                      <a:noFill/>
                    </a:ln>
                  </pic:spPr>
                </pic:pic>
              </a:graphicData>
            </a:graphic>
          </wp:inline>
        </w:drawing>
      </w:r>
    </w:p>
    <w:p w14:paraId="099B1DE9" w14:textId="77777777" w:rsidR="00B66202" w:rsidRDefault="00B66202" w:rsidP="00B66202">
      <w:pPr>
        <w:pStyle w:val="BodyText"/>
      </w:pPr>
      <w:r>
        <w:t>Note: A discount rate of 4 per cent has been used for the calculation of PV.</w:t>
      </w:r>
    </w:p>
    <w:p w14:paraId="1ED71B49" w14:textId="77777777" w:rsidR="00571876" w:rsidRPr="002C1E2B" w:rsidRDefault="00571876" w:rsidP="00571876">
      <w:pPr>
        <w:pStyle w:val="Heading2"/>
      </w:pPr>
      <w:bookmarkStart w:id="142" w:name="_Toc476739280"/>
      <w:bookmarkStart w:id="143" w:name="_Toc476585834"/>
      <w:r w:rsidRPr="002C1E2B">
        <w:t xml:space="preserve">Case study to illustrate the impacts of </w:t>
      </w:r>
      <w:r w:rsidR="00AD4F67" w:rsidRPr="002C1E2B">
        <w:t xml:space="preserve">the </w:t>
      </w:r>
      <w:r w:rsidRPr="002C1E2B">
        <w:t>preferred option</w:t>
      </w:r>
      <w:bookmarkEnd w:id="142"/>
      <w:bookmarkEnd w:id="143"/>
    </w:p>
    <w:p w14:paraId="3D3E765E" w14:textId="77777777" w:rsidR="00571876" w:rsidRPr="002C1E2B" w:rsidRDefault="00571876" w:rsidP="00571876">
      <w:pPr>
        <w:pStyle w:val="BodyText"/>
      </w:pPr>
      <w:r w:rsidRPr="002C1E2B">
        <w:t>Under the preferred option, residents will be impacted differently by the Regulations depending on whether they are an existing resident, or a new resident moving in to a retirement village on or after 1 August 2017. Case studies of Margaret (an existing resident) and Joan (a future resident) have been presented below to illustrate how the operation of the Regulations will affect individual residents moving to aged care.</w:t>
      </w:r>
    </w:p>
    <w:p w14:paraId="204FCC7E" w14:textId="167F49D6" w:rsidR="00AD4F67" w:rsidRPr="002C1E2B" w:rsidRDefault="00AD4F67" w:rsidP="00B8484D">
      <w:pPr>
        <w:pStyle w:val="Caption"/>
        <w:spacing w:after="120"/>
      </w:pPr>
      <w:bookmarkStart w:id="144" w:name="_Ref476135334"/>
      <w:r w:rsidRPr="002C1E2B">
        <w:t xml:space="preserve">Figure </w:t>
      </w:r>
      <w:r w:rsidR="00C11D17">
        <w:fldChar w:fldCharType="begin"/>
      </w:r>
      <w:r w:rsidR="00C11D17">
        <w:instrText xml:space="preserve"> STYLEREF 1 \s </w:instrText>
      </w:r>
      <w:r w:rsidR="00C11D17">
        <w:fldChar w:fldCharType="separate"/>
      </w:r>
      <w:r w:rsidR="00BE6CE4">
        <w:rPr>
          <w:noProof/>
        </w:rPr>
        <w:t>6</w:t>
      </w:r>
      <w:r w:rsidR="00C11D17">
        <w:fldChar w:fldCharType="end"/>
      </w:r>
      <w:r w:rsidR="00C11D17">
        <w:t>.</w:t>
      </w:r>
      <w:r w:rsidR="00C11D17">
        <w:fldChar w:fldCharType="begin"/>
      </w:r>
      <w:r w:rsidR="00C11D17">
        <w:instrText xml:space="preserve"> SEQ Figure \* ARABIC \s 1 </w:instrText>
      </w:r>
      <w:r w:rsidR="00C11D17">
        <w:fldChar w:fldCharType="separate"/>
      </w:r>
      <w:r w:rsidR="00BE6CE4">
        <w:rPr>
          <w:noProof/>
        </w:rPr>
        <w:t>3</w:t>
      </w:r>
      <w:r w:rsidR="00C11D17">
        <w:fldChar w:fldCharType="end"/>
      </w:r>
      <w:bookmarkEnd w:id="144"/>
      <w:r w:rsidRPr="002C1E2B">
        <w:t xml:space="preserve"> – Case study to illustrate the impacts of the preferred option</w:t>
      </w:r>
    </w:p>
    <w:p w14:paraId="3064B72B" w14:textId="77777777" w:rsidR="00AD4F67" w:rsidRPr="002C1E2B" w:rsidRDefault="003E5AFE" w:rsidP="00571876">
      <w:pPr>
        <w:pStyle w:val="BodyText"/>
      </w:pPr>
      <w:r w:rsidRPr="002C1E2B">
        <w:rPr>
          <w:noProof/>
          <w:lang w:eastAsia="en-AU"/>
        </w:rPr>
        <w:drawing>
          <wp:inline distT="0" distB="0" distL="0" distR="0" wp14:anchorId="45C770D8" wp14:editId="0F40F473">
            <wp:extent cx="5732145" cy="3475990"/>
            <wp:effectExtent l="0" t="0" r="1905"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2145" cy="3475990"/>
                    </a:xfrm>
                    <a:prstGeom prst="rect">
                      <a:avLst/>
                    </a:prstGeom>
                    <a:noFill/>
                    <a:ln>
                      <a:noFill/>
                    </a:ln>
                  </pic:spPr>
                </pic:pic>
              </a:graphicData>
            </a:graphic>
          </wp:inline>
        </w:drawing>
      </w:r>
    </w:p>
    <w:p w14:paraId="22D3CBB5" w14:textId="77777777" w:rsidR="00571876" w:rsidRPr="002C1E2B" w:rsidRDefault="00571876" w:rsidP="00571876">
      <w:pPr>
        <w:pStyle w:val="Heading2"/>
      </w:pPr>
      <w:bookmarkStart w:id="145" w:name="_Toc475977169"/>
      <w:bookmarkStart w:id="146" w:name="_Toc475977376"/>
      <w:bookmarkStart w:id="147" w:name="_Toc475977176"/>
      <w:bookmarkStart w:id="148" w:name="_Toc475977383"/>
      <w:bookmarkStart w:id="149" w:name="_Toc475977177"/>
      <w:bookmarkStart w:id="150" w:name="_Toc475977384"/>
      <w:bookmarkStart w:id="151" w:name="_Toc476739281"/>
      <w:bookmarkStart w:id="152" w:name="_Toc476585835"/>
      <w:bookmarkEnd w:id="145"/>
      <w:bookmarkEnd w:id="146"/>
      <w:bookmarkEnd w:id="147"/>
      <w:bookmarkEnd w:id="148"/>
      <w:bookmarkEnd w:id="149"/>
      <w:bookmarkEnd w:id="150"/>
      <w:r w:rsidRPr="002C1E2B">
        <w:lastRenderedPageBreak/>
        <w:t>Case study to illustrate impacts of changes in key assumptions</w:t>
      </w:r>
      <w:bookmarkEnd w:id="151"/>
      <w:bookmarkEnd w:id="152"/>
    </w:p>
    <w:p w14:paraId="323AA57D" w14:textId="77777777" w:rsidR="002C3D82" w:rsidRPr="002C1E2B" w:rsidRDefault="00571876" w:rsidP="00571876">
      <w:pPr>
        <w:pStyle w:val="BodyText"/>
      </w:pPr>
      <w:r w:rsidRPr="002C1E2B">
        <w:t>The calculation of financial impacts under the preferred option uses a number of key assumptions which may have large impacts on the results of the analysis. These assumptions include</w:t>
      </w:r>
      <w:r w:rsidR="002C3D82" w:rsidRPr="002C1E2B">
        <w:t>:</w:t>
      </w:r>
      <w:r w:rsidRPr="002C1E2B">
        <w:t xml:space="preserve"> </w:t>
      </w:r>
    </w:p>
    <w:p w14:paraId="0EEB71DF" w14:textId="77777777" w:rsidR="002C3D82" w:rsidRPr="002C1E2B" w:rsidRDefault="002C3D82" w:rsidP="00B8484D">
      <w:pPr>
        <w:pStyle w:val="ListBullet"/>
      </w:pPr>
      <w:r w:rsidRPr="002C1E2B">
        <w:t>T</w:t>
      </w:r>
      <w:r w:rsidR="00571876" w:rsidRPr="002C1E2B">
        <w:t>he length of time it takes to sell a retirement village unit</w:t>
      </w:r>
      <w:r w:rsidRPr="002C1E2B">
        <w:t>;</w:t>
      </w:r>
    </w:p>
    <w:p w14:paraId="797C3A18" w14:textId="77777777" w:rsidR="002C3D82" w:rsidRPr="002C1E2B" w:rsidRDefault="002C3D82" w:rsidP="00B8484D">
      <w:pPr>
        <w:pStyle w:val="ListBullet"/>
      </w:pPr>
      <w:r w:rsidRPr="002C1E2B">
        <w:t>T</w:t>
      </w:r>
      <w:r w:rsidR="00571876" w:rsidRPr="002C1E2B">
        <w:t>he average value of exit entitlements paid under the aged care rule or six month rule</w:t>
      </w:r>
      <w:r w:rsidRPr="002C1E2B">
        <w:t xml:space="preserve">; </w:t>
      </w:r>
      <w:r w:rsidR="00571876" w:rsidRPr="002C1E2B">
        <w:t xml:space="preserve">and </w:t>
      </w:r>
    </w:p>
    <w:p w14:paraId="2DCDB2DD" w14:textId="77777777" w:rsidR="00571876" w:rsidRPr="002C1E2B" w:rsidRDefault="002C3D82" w:rsidP="00A169E6">
      <w:pPr>
        <w:pStyle w:val="ListBullet"/>
        <w:spacing w:after="240"/>
      </w:pPr>
      <w:r w:rsidRPr="002C1E2B">
        <w:t>T</w:t>
      </w:r>
      <w:r w:rsidR="00571876" w:rsidRPr="002C1E2B">
        <w:t xml:space="preserve">he financial cost to retirement village operators of paying residents an early estimated exit entitlement. </w:t>
      </w:r>
    </w:p>
    <w:p w14:paraId="4753A3C6" w14:textId="77777777" w:rsidR="00571876" w:rsidRPr="002C1E2B" w:rsidRDefault="00571876" w:rsidP="00571876">
      <w:pPr>
        <w:pStyle w:val="BodyText"/>
      </w:pPr>
      <w:r w:rsidRPr="002C1E2B">
        <w:t>These assumptions have been tested with key stakeholders through consultation conducted as part of the development of this RIS. However, it is prudent to also undertake sensitivity analysis to test how sensitive the results of the financial impact analysis are to changes in these assumptions.</w:t>
      </w:r>
    </w:p>
    <w:p w14:paraId="6EBEB473" w14:textId="77777777" w:rsidR="00571876" w:rsidRPr="002C1E2B" w:rsidRDefault="00571876" w:rsidP="00571876">
      <w:pPr>
        <w:pStyle w:val="BodyText"/>
      </w:pPr>
      <w:r w:rsidRPr="002C1E2B">
        <w:t>Two further case studies are presented below to illustrate how changes in these key assumptions may affect residents and retirement village operators.</w:t>
      </w:r>
    </w:p>
    <w:p w14:paraId="251D9198" w14:textId="2C404D4B" w:rsidR="00AD4F67" w:rsidRPr="002C1E2B" w:rsidRDefault="00AD4F67" w:rsidP="00B8484D">
      <w:pPr>
        <w:pStyle w:val="Caption"/>
        <w:spacing w:after="120"/>
      </w:pPr>
      <w:bookmarkStart w:id="153" w:name="_Ref476135342"/>
      <w:r w:rsidRPr="002C1E2B">
        <w:t xml:space="preserve">Figure </w:t>
      </w:r>
      <w:r w:rsidR="00C11D17">
        <w:fldChar w:fldCharType="begin"/>
      </w:r>
      <w:r w:rsidR="00C11D17">
        <w:instrText xml:space="preserve"> STYLEREF 1 \s </w:instrText>
      </w:r>
      <w:r w:rsidR="00C11D17">
        <w:fldChar w:fldCharType="separate"/>
      </w:r>
      <w:r w:rsidR="00BE6CE4">
        <w:rPr>
          <w:noProof/>
        </w:rPr>
        <w:t>6</w:t>
      </w:r>
      <w:r w:rsidR="00C11D17">
        <w:fldChar w:fldCharType="end"/>
      </w:r>
      <w:r w:rsidR="00C11D17">
        <w:t>.</w:t>
      </w:r>
      <w:r w:rsidR="00C11D17">
        <w:fldChar w:fldCharType="begin"/>
      </w:r>
      <w:r w:rsidR="00C11D17">
        <w:instrText xml:space="preserve"> SEQ Figure \* ARABIC \s 1 </w:instrText>
      </w:r>
      <w:r w:rsidR="00C11D17">
        <w:fldChar w:fldCharType="separate"/>
      </w:r>
      <w:r w:rsidR="00BE6CE4">
        <w:rPr>
          <w:noProof/>
        </w:rPr>
        <w:t>4</w:t>
      </w:r>
      <w:r w:rsidR="00C11D17">
        <w:fldChar w:fldCharType="end"/>
      </w:r>
      <w:bookmarkEnd w:id="153"/>
      <w:r w:rsidRPr="002C1E2B">
        <w:t xml:space="preserve"> – Case study to illustrate the impacts of changes in key assumptions</w:t>
      </w:r>
    </w:p>
    <w:p w14:paraId="7A674AC2" w14:textId="77777777" w:rsidR="00571876" w:rsidRDefault="003E5AFE" w:rsidP="00B8484D">
      <w:pPr>
        <w:pStyle w:val="BodyText"/>
        <w:spacing w:after="120"/>
      </w:pPr>
      <w:r w:rsidRPr="002C1E2B">
        <w:rPr>
          <w:noProof/>
          <w:lang w:eastAsia="en-AU"/>
        </w:rPr>
        <w:drawing>
          <wp:inline distT="0" distB="0" distL="0" distR="0" wp14:anchorId="49EE9B6C" wp14:editId="61CD4830">
            <wp:extent cx="5732145" cy="3395345"/>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732145" cy="3395345"/>
                    </a:xfrm>
                    <a:prstGeom prst="rect">
                      <a:avLst/>
                    </a:prstGeom>
                    <a:noFill/>
                    <a:ln>
                      <a:noFill/>
                    </a:ln>
                  </pic:spPr>
                </pic:pic>
              </a:graphicData>
            </a:graphic>
          </wp:inline>
        </w:drawing>
      </w:r>
    </w:p>
    <w:p w14:paraId="67ABECCF" w14:textId="77777777" w:rsidR="00352A2F" w:rsidRPr="002C1E2B" w:rsidRDefault="00352A2F" w:rsidP="00B8484D">
      <w:pPr>
        <w:pStyle w:val="BodyText"/>
        <w:spacing w:after="120"/>
      </w:pPr>
    </w:p>
    <w:p w14:paraId="49A8B676" w14:textId="77777777" w:rsidR="00571876" w:rsidRPr="002C1E2B" w:rsidRDefault="00571876" w:rsidP="00571876">
      <w:pPr>
        <w:pStyle w:val="Heading3"/>
      </w:pPr>
      <w:r w:rsidRPr="002C1E2B">
        <w:t>Summary of individual impacts</w:t>
      </w:r>
    </w:p>
    <w:p w14:paraId="686CB0F8" w14:textId="77777777" w:rsidR="00A51552" w:rsidRPr="002C1E2B" w:rsidRDefault="00571876" w:rsidP="007B5BAF">
      <w:pPr>
        <w:pStyle w:val="BodyText"/>
        <w:rPr>
          <w:b/>
          <w:bCs/>
        </w:rPr>
      </w:pPr>
      <w:r w:rsidRPr="002C1E2B">
        <w:t xml:space="preserve">The individual impacts to residents and retirement village operators increase as the sale time increases and the value of residents’ exit entitlement increases. </w:t>
      </w:r>
      <w:r w:rsidR="00554ADE">
        <w:t>A d</w:t>
      </w:r>
      <w:r w:rsidR="007B5BAF" w:rsidRPr="002C1E2B">
        <w:t xml:space="preserve">etailed table of these individual impacts </w:t>
      </w:r>
      <w:r w:rsidR="00554ADE">
        <w:t>is provided</w:t>
      </w:r>
      <w:r w:rsidR="007B5BAF" w:rsidRPr="002C1E2B">
        <w:t xml:space="preserve"> in Appendix F.</w:t>
      </w:r>
    </w:p>
    <w:p w14:paraId="2CCE0DB6" w14:textId="77777777" w:rsidR="00571876" w:rsidRPr="002C1E2B" w:rsidRDefault="00571876" w:rsidP="00571876">
      <w:pPr>
        <w:pStyle w:val="Heading2"/>
      </w:pPr>
      <w:bookmarkStart w:id="154" w:name="_Toc476739282"/>
      <w:bookmarkStart w:id="155" w:name="_Toc476585836"/>
      <w:r w:rsidRPr="002C1E2B">
        <w:lastRenderedPageBreak/>
        <w:t>Interest rate sensitivity analysis</w:t>
      </w:r>
      <w:bookmarkEnd w:id="154"/>
      <w:bookmarkEnd w:id="155"/>
    </w:p>
    <w:p w14:paraId="77F0BD01" w14:textId="77777777" w:rsidR="004035C6" w:rsidRPr="002C1E2B" w:rsidRDefault="00571876" w:rsidP="00571876">
      <w:pPr>
        <w:pStyle w:val="BodyText"/>
      </w:pPr>
      <w:r w:rsidRPr="002C1E2B">
        <w:t xml:space="preserve">A key assumption in the calculation of the financial impacts on </w:t>
      </w:r>
      <w:r w:rsidR="00EF6C0A" w:rsidRPr="002C1E2B">
        <w:rPr>
          <w:lang w:eastAsia="zh-MO"/>
        </w:rPr>
        <w:t>retirement village</w:t>
      </w:r>
      <w:r w:rsidRPr="002C1E2B">
        <w:t xml:space="preserve"> operators is the interest rate applied to any funds borrowed by the operators. The optio</w:t>
      </w:r>
      <w:r w:rsidR="004035C6" w:rsidRPr="002C1E2B">
        <w:t xml:space="preserve">ns analysis assumes a </w:t>
      </w:r>
      <w:r w:rsidR="00D44DCC" w:rsidRPr="002C1E2B">
        <w:t xml:space="preserve">nominal </w:t>
      </w:r>
      <w:r w:rsidR="004035C6" w:rsidRPr="002C1E2B">
        <w:t>rate of 5 </w:t>
      </w:r>
      <w:r w:rsidRPr="002C1E2B">
        <w:t>per cent based on a suggested interest rate presented in a consultant report on the impact of the aged care rule.</w:t>
      </w:r>
      <w:r w:rsidRPr="002C1E2B">
        <w:rPr>
          <w:rStyle w:val="FootnoteReference"/>
          <w:lang w:val="en-AU"/>
        </w:rPr>
        <w:footnoteReference w:id="43"/>
      </w:r>
      <w:r w:rsidRPr="002C1E2B">
        <w:t xml:space="preserve"> This rate has been tested with stakeholders during consultation for this RIS. As other rates have also been suggested in other reports on the impact of the aged care rule, a sensitivity analysis has been conducted comparing the main analysis (5 per cent) to a low interest rate scenario (4 per cent) and a high interest rate scenario (8 per cent). These scenarios could represent a range of interest rates available to different </w:t>
      </w:r>
      <w:r w:rsidR="00EF6C0A" w:rsidRPr="002C1E2B">
        <w:rPr>
          <w:lang w:eastAsia="zh-MO"/>
        </w:rPr>
        <w:t>retirement village</w:t>
      </w:r>
      <w:r w:rsidRPr="002C1E2B">
        <w:t xml:space="preserve"> operators, a different mix of funding sources (some early payments may be funded from retirement village operators working capital), or delay costs for retirement village operators who are financially constrained and would have used the funds for other productive purposes. </w:t>
      </w:r>
    </w:p>
    <w:p w14:paraId="698FD0E9" w14:textId="77777777" w:rsidR="00A51552" w:rsidRPr="002C1E2B" w:rsidRDefault="0094638B" w:rsidP="0094638B">
      <w:pPr>
        <w:pStyle w:val="BodyText"/>
      </w:pPr>
      <w:r w:rsidRPr="002C1E2B">
        <w:t>Table 6.1</w:t>
      </w:r>
      <w:r w:rsidR="00571876" w:rsidRPr="002C1E2B">
        <w:t xml:space="preserve"> shows how changes in the </w:t>
      </w:r>
      <w:r w:rsidR="00046CEB" w:rsidRPr="002C1E2B">
        <w:t xml:space="preserve">assumed interest </w:t>
      </w:r>
      <w:r w:rsidR="00571876" w:rsidRPr="002C1E2B">
        <w:t xml:space="preserve">rate affects the cost for each RAD rule payment and DAP rule payment for </w:t>
      </w:r>
      <w:r w:rsidR="00EF6C0A" w:rsidRPr="002C1E2B">
        <w:rPr>
          <w:lang w:eastAsia="zh-MO"/>
        </w:rPr>
        <w:t>retirement village</w:t>
      </w:r>
      <w:r w:rsidR="00571876" w:rsidRPr="002C1E2B">
        <w:t xml:space="preserve"> operators, and the total annual cost to the retirement village sector. As the interest paid by </w:t>
      </w:r>
      <w:r w:rsidR="00EF6C0A" w:rsidRPr="002C1E2B">
        <w:rPr>
          <w:lang w:eastAsia="zh-MO"/>
        </w:rPr>
        <w:t>retirement village</w:t>
      </w:r>
      <w:r w:rsidR="00571876" w:rsidRPr="002C1E2B">
        <w:t xml:space="preserve"> operators increases, the cost to operators of paying early exit entitlements under the aged care rule increases. However, regardless of the interest rate, </w:t>
      </w:r>
      <w:r w:rsidR="00EF6C0A" w:rsidRPr="002C1E2B">
        <w:rPr>
          <w:lang w:eastAsia="zh-MO"/>
        </w:rPr>
        <w:t>retirement village</w:t>
      </w:r>
      <w:r w:rsidR="00571876" w:rsidRPr="002C1E2B">
        <w:t xml:space="preserve"> operators benefit relative to the base case as they are not required to pay out the full estimated exit entitlement through the six month rule as assumed in the base case.</w:t>
      </w:r>
    </w:p>
    <w:p w14:paraId="4D4E7D18" w14:textId="77777777" w:rsidR="00571876" w:rsidRPr="002C1E2B" w:rsidRDefault="00571876" w:rsidP="008D5B99">
      <w:pPr>
        <w:pStyle w:val="Caption"/>
        <w:spacing w:after="120"/>
      </w:pPr>
      <w:r w:rsidRPr="002C1E2B">
        <w:t xml:space="preserve">Table </w:t>
      </w:r>
      <w:r w:rsidR="00B41BC0" w:rsidRPr="002C1E2B">
        <w:fldChar w:fldCharType="begin"/>
      </w:r>
      <w:r w:rsidR="00B41BC0" w:rsidRPr="002C1E2B">
        <w:instrText xml:space="preserve"> STYLEREF 1 \s </w:instrText>
      </w:r>
      <w:r w:rsidR="00B41BC0" w:rsidRPr="002C1E2B">
        <w:fldChar w:fldCharType="separate"/>
      </w:r>
      <w:r w:rsidR="00BE6CE4">
        <w:rPr>
          <w:noProof/>
        </w:rPr>
        <w:t>6</w:t>
      </w:r>
      <w:r w:rsidR="00B41BC0" w:rsidRPr="002C1E2B">
        <w:fldChar w:fldCharType="end"/>
      </w:r>
      <w:r w:rsidR="00B41BC0" w:rsidRPr="002C1E2B">
        <w:t>.</w:t>
      </w:r>
      <w:r w:rsidR="00B41BC0" w:rsidRPr="002C1E2B">
        <w:fldChar w:fldCharType="begin"/>
      </w:r>
      <w:r w:rsidR="00B41BC0" w:rsidRPr="002C1E2B">
        <w:instrText xml:space="preserve"> SEQ Table \* ARABIC \s 1 </w:instrText>
      </w:r>
      <w:r w:rsidR="00B41BC0" w:rsidRPr="002C1E2B">
        <w:fldChar w:fldCharType="separate"/>
      </w:r>
      <w:r w:rsidR="00BE6CE4">
        <w:rPr>
          <w:noProof/>
        </w:rPr>
        <w:t>1</w:t>
      </w:r>
      <w:r w:rsidR="00B41BC0" w:rsidRPr="002C1E2B">
        <w:fldChar w:fldCharType="end"/>
      </w:r>
      <w:r w:rsidRPr="002C1E2B">
        <w:t xml:space="preserve"> – </w:t>
      </w:r>
      <w:r w:rsidR="00D50CA3" w:rsidRPr="002C1E2B">
        <w:t xml:space="preserve">Interest rate sensitivity analysis: </w:t>
      </w:r>
      <w:r w:rsidRPr="002C1E2B">
        <w:t xml:space="preserve">Financial costs to </w:t>
      </w:r>
      <w:r w:rsidR="00EF6C0A" w:rsidRPr="002C1E2B">
        <w:t>retirement village</w:t>
      </w:r>
      <w:r w:rsidR="002C6151" w:rsidRPr="002C1E2B">
        <w:t xml:space="preserve"> </w:t>
      </w:r>
      <w:r w:rsidRPr="002C1E2B">
        <w:t>operators</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194"/>
        <w:gridCol w:w="2194"/>
        <w:gridCol w:w="2195"/>
      </w:tblGrid>
      <w:tr w:rsidR="00571876" w:rsidRPr="002C1E2B" w14:paraId="25B4E32B" w14:textId="77777777" w:rsidTr="00D50CA3">
        <w:trPr>
          <w:trHeight w:val="300"/>
        </w:trPr>
        <w:tc>
          <w:tcPr>
            <w:tcW w:w="2660" w:type="dxa"/>
            <w:shd w:val="clear" w:color="000000" w:fill="1F497D"/>
            <w:noWrap/>
            <w:hideMark/>
          </w:tcPr>
          <w:p w14:paraId="5721E49F" w14:textId="77777777" w:rsidR="00571876" w:rsidRPr="002C1E2B" w:rsidRDefault="00571876" w:rsidP="008D5B99">
            <w:pPr>
              <w:spacing w:before="60" w:after="60"/>
              <w:rPr>
                <w:rFonts w:ascii="Calibri" w:eastAsia="Times New Roman" w:hAnsi="Calibri" w:cs="Times New Roman"/>
                <w:b/>
                <w:bCs/>
                <w:color w:val="FFFFFF"/>
                <w:sz w:val="20"/>
                <w:szCs w:val="20"/>
                <w:lang w:eastAsia="en-AU"/>
              </w:rPr>
            </w:pPr>
            <w:r w:rsidRPr="002C1E2B">
              <w:rPr>
                <w:rFonts w:ascii="Calibri" w:eastAsia="Times New Roman" w:hAnsi="Calibri" w:cs="Times New Roman"/>
                <w:b/>
                <w:bCs/>
                <w:color w:val="FFFFFF"/>
                <w:sz w:val="20"/>
                <w:szCs w:val="20"/>
                <w:lang w:eastAsia="en-AU"/>
              </w:rPr>
              <w:t>Sensitivity analysis</w:t>
            </w:r>
          </w:p>
        </w:tc>
        <w:tc>
          <w:tcPr>
            <w:tcW w:w="2194" w:type="dxa"/>
            <w:shd w:val="clear" w:color="000000" w:fill="1F497D"/>
          </w:tcPr>
          <w:p w14:paraId="4A4C9EF9" w14:textId="77777777" w:rsidR="00571876" w:rsidRPr="002C1E2B" w:rsidRDefault="00571876" w:rsidP="008D5B99">
            <w:pPr>
              <w:spacing w:before="60" w:after="60"/>
              <w:rPr>
                <w:rFonts w:ascii="Calibri" w:eastAsia="Times New Roman" w:hAnsi="Calibri" w:cs="Times New Roman"/>
                <w:b/>
                <w:bCs/>
                <w:color w:val="FFFFFF"/>
                <w:sz w:val="20"/>
                <w:szCs w:val="20"/>
                <w:lang w:eastAsia="en-AU"/>
              </w:rPr>
            </w:pPr>
          </w:p>
        </w:tc>
        <w:tc>
          <w:tcPr>
            <w:tcW w:w="2194" w:type="dxa"/>
            <w:shd w:val="clear" w:color="000000" w:fill="1F497D"/>
            <w:noWrap/>
          </w:tcPr>
          <w:p w14:paraId="787B8FEB" w14:textId="77777777" w:rsidR="00571876" w:rsidRPr="002C1E2B" w:rsidRDefault="00571876" w:rsidP="008D5B99">
            <w:pPr>
              <w:spacing w:before="60" w:after="60"/>
              <w:rPr>
                <w:rFonts w:ascii="Calibri" w:eastAsia="Times New Roman" w:hAnsi="Calibri" w:cs="Times New Roman"/>
                <w:b/>
                <w:bCs/>
                <w:color w:val="FFFFFF"/>
                <w:sz w:val="20"/>
                <w:szCs w:val="20"/>
                <w:lang w:eastAsia="en-AU"/>
              </w:rPr>
            </w:pPr>
          </w:p>
        </w:tc>
        <w:tc>
          <w:tcPr>
            <w:tcW w:w="2195" w:type="dxa"/>
            <w:shd w:val="clear" w:color="000000" w:fill="1F497D"/>
          </w:tcPr>
          <w:p w14:paraId="374D25EE" w14:textId="77777777" w:rsidR="00571876" w:rsidRPr="002C1E2B" w:rsidRDefault="00571876" w:rsidP="008D5B99">
            <w:pPr>
              <w:spacing w:before="60" w:after="60"/>
              <w:rPr>
                <w:rFonts w:ascii="Calibri" w:eastAsia="Times New Roman" w:hAnsi="Calibri" w:cs="Times New Roman"/>
                <w:b/>
                <w:bCs/>
                <w:color w:val="FFFFFF"/>
                <w:sz w:val="20"/>
                <w:szCs w:val="20"/>
                <w:lang w:eastAsia="en-AU"/>
              </w:rPr>
            </w:pPr>
          </w:p>
        </w:tc>
      </w:tr>
      <w:tr w:rsidR="00571876" w:rsidRPr="002C1E2B" w14:paraId="00B259EF" w14:textId="77777777" w:rsidTr="00D50CA3">
        <w:trPr>
          <w:trHeight w:val="300"/>
        </w:trPr>
        <w:tc>
          <w:tcPr>
            <w:tcW w:w="2660" w:type="dxa"/>
            <w:shd w:val="clear" w:color="000000" w:fill="DBE5F1"/>
            <w:noWrap/>
            <w:hideMark/>
          </w:tcPr>
          <w:p w14:paraId="277BBBF1" w14:textId="77777777" w:rsidR="00571876" w:rsidRPr="002C1E2B" w:rsidRDefault="00571876" w:rsidP="008D5B99">
            <w:pPr>
              <w:spacing w:before="60" w:after="60"/>
              <w:rPr>
                <w:rFonts w:ascii="Calibri" w:eastAsia="Times New Roman" w:hAnsi="Calibri" w:cs="Times New Roman"/>
                <w:b/>
                <w:bCs/>
                <w:sz w:val="20"/>
                <w:szCs w:val="20"/>
                <w:lang w:eastAsia="en-AU"/>
              </w:rPr>
            </w:pPr>
          </w:p>
        </w:tc>
        <w:tc>
          <w:tcPr>
            <w:tcW w:w="2194" w:type="dxa"/>
            <w:shd w:val="clear" w:color="000000" w:fill="DBE5F1"/>
          </w:tcPr>
          <w:p w14:paraId="50E5E5CA" w14:textId="77777777" w:rsidR="00571876" w:rsidRPr="002C1E2B" w:rsidRDefault="00571876" w:rsidP="008D5B99">
            <w:pPr>
              <w:spacing w:before="60" w:after="60"/>
              <w:jc w:val="center"/>
              <w:rPr>
                <w:rFonts w:ascii="Calibri" w:eastAsia="Times New Roman" w:hAnsi="Calibri" w:cs="Times New Roman"/>
                <w:b/>
                <w:bCs/>
                <w:sz w:val="20"/>
                <w:szCs w:val="20"/>
                <w:lang w:eastAsia="en-AU"/>
              </w:rPr>
            </w:pPr>
            <w:r w:rsidRPr="002C1E2B">
              <w:rPr>
                <w:rFonts w:ascii="Calibri" w:eastAsia="Times New Roman" w:hAnsi="Calibri" w:cs="Times New Roman"/>
                <w:b/>
                <w:bCs/>
                <w:sz w:val="20"/>
                <w:szCs w:val="20"/>
                <w:lang w:eastAsia="en-AU"/>
              </w:rPr>
              <w:t>Main analysis (5%)</w:t>
            </w:r>
          </w:p>
        </w:tc>
        <w:tc>
          <w:tcPr>
            <w:tcW w:w="2194" w:type="dxa"/>
            <w:shd w:val="clear" w:color="000000" w:fill="DBE5F1"/>
            <w:noWrap/>
            <w:hideMark/>
          </w:tcPr>
          <w:p w14:paraId="1EAD5D09" w14:textId="77777777" w:rsidR="00571876" w:rsidRPr="002C1E2B" w:rsidRDefault="00571876" w:rsidP="008D5B99">
            <w:pPr>
              <w:spacing w:before="60" w:after="60"/>
              <w:jc w:val="center"/>
              <w:rPr>
                <w:rFonts w:ascii="Calibri" w:eastAsia="Times New Roman" w:hAnsi="Calibri" w:cs="Times New Roman"/>
                <w:b/>
                <w:bCs/>
                <w:sz w:val="20"/>
                <w:szCs w:val="20"/>
                <w:lang w:eastAsia="en-AU"/>
              </w:rPr>
            </w:pPr>
            <w:r w:rsidRPr="002C1E2B">
              <w:rPr>
                <w:rFonts w:ascii="Calibri" w:eastAsia="Times New Roman" w:hAnsi="Calibri" w:cs="Times New Roman"/>
                <w:b/>
                <w:bCs/>
                <w:sz w:val="20"/>
                <w:szCs w:val="20"/>
                <w:lang w:eastAsia="en-AU"/>
              </w:rPr>
              <w:t>Low interest rates (4%)</w:t>
            </w:r>
          </w:p>
        </w:tc>
        <w:tc>
          <w:tcPr>
            <w:tcW w:w="2195" w:type="dxa"/>
            <w:shd w:val="clear" w:color="000000" w:fill="DBE5F1"/>
          </w:tcPr>
          <w:p w14:paraId="7BD6F643" w14:textId="77777777" w:rsidR="00571876" w:rsidRPr="002C1E2B" w:rsidRDefault="00571876" w:rsidP="008D5B99">
            <w:pPr>
              <w:spacing w:before="60" w:after="60"/>
              <w:jc w:val="center"/>
              <w:rPr>
                <w:rFonts w:ascii="Calibri" w:eastAsia="Times New Roman" w:hAnsi="Calibri" w:cs="Times New Roman"/>
                <w:b/>
                <w:bCs/>
                <w:sz w:val="20"/>
                <w:szCs w:val="20"/>
                <w:lang w:eastAsia="en-AU"/>
              </w:rPr>
            </w:pPr>
            <w:r w:rsidRPr="002C1E2B">
              <w:rPr>
                <w:rFonts w:ascii="Calibri" w:eastAsia="Times New Roman" w:hAnsi="Calibri" w:cs="Times New Roman"/>
                <w:b/>
                <w:bCs/>
                <w:sz w:val="20"/>
                <w:szCs w:val="20"/>
                <w:lang w:eastAsia="en-AU"/>
              </w:rPr>
              <w:t>High interest rates (8%)</w:t>
            </w:r>
          </w:p>
        </w:tc>
      </w:tr>
      <w:tr w:rsidR="00571876" w:rsidRPr="002C1E2B" w14:paraId="22F72435" w14:textId="77777777" w:rsidTr="00D50CA3">
        <w:trPr>
          <w:trHeight w:val="300"/>
        </w:trPr>
        <w:tc>
          <w:tcPr>
            <w:tcW w:w="2660" w:type="dxa"/>
            <w:shd w:val="clear" w:color="000000" w:fill="FFFFFF"/>
            <w:noWrap/>
            <w:vAlign w:val="center"/>
          </w:tcPr>
          <w:p w14:paraId="5530E763" w14:textId="77777777" w:rsidR="00571876" w:rsidRPr="002C1E2B" w:rsidRDefault="00571876" w:rsidP="008D5B99">
            <w:pPr>
              <w:spacing w:before="60" w:after="60"/>
              <w:rPr>
                <w:rFonts w:ascii="Calibri" w:eastAsia="Times New Roman" w:hAnsi="Calibri" w:cs="Times New Roman"/>
                <w:sz w:val="20"/>
                <w:szCs w:val="20"/>
                <w:lang w:eastAsia="en-AU"/>
              </w:rPr>
            </w:pPr>
            <w:r w:rsidRPr="002C1E2B">
              <w:rPr>
                <w:rFonts w:ascii="Calibri" w:eastAsia="Times New Roman" w:hAnsi="Calibri" w:cs="Times New Roman"/>
                <w:sz w:val="20"/>
                <w:szCs w:val="20"/>
                <w:lang w:eastAsia="en-AU"/>
              </w:rPr>
              <w:t>Cost for average RAD rule payment</w:t>
            </w:r>
          </w:p>
        </w:tc>
        <w:tc>
          <w:tcPr>
            <w:tcW w:w="2194" w:type="dxa"/>
            <w:shd w:val="clear" w:color="000000" w:fill="FFFFFF"/>
            <w:vAlign w:val="center"/>
          </w:tcPr>
          <w:p w14:paraId="50299855" w14:textId="77777777" w:rsidR="00571876" w:rsidRPr="002C1E2B" w:rsidRDefault="00571876" w:rsidP="008D5B99">
            <w:pPr>
              <w:spacing w:before="60" w:after="60"/>
              <w:jc w:val="right"/>
              <w:rPr>
                <w:rFonts w:ascii="Calibri" w:hAnsi="Calibri"/>
                <w:sz w:val="20"/>
                <w:szCs w:val="20"/>
              </w:rPr>
            </w:pPr>
            <w:r w:rsidRPr="002C1E2B">
              <w:rPr>
                <w:rFonts w:ascii="Calibri" w:hAnsi="Calibri"/>
                <w:sz w:val="20"/>
                <w:szCs w:val="20"/>
              </w:rPr>
              <w:t>$4,254</w:t>
            </w:r>
          </w:p>
        </w:tc>
        <w:tc>
          <w:tcPr>
            <w:tcW w:w="2194" w:type="dxa"/>
            <w:shd w:val="clear" w:color="000000" w:fill="FFFFFF"/>
            <w:noWrap/>
            <w:vAlign w:val="center"/>
          </w:tcPr>
          <w:p w14:paraId="66C5D23D" w14:textId="77777777" w:rsidR="00571876" w:rsidRPr="002C1E2B" w:rsidRDefault="00571876" w:rsidP="008D5B99">
            <w:pPr>
              <w:spacing w:before="60" w:after="60"/>
              <w:jc w:val="right"/>
              <w:rPr>
                <w:rFonts w:ascii="Calibri" w:hAnsi="Calibri"/>
                <w:sz w:val="20"/>
                <w:szCs w:val="20"/>
              </w:rPr>
            </w:pPr>
            <w:r w:rsidRPr="002C1E2B">
              <w:rPr>
                <w:rFonts w:ascii="Calibri" w:hAnsi="Calibri"/>
                <w:sz w:val="20"/>
                <w:szCs w:val="20"/>
              </w:rPr>
              <w:t>$3,398</w:t>
            </w:r>
          </w:p>
        </w:tc>
        <w:tc>
          <w:tcPr>
            <w:tcW w:w="2195" w:type="dxa"/>
            <w:shd w:val="clear" w:color="000000" w:fill="FFFFFF"/>
            <w:vAlign w:val="center"/>
          </w:tcPr>
          <w:p w14:paraId="4E1F5470" w14:textId="77777777" w:rsidR="00571876" w:rsidRPr="002C1E2B" w:rsidRDefault="00571876" w:rsidP="008D5B99">
            <w:pPr>
              <w:spacing w:before="60" w:after="60"/>
              <w:jc w:val="right"/>
              <w:rPr>
                <w:rFonts w:ascii="Calibri" w:hAnsi="Calibri"/>
                <w:sz w:val="20"/>
                <w:szCs w:val="20"/>
              </w:rPr>
            </w:pPr>
            <w:r w:rsidRPr="002C1E2B">
              <w:rPr>
                <w:rFonts w:ascii="Calibri" w:hAnsi="Calibri"/>
                <w:sz w:val="20"/>
                <w:szCs w:val="20"/>
              </w:rPr>
              <w:t>$6,837</w:t>
            </w:r>
          </w:p>
        </w:tc>
      </w:tr>
      <w:tr w:rsidR="00571876" w:rsidRPr="002C1E2B" w14:paraId="6ED5A9E2" w14:textId="77777777" w:rsidTr="00D50CA3">
        <w:trPr>
          <w:trHeight w:val="300"/>
        </w:trPr>
        <w:tc>
          <w:tcPr>
            <w:tcW w:w="2660" w:type="dxa"/>
            <w:shd w:val="clear" w:color="000000" w:fill="FFFFFF"/>
            <w:noWrap/>
            <w:vAlign w:val="center"/>
          </w:tcPr>
          <w:p w14:paraId="7E34BEB8" w14:textId="77777777" w:rsidR="00571876" w:rsidRPr="002C1E2B" w:rsidRDefault="00571876" w:rsidP="008D5B99">
            <w:pPr>
              <w:spacing w:before="60" w:after="60"/>
              <w:rPr>
                <w:rFonts w:ascii="Calibri" w:eastAsia="Times New Roman" w:hAnsi="Calibri" w:cs="Times New Roman"/>
                <w:sz w:val="20"/>
                <w:szCs w:val="20"/>
                <w:lang w:eastAsia="en-AU"/>
              </w:rPr>
            </w:pPr>
            <w:r w:rsidRPr="002C1E2B">
              <w:rPr>
                <w:rFonts w:ascii="Calibri" w:eastAsia="Times New Roman" w:hAnsi="Calibri" w:cs="Times New Roman"/>
                <w:sz w:val="20"/>
                <w:szCs w:val="20"/>
                <w:lang w:eastAsia="en-AU"/>
              </w:rPr>
              <w:t>Cost for average DAP rule payment</w:t>
            </w:r>
          </w:p>
        </w:tc>
        <w:tc>
          <w:tcPr>
            <w:tcW w:w="2194" w:type="dxa"/>
            <w:shd w:val="clear" w:color="000000" w:fill="FFFFFF"/>
            <w:vAlign w:val="center"/>
          </w:tcPr>
          <w:p w14:paraId="4885A542" w14:textId="77777777" w:rsidR="00571876" w:rsidRPr="002C1E2B" w:rsidRDefault="00571876" w:rsidP="008D5B99">
            <w:pPr>
              <w:spacing w:before="60" w:after="60"/>
              <w:jc w:val="right"/>
              <w:rPr>
                <w:rFonts w:ascii="Calibri" w:hAnsi="Calibri"/>
                <w:sz w:val="20"/>
                <w:szCs w:val="20"/>
              </w:rPr>
            </w:pPr>
            <w:r w:rsidRPr="002C1E2B">
              <w:rPr>
                <w:rFonts w:ascii="Calibri" w:hAnsi="Calibri"/>
                <w:sz w:val="20"/>
                <w:szCs w:val="20"/>
              </w:rPr>
              <w:t>$421</w:t>
            </w:r>
          </w:p>
        </w:tc>
        <w:tc>
          <w:tcPr>
            <w:tcW w:w="2194" w:type="dxa"/>
            <w:shd w:val="clear" w:color="000000" w:fill="FFFFFF"/>
            <w:noWrap/>
            <w:vAlign w:val="center"/>
          </w:tcPr>
          <w:p w14:paraId="4A21BDF3" w14:textId="77777777" w:rsidR="00571876" w:rsidRPr="002C1E2B" w:rsidRDefault="00571876" w:rsidP="008D5B99">
            <w:pPr>
              <w:spacing w:before="60" w:after="60"/>
              <w:jc w:val="right"/>
              <w:rPr>
                <w:rFonts w:ascii="Calibri" w:hAnsi="Calibri"/>
                <w:sz w:val="20"/>
                <w:szCs w:val="20"/>
              </w:rPr>
            </w:pPr>
            <w:r w:rsidRPr="002C1E2B">
              <w:rPr>
                <w:rFonts w:ascii="Calibri" w:hAnsi="Calibri"/>
                <w:sz w:val="20"/>
                <w:szCs w:val="20"/>
              </w:rPr>
              <w:t>$337</w:t>
            </w:r>
          </w:p>
        </w:tc>
        <w:tc>
          <w:tcPr>
            <w:tcW w:w="2195" w:type="dxa"/>
            <w:shd w:val="clear" w:color="000000" w:fill="FFFFFF"/>
            <w:vAlign w:val="center"/>
          </w:tcPr>
          <w:p w14:paraId="0B80FF7A" w14:textId="77777777" w:rsidR="00571876" w:rsidRPr="002C1E2B" w:rsidRDefault="00571876" w:rsidP="008D5B99">
            <w:pPr>
              <w:spacing w:before="60" w:after="60"/>
              <w:jc w:val="right"/>
              <w:rPr>
                <w:rFonts w:ascii="Calibri" w:hAnsi="Calibri"/>
                <w:sz w:val="20"/>
                <w:szCs w:val="20"/>
              </w:rPr>
            </w:pPr>
            <w:r w:rsidRPr="002C1E2B">
              <w:rPr>
                <w:rFonts w:ascii="Calibri" w:hAnsi="Calibri"/>
                <w:sz w:val="20"/>
                <w:szCs w:val="20"/>
              </w:rPr>
              <w:t>$667</w:t>
            </w:r>
          </w:p>
        </w:tc>
      </w:tr>
      <w:tr w:rsidR="00453986" w:rsidRPr="002C1E2B" w14:paraId="6F847604" w14:textId="77777777" w:rsidTr="00D50CA3">
        <w:trPr>
          <w:trHeight w:val="300"/>
        </w:trPr>
        <w:tc>
          <w:tcPr>
            <w:tcW w:w="2660" w:type="dxa"/>
            <w:shd w:val="clear" w:color="000000" w:fill="FFFFFF"/>
            <w:noWrap/>
            <w:vAlign w:val="center"/>
          </w:tcPr>
          <w:p w14:paraId="15E336A5" w14:textId="77777777" w:rsidR="00453986" w:rsidRPr="002C1E2B" w:rsidRDefault="00453986" w:rsidP="008D5B99">
            <w:pPr>
              <w:spacing w:before="60" w:after="60"/>
              <w:rPr>
                <w:rFonts w:ascii="Calibri" w:eastAsia="Times New Roman" w:hAnsi="Calibri" w:cs="Times New Roman"/>
                <w:sz w:val="20"/>
                <w:szCs w:val="20"/>
                <w:lang w:eastAsia="en-AU"/>
              </w:rPr>
            </w:pPr>
            <w:r w:rsidRPr="002C1E2B">
              <w:rPr>
                <w:rFonts w:ascii="Calibri" w:eastAsia="Times New Roman" w:hAnsi="Calibri" w:cs="Times New Roman"/>
                <w:sz w:val="20"/>
                <w:szCs w:val="20"/>
                <w:lang w:eastAsia="en-AU"/>
              </w:rPr>
              <w:t>Total annual cost  to sector (average from 2018 to 2037)</w:t>
            </w:r>
          </w:p>
        </w:tc>
        <w:tc>
          <w:tcPr>
            <w:tcW w:w="2194" w:type="dxa"/>
            <w:shd w:val="clear" w:color="000000" w:fill="FFFFFF"/>
            <w:vAlign w:val="center"/>
          </w:tcPr>
          <w:p w14:paraId="48B40EDD" w14:textId="77777777" w:rsidR="00453986" w:rsidRPr="002C1E2B" w:rsidRDefault="00453986" w:rsidP="008D5B99">
            <w:pPr>
              <w:spacing w:before="60" w:after="60"/>
              <w:jc w:val="right"/>
              <w:rPr>
                <w:rFonts w:ascii="Calibri" w:hAnsi="Calibri"/>
                <w:sz w:val="20"/>
                <w:szCs w:val="20"/>
              </w:rPr>
            </w:pPr>
            <w:r w:rsidRPr="002C1E2B">
              <w:rPr>
                <w:rFonts w:ascii="Calibri" w:hAnsi="Calibri"/>
                <w:sz w:val="20"/>
                <w:szCs w:val="20"/>
              </w:rPr>
              <w:t>$3,572,826</w:t>
            </w:r>
          </w:p>
        </w:tc>
        <w:tc>
          <w:tcPr>
            <w:tcW w:w="2194" w:type="dxa"/>
            <w:shd w:val="clear" w:color="000000" w:fill="FFFFFF"/>
            <w:noWrap/>
            <w:vAlign w:val="center"/>
          </w:tcPr>
          <w:p w14:paraId="3EAB1398" w14:textId="77777777" w:rsidR="00453986" w:rsidRPr="002C1E2B" w:rsidRDefault="00453986" w:rsidP="008D5B99">
            <w:pPr>
              <w:spacing w:before="60" w:after="60"/>
              <w:jc w:val="right"/>
              <w:rPr>
                <w:rFonts w:ascii="Calibri" w:hAnsi="Calibri"/>
                <w:sz w:val="20"/>
                <w:szCs w:val="20"/>
              </w:rPr>
            </w:pPr>
            <w:r w:rsidRPr="002C1E2B">
              <w:rPr>
                <w:rFonts w:ascii="Calibri" w:hAnsi="Calibri"/>
                <w:sz w:val="20"/>
                <w:szCs w:val="20"/>
              </w:rPr>
              <w:t>$2,584,026</w:t>
            </w:r>
          </w:p>
        </w:tc>
        <w:tc>
          <w:tcPr>
            <w:tcW w:w="2195" w:type="dxa"/>
            <w:shd w:val="clear" w:color="000000" w:fill="FFFFFF"/>
            <w:vAlign w:val="center"/>
          </w:tcPr>
          <w:p w14:paraId="441B89DB" w14:textId="77777777" w:rsidR="00453986" w:rsidRPr="002C1E2B" w:rsidRDefault="00453986" w:rsidP="008D5B99">
            <w:pPr>
              <w:spacing w:before="60" w:after="60"/>
              <w:jc w:val="right"/>
              <w:rPr>
                <w:rFonts w:ascii="Calibri" w:hAnsi="Calibri"/>
                <w:sz w:val="20"/>
                <w:szCs w:val="20"/>
              </w:rPr>
            </w:pPr>
            <w:r w:rsidRPr="002C1E2B">
              <w:rPr>
                <w:rFonts w:ascii="Calibri" w:hAnsi="Calibri"/>
                <w:sz w:val="20"/>
                <w:szCs w:val="20"/>
              </w:rPr>
              <w:t>$5,741,996</w:t>
            </w:r>
          </w:p>
        </w:tc>
      </w:tr>
      <w:tr w:rsidR="00453986" w:rsidRPr="002C1E2B" w14:paraId="6218D59E" w14:textId="77777777" w:rsidTr="00D50CA3">
        <w:trPr>
          <w:trHeight w:val="300"/>
        </w:trPr>
        <w:tc>
          <w:tcPr>
            <w:tcW w:w="2660" w:type="dxa"/>
            <w:shd w:val="clear" w:color="000000" w:fill="FFFFFF"/>
            <w:noWrap/>
            <w:vAlign w:val="center"/>
          </w:tcPr>
          <w:p w14:paraId="47B06107" w14:textId="77777777" w:rsidR="00453986" w:rsidRPr="002C1E2B" w:rsidRDefault="00453986" w:rsidP="008D5B99">
            <w:pPr>
              <w:spacing w:before="60" w:after="60"/>
              <w:rPr>
                <w:rFonts w:ascii="Calibri" w:eastAsia="Times New Roman" w:hAnsi="Calibri" w:cs="Times New Roman"/>
                <w:b/>
                <w:sz w:val="20"/>
                <w:szCs w:val="20"/>
                <w:lang w:eastAsia="en-AU"/>
              </w:rPr>
            </w:pPr>
            <w:r w:rsidRPr="002C1E2B">
              <w:rPr>
                <w:rFonts w:ascii="Calibri" w:eastAsia="Times New Roman" w:hAnsi="Calibri" w:cs="Times New Roman"/>
                <w:b/>
                <w:sz w:val="20"/>
                <w:szCs w:val="20"/>
                <w:lang w:eastAsia="en-AU"/>
              </w:rPr>
              <w:t>Total annual impact to sector relative to base case (average from 2018 to 2037)*</w:t>
            </w:r>
          </w:p>
        </w:tc>
        <w:tc>
          <w:tcPr>
            <w:tcW w:w="2194" w:type="dxa"/>
            <w:shd w:val="clear" w:color="000000" w:fill="FFFFFF"/>
            <w:vAlign w:val="center"/>
          </w:tcPr>
          <w:p w14:paraId="548720D5" w14:textId="77777777" w:rsidR="00453986" w:rsidRPr="002C1E2B" w:rsidRDefault="00453986" w:rsidP="008D5B99">
            <w:pPr>
              <w:spacing w:before="60" w:after="60"/>
              <w:jc w:val="right"/>
              <w:rPr>
                <w:rFonts w:ascii="Calibri" w:hAnsi="Calibri"/>
                <w:b/>
                <w:sz w:val="20"/>
                <w:szCs w:val="20"/>
              </w:rPr>
            </w:pPr>
            <w:r w:rsidRPr="002C1E2B">
              <w:rPr>
                <w:rFonts w:ascii="Calibri" w:hAnsi="Calibri"/>
                <w:b/>
                <w:sz w:val="20"/>
                <w:szCs w:val="20"/>
              </w:rPr>
              <w:t>+$2,598,828</w:t>
            </w:r>
          </w:p>
        </w:tc>
        <w:tc>
          <w:tcPr>
            <w:tcW w:w="2194" w:type="dxa"/>
            <w:shd w:val="clear" w:color="000000" w:fill="FFFFFF"/>
            <w:noWrap/>
            <w:vAlign w:val="center"/>
          </w:tcPr>
          <w:p w14:paraId="5F037CAB" w14:textId="77777777" w:rsidR="00453986" w:rsidRPr="002C1E2B" w:rsidRDefault="00453986" w:rsidP="008D5B99">
            <w:pPr>
              <w:spacing w:before="60" w:after="60"/>
              <w:jc w:val="right"/>
              <w:rPr>
                <w:rFonts w:ascii="Calibri" w:hAnsi="Calibri"/>
                <w:b/>
                <w:sz w:val="20"/>
                <w:szCs w:val="20"/>
              </w:rPr>
            </w:pPr>
            <w:r w:rsidRPr="002C1E2B">
              <w:rPr>
                <w:rFonts w:ascii="Calibri" w:hAnsi="Calibri"/>
                <w:b/>
                <w:sz w:val="20"/>
                <w:szCs w:val="20"/>
              </w:rPr>
              <w:t>+$2,076,105</w:t>
            </w:r>
          </w:p>
        </w:tc>
        <w:tc>
          <w:tcPr>
            <w:tcW w:w="2195" w:type="dxa"/>
            <w:shd w:val="clear" w:color="000000" w:fill="FFFFFF"/>
            <w:vAlign w:val="center"/>
          </w:tcPr>
          <w:p w14:paraId="23D29E8A" w14:textId="77777777" w:rsidR="00453986" w:rsidRPr="002C1E2B" w:rsidRDefault="00453986" w:rsidP="008D5B99">
            <w:pPr>
              <w:spacing w:before="60" w:after="60"/>
              <w:jc w:val="right"/>
              <w:rPr>
                <w:rFonts w:ascii="Calibri" w:hAnsi="Calibri"/>
                <w:b/>
                <w:sz w:val="20"/>
                <w:szCs w:val="20"/>
              </w:rPr>
            </w:pPr>
            <w:r w:rsidRPr="002C1E2B">
              <w:rPr>
                <w:rFonts w:ascii="Calibri" w:hAnsi="Calibri"/>
                <w:b/>
                <w:sz w:val="20"/>
                <w:szCs w:val="20"/>
              </w:rPr>
              <w:t>+$4,175,927</w:t>
            </w:r>
          </w:p>
        </w:tc>
      </w:tr>
    </w:tbl>
    <w:p w14:paraId="6DC80528" w14:textId="77777777" w:rsidR="00571876" w:rsidRPr="002C1E2B" w:rsidRDefault="00571876" w:rsidP="00571876">
      <w:pPr>
        <w:pStyle w:val="BodyText"/>
        <w:rPr>
          <w:sz w:val="20"/>
        </w:rPr>
      </w:pPr>
      <w:r w:rsidRPr="002C1E2B">
        <w:rPr>
          <w:sz w:val="20"/>
        </w:rPr>
        <w:t xml:space="preserve">*Total financial impacts are shown as a positive number (+) for benefits. As costs under the base case are higher than the preferred option for retirement village operators, operators benefit from the preferred option regardless of interest rates. </w:t>
      </w:r>
    </w:p>
    <w:p w14:paraId="2D7ACBEA" w14:textId="77777777" w:rsidR="00D8095A" w:rsidRPr="002C1E2B" w:rsidRDefault="00D8095A" w:rsidP="00D8095A">
      <w:pPr>
        <w:pStyle w:val="Heading2"/>
      </w:pPr>
      <w:bookmarkStart w:id="156" w:name="_Toc476739283"/>
      <w:bookmarkStart w:id="157" w:name="_Toc476585837"/>
      <w:r w:rsidRPr="002C1E2B">
        <w:lastRenderedPageBreak/>
        <w:t>Impact on small businesses</w:t>
      </w:r>
      <w:bookmarkEnd w:id="139"/>
      <w:bookmarkEnd w:id="156"/>
      <w:bookmarkEnd w:id="157"/>
    </w:p>
    <w:p w14:paraId="5AED9790" w14:textId="77777777" w:rsidR="002C6151" w:rsidRPr="002C1E2B" w:rsidRDefault="002C6151" w:rsidP="002C6151">
      <w:pPr>
        <w:pStyle w:val="BodyText"/>
      </w:pPr>
      <w:r w:rsidRPr="002C1E2B">
        <w:t>It is Victorian Government policy to specifically consider the impact of proposed amendments to legislative proposals on small businesses in RISs. Where the costs of compliance with regulations comprise a significant proportion of business costs, small business may be affected disproportionately by such costs compared to large businesses.</w:t>
      </w:r>
    </w:p>
    <w:p w14:paraId="67DC5B0F" w14:textId="77777777" w:rsidR="002C6151" w:rsidRPr="002C1E2B" w:rsidRDefault="002C6151" w:rsidP="002C6151">
      <w:pPr>
        <w:pStyle w:val="BodyText"/>
      </w:pPr>
      <w:r w:rsidRPr="002C1E2B">
        <w:t>As the preferred option could potentially involve large cash flow impacts for retirement village operators, consideration must be given to the viability of smaller retirement village operators. More than 30 per cent of retirement villages in Victoria have less than 50 retirement village units (villages vary in size from 6 units up to 600).</w:t>
      </w:r>
      <w:r w:rsidRPr="002C1E2B">
        <w:rPr>
          <w:rStyle w:val="FootnoteReference"/>
          <w:lang w:val="en-AU"/>
        </w:rPr>
        <w:footnoteReference w:id="44"/>
      </w:r>
      <w:r w:rsidRPr="002C1E2B">
        <w:t xml:space="preserve"> Smaller retirement village operators are likely to have a smaller pool of capital at their disposal to fund their residents’ aged care costs prior to the sale of the unit</w:t>
      </w:r>
      <w:r w:rsidR="00BD31CD" w:rsidRPr="002C1E2B">
        <w:t xml:space="preserve"> and </w:t>
      </w:r>
      <w:r w:rsidRPr="002C1E2B">
        <w:t xml:space="preserve">they may not be able to manage large cash flow impacts as well as a larger retirement village operator can. </w:t>
      </w:r>
    </w:p>
    <w:p w14:paraId="0B9E2FEF" w14:textId="77777777" w:rsidR="002C6151" w:rsidRPr="002C1E2B" w:rsidRDefault="002C6151" w:rsidP="002C6151">
      <w:pPr>
        <w:pStyle w:val="BodyText"/>
      </w:pPr>
      <w:r w:rsidRPr="002C1E2B">
        <w:t xml:space="preserve">However, it is unlikely that smaller retirement village operators would be significantly impacted by the preferred option, especially when comparing the impacts to the base case where retirement village operators would have to pay the full exit entitlement of a resident at six months (or earlier if the unit is sold earlier) because it is assumed that the six month rule exemption is applied universally. </w:t>
      </w:r>
    </w:p>
    <w:p w14:paraId="4EA1A35D" w14:textId="77777777" w:rsidR="002C6151" w:rsidRPr="002C1E2B" w:rsidRDefault="002C6151" w:rsidP="002C6151">
      <w:pPr>
        <w:pStyle w:val="BodyText"/>
      </w:pPr>
      <w:r w:rsidRPr="002C1E2B">
        <w:t xml:space="preserve">Additionally, the preferred option makes provision for a safety net for retirement village operators including a cap on exit entitlements paid of 85 per cent and hardship provisions where operators can apply </w:t>
      </w:r>
      <w:r w:rsidR="00BD31CD" w:rsidRPr="002C1E2B">
        <w:rPr>
          <w:rFonts w:ascii="Times New Roman" w:eastAsia="MS PMincho" w:hAnsi="Times New Roman"/>
        </w:rPr>
        <w:t>for exemption from the requirement to pay RADs (and pay DAPs instead)</w:t>
      </w:r>
      <w:r w:rsidRPr="002C1E2B">
        <w:t>.</w:t>
      </w:r>
    </w:p>
    <w:p w14:paraId="2A0501D3" w14:textId="77777777" w:rsidR="002C6151" w:rsidRPr="002C1E2B" w:rsidRDefault="002C6151" w:rsidP="002C6151">
      <w:pPr>
        <w:pStyle w:val="Heading2"/>
      </w:pPr>
      <w:bookmarkStart w:id="158" w:name="_Toc474258439"/>
      <w:bookmarkStart w:id="159" w:name="_Toc476739284"/>
      <w:bookmarkStart w:id="160" w:name="_Toc476585838"/>
      <w:r w:rsidRPr="002C1E2B">
        <w:rPr>
          <w:sz w:val="28"/>
          <w:szCs w:val="28"/>
        </w:rPr>
        <w:t>Competition Assessment</w:t>
      </w:r>
      <w:bookmarkEnd w:id="158"/>
      <w:bookmarkEnd w:id="159"/>
      <w:bookmarkEnd w:id="160"/>
    </w:p>
    <w:p w14:paraId="1D23C9BB" w14:textId="77777777" w:rsidR="002C6151" w:rsidRPr="002C1E2B" w:rsidRDefault="002C6151" w:rsidP="002C6151">
      <w:pPr>
        <w:pStyle w:val="BodyText"/>
      </w:pPr>
      <w:r w:rsidRPr="002C1E2B">
        <w:t>Under the Competition Principles Agreement, the Victorian Government is required to consider whether regulatory proposals will restrict competition. If competition is restricted, a RIS must demonstrate that the Government's objectives can be only achieved by restricting competition and that the benefits of the restriction outweigh the costs.</w:t>
      </w:r>
    </w:p>
    <w:p w14:paraId="00FEC8C1" w14:textId="77777777" w:rsidR="002C6151" w:rsidRPr="002C1E2B" w:rsidRDefault="002C6151" w:rsidP="002C6151">
      <w:pPr>
        <w:pStyle w:val="BodyText"/>
      </w:pPr>
      <w:r w:rsidRPr="002C1E2B">
        <w:t>In order to assess whether the proposed Regulations will restrict competition, the following ‘competition test’ has been applied. A legislative amendment is considered to have an impact on competition if any of the following questions in the table below can be answered in the affirmative.</w:t>
      </w:r>
    </w:p>
    <w:p w14:paraId="496841F8" w14:textId="77777777" w:rsidR="00D8095A" w:rsidRPr="002C1E2B" w:rsidRDefault="002C6151" w:rsidP="002C6151">
      <w:pPr>
        <w:pStyle w:val="BodyText"/>
      </w:pPr>
      <w:r w:rsidRPr="002C1E2B">
        <w:t>While there is potential for the financial impacts to affect some retirement village operators and residents more than others, this is unlikely to result in a restriction in competition across the sector</w:t>
      </w:r>
      <w:r w:rsidR="00D8095A" w:rsidRPr="002C1E2B">
        <w:t>.</w:t>
      </w:r>
    </w:p>
    <w:p w14:paraId="3FB7A73A" w14:textId="77777777" w:rsidR="00D8095A" w:rsidRPr="002C1E2B" w:rsidRDefault="00A37F55" w:rsidP="00B8484D">
      <w:pPr>
        <w:pStyle w:val="Caption"/>
        <w:spacing w:after="120"/>
      </w:pPr>
      <w:r w:rsidRPr="002C1E2B">
        <w:lastRenderedPageBreak/>
        <w:t xml:space="preserve">Table </w:t>
      </w:r>
      <w:r w:rsidR="00B41BC0" w:rsidRPr="002C1E2B">
        <w:fldChar w:fldCharType="begin"/>
      </w:r>
      <w:r w:rsidR="00B41BC0" w:rsidRPr="002C1E2B">
        <w:instrText xml:space="preserve"> STYLEREF 1 \s </w:instrText>
      </w:r>
      <w:r w:rsidR="00B41BC0" w:rsidRPr="002C1E2B">
        <w:fldChar w:fldCharType="separate"/>
      </w:r>
      <w:r w:rsidR="00BE6CE4">
        <w:rPr>
          <w:noProof/>
        </w:rPr>
        <w:t>6</w:t>
      </w:r>
      <w:r w:rsidR="00B41BC0" w:rsidRPr="002C1E2B">
        <w:fldChar w:fldCharType="end"/>
      </w:r>
      <w:r w:rsidR="00B41BC0" w:rsidRPr="002C1E2B">
        <w:t>.</w:t>
      </w:r>
      <w:r w:rsidR="00B41BC0" w:rsidRPr="002C1E2B">
        <w:fldChar w:fldCharType="begin"/>
      </w:r>
      <w:r w:rsidR="00B41BC0" w:rsidRPr="002C1E2B">
        <w:instrText xml:space="preserve"> SEQ Table \* ARABIC \s 1 </w:instrText>
      </w:r>
      <w:r w:rsidR="00B41BC0" w:rsidRPr="002C1E2B">
        <w:fldChar w:fldCharType="separate"/>
      </w:r>
      <w:r w:rsidR="00BE6CE4">
        <w:rPr>
          <w:noProof/>
        </w:rPr>
        <w:t>2</w:t>
      </w:r>
      <w:r w:rsidR="00B41BC0" w:rsidRPr="002C1E2B">
        <w:fldChar w:fldCharType="end"/>
      </w:r>
      <w:r w:rsidR="00D8095A" w:rsidRPr="002C1E2B">
        <w:t xml:space="preserve"> – Impacts of new regulations on competition</w:t>
      </w:r>
    </w:p>
    <w:tbl>
      <w:tblPr>
        <w:tblStyle w:val="NERA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4513"/>
      </w:tblGrid>
      <w:tr w:rsidR="00D8095A" w:rsidRPr="002C1E2B" w14:paraId="609AB292" w14:textId="77777777" w:rsidTr="00B8484D">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9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F497D" w:themeFill="text2"/>
            <w:vAlign w:val="center"/>
          </w:tcPr>
          <w:p w14:paraId="0397431A" w14:textId="77777777" w:rsidR="00D8095A" w:rsidRPr="002C1E2B" w:rsidRDefault="00D8095A" w:rsidP="00A37F55">
            <w:pPr>
              <w:pStyle w:val="TableHeader-White"/>
              <w:keepNext/>
              <w:keepLines/>
              <w:rPr>
                <w:sz w:val="20"/>
                <w:szCs w:val="18"/>
              </w:rPr>
            </w:pPr>
            <w:r w:rsidRPr="002C1E2B">
              <w:rPr>
                <w:sz w:val="20"/>
                <w:szCs w:val="18"/>
              </w:rPr>
              <w:t>Question</w:t>
            </w:r>
          </w:p>
        </w:tc>
        <w:tc>
          <w:tcPr>
            <w:tcW w:w="4592" w:type="dxa"/>
            <w:tcBorders>
              <w:bottom w:val="none" w:sz="0" w:space="0" w:color="auto"/>
            </w:tcBorders>
            <w:shd w:val="clear" w:color="auto" w:fill="1F497D" w:themeFill="text2"/>
            <w:vAlign w:val="center"/>
          </w:tcPr>
          <w:p w14:paraId="5CF5E68E" w14:textId="77777777" w:rsidR="00D8095A" w:rsidRPr="002C1E2B" w:rsidRDefault="00D8095A" w:rsidP="00A37F55">
            <w:pPr>
              <w:pStyle w:val="TableHeader-White"/>
              <w:keepNext/>
              <w:keepLines/>
              <w:cnfStyle w:val="100000000000" w:firstRow="1" w:lastRow="0" w:firstColumn="0" w:lastColumn="0" w:oddVBand="0" w:evenVBand="0" w:oddHBand="0" w:evenHBand="0" w:firstRowFirstColumn="0" w:firstRowLastColumn="0" w:lastRowFirstColumn="0" w:lastRowLastColumn="0"/>
              <w:rPr>
                <w:sz w:val="20"/>
                <w:szCs w:val="18"/>
              </w:rPr>
            </w:pPr>
            <w:r w:rsidRPr="002C1E2B">
              <w:rPr>
                <w:sz w:val="20"/>
                <w:szCs w:val="18"/>
              </w:rPr>
              <w:t>Assessment</w:t>
            </w:r>
          </w:p>
        </w:tc>
      </w:tr>
      <w:tr w:rsidR="002C6151" w:rsidRPr="002C1E2B" w14:paraId="4F9BF93F" w14:textId="77777777" w:rsidTr="00D50CA3">
        <w:tc>
          <w:tcPr>
            <w:cnfStyle w:val="001000000000" w:firstRow="0" w:lastRow="0" w:firstColumn="1" w:lastColumn="0" w:oddVBand="0" w:evenVBand="0" w:oddHBand="0" w:evenHBand="0" w:firstRowFirstColumn="0" w:firstRowLastColumn="0" w:lastRowFirstColumn="0" w:lastRowLastColumn="0"/>
            <w:tcW w:w="4592" w:type="dxa"/>
            <w:tcBorders>
              <w:left w:val="none" w:sz="0" w:space="0" w:color="auto"/>
              <w:bottom w:val="none" w:sz="0" w:space="0" w:color="auto"/>
              <w:right w:val="none" w:sz="0" w:space="0" w:color="auto"/>
              <w:tl2br w:val="none" w:sz="0" w:space="0" w:color="auto"/>
              <w:tr2bl w:val="none" w:sz="0" w:space="0" w:color="auto"/>
            </w:tcBorders>
          </w:tcPr>
          <w:p w14:paraId="29C174D7" w14:textId="77777777" w:rsidR="002C6151" w:rsidRPr="002C1E2B" w:rsidRDefault="002C6151" w:rsidP="002C6151">
            <w:pPr>
              <w:pStyle w:val="TableText"/>
              <w:rPr>
                <w:rFonts w:ascii="Calibri" w:hAnsi="Calibri"/>
                <w:color w:val="000000"/>
              </w:rPr>
            </w:pPr>
            <w:r w:rsidRPr="002C1E2B">
              <w:rPr>
                <w:rFonts w:ascii="Calibri" w:hAnsi="Calibri"/>
                <w:color w:val="000000"/>
              </w:rPr>
              <w:t>Is the proposed measure likely to affect the market structure of the affected sector(s) – i.e. will it reduce the number of participants in the market, or increase the size of incumbent retirement village operators?</w:t>
            </w:r>
          </w:p>
        </w:tc>
        <w:tc>
          <w:tcPr>
            <w:tcW w:w="4592" w:type="dxa"/>
          </w:tcPr>
          <w:p w14:paraId="7DAC21DC" w14:textId="77777777" w:rsidR="002C6151" w:rsidRPr="002C1E2B" w:rsidRDefault="002C6151" w:rsidP="00D50CA3">
            <w:pPr>
              <w:pStyle w:val="BodyText"/>
              <w:cnfStyle w:val="000000000000" w:firstRow="0" w:lastRow="0" w:firstColumn="0" w:lastColumn="0" w:oddVBand="0" w:evenVBand="0" w:oddHBand="0" w:evenHBand="0" w:firstRowFirstColumn="0" w:firstRowLastColumn="0" w:lastRowFirstColumn="0" w:lastRowLastColumn="0"/>
              <w:rPr>
                <w:rFonts w:ascii="Calibri" w:hAnsi="Calibri" w:cs="Arial"/>
                <w:sz w:val="20"/>
                <w:szCs w:val="18"/>
              </w:rPr>
            </w:pPr>
            <w:r w:rsidRPr="002C1E2B">
              <w:rPr>
                <w:rFonts w:ascii="Calibri" w:hAnsi="Calibri" w:cs="Arial"/>
                <w:sz w:val="20"/>
                <w:szCs w:val="18"/>
              </w:rPr>
              <w:t>Unlikely - See below for discussion.</w:t>
            </w:r>
          </w:p>
        </w:tc>
      </w:tr>
      <w:tr w:rsidR="002C6151" w:rsidRPr="002C1E2B" w14:paraId="7A7F4060" w14:textId="77777777" w:rsidTr="00D50CA3">
        <w:tc>
          <w:tcPr>
            <w:cnfStyle w:val="001000000000" w:firstRow="0" w:lastRow="0" w:firstColumn="1" w:lastColumn="0" w:oddVBand="0" w:evenVBand="0" w:oddHBand="0" w:evenHBand="0" w:firstRowFirstColumn="0" w:firstRowLastColumn="0" w:lastRowFirstColumn="0" w:lastRowLastColumn="0"/>
            <w:tcW w:w="4592" w:type="dxa"/>
            <w:tcBorders>
              <w:left w:val="none" w:sz="0" w:space="0" w:color="auto"/>
              <w:bottom w:val="none" w:sz="0" w:space="0" w:color="auto"/>
              <w:right w:val="none" w:sz="0" w:space="0" w:color="auto"/>
              <w:tl2br w:val="none" w:sz="0" w:space="0" w:color="auto"/>
              <w:tr2bl w:val="none" w:sz="0" w:space="0" w:color="auto"/>
            </w:tcBorders>
          </w:tcPr>
          <w:p w14:paraId="2DB5B72F" w14:textId="77777777" w:rsidR="002C6151" w:rsidRPr="002C1E2B" w:rsidRDefault="002C6151" w:rsidP="002C6151">
            <w:pPr>
              <w:pStyle w:val="TableText"/>
              <w:rPr>
                <w:rFonts w:ascii="Calibri" w:hAnsi="Calibri"/>
                <w:color w:val="000000"/>
              </w:rPr>
            </w:pPr>
            <w:r w:rsidRPr="002C1E2B">
              <w:rPr>
                <w:rFonts w:ascii="Calibri" w:hAnsi="Calibri"/>
                <w:color w:val="000000"/>
              </w:rPr>
              <w:t>Will it be more difficult for new retirement village operators to enter the industry after the imposition of the proposed measure?</w:t>
            </w:r>
          </w:p>
        </w:tc>
        <w:tc>
          <w:tcPr>
            <w:tcW w:w="4592" w:type="dxa"/>
          </w:tcPr>
          <w:p w14:paraId="2F4162FD" w14:textId="77777777" w:rsidR="002C6151" w:rsidRPr="002C1E2B" w:rsidRDefault="002C6151" w:rsidP="00D50CA3">
            <w:pPr>
              <w:pStyle w:val="BodyText"/>
              <w:cnfStyle w:val="000000000000" w:firstRow="0" w:lastRow="0" w:firstColumn="0" w:lastColumn="0" w:oddVBand="0" w:evenVBand="0" w:oddHBand="0" w:evenHBand="0" w:firstRowFirstColumn="0" w:firstRowLastColumn="0" w:lastRowFirstColumn="0" w:lastRowLastColumn="0"/>
              <w:rPr>
                <w:rFonts w:ascii="Calibri" w:hAnsi="Calibri" w:cs="Arial"/>
                <w:sz w:val="20"/>
                <w:szCs w:val="18"/>
              </w:rPr>
            </w:pPr>
            <w:r w:rsidRPr="002C1E2B">
              <w:rPr>
                <w:rFonts w:ascii="Calibri" w:hAnsi="Calibri" w:cs="Arial"/>
                <w:sz w:val="20"/>
                <w:szCs w:val="18"/>
              </w:rPr>
              <w:t>No</w:t>
            </w:r>
          </w:p>
        </w:tc>
      </w:tr>
      <w:tr w:rsidR="002C6151" w:rsidRPr="002C1E2B" w14:paraId="744D40F0" w14:textId="77777777" w:rsidTr="00D50CA3">
        <w:tc>
          <w:tcPr>
            <w:cnfStyle w:val="001000000000" w:firstRow="0" w:lastRow="0" w:firstColumn="1" w:lastColumn="0" w:oddVBand="0" w:evenVBand="0" w:oddHBand="0" w:evenHBand="0" w:firstRowFirstColumn="0" w:firstRowLastColumn="0" w:lastRowFirstColumn="0" w:lastRowLastColumn="0"/>
            <w:tcW w:w="4592" w:type="dxa"/>
            <w:tcBorders>
              <w:left w:val="none" w:sz="0" w:space="0" w:color="auto"/>
              <w:bottom w:val="none" w:sz="0" w:space="0" w:color="auto"/>
              <w:right w:val="none" w:sz="0" w:space="0" w:color="auto"/>
              <w:tl2br w:val="none" w:sz="0" w:space="0" w:color="auto"/>
              <w:tr2bl w:val="none" w:sz="0" w:space="0" w:color="auto"/>
            </w:tcBorders>
          </w:tcPr>
          <w:p w14:paraId="7ED5931D" w14:textId="77777777" w:rsidR="002C6151" w:rsidRPr="002C1E2B" w:rsidRDefault="002C6151" w:rsidP="002C6151">
            <w:pPr>
              <w:pStyle w:val="TableText"/>
              <w:rPr>
                <w:rFonts w:ascii="Calibri" w:hAnsi="Calibri"/>
                <w:color w:val="000000"/>
              </w:rPr>
            </w:pPr>
            <w:r w:rsidRPr="002C1E2B">
              <w:rPr>
                <w:rFonts w:ascii="Calibri" w:hAnsi="Calibri"/>
                <w:color w:val="000000"/>
              </w:rPr>
              <w:t xml:space="preserve">Will the costs/benefits associated with the proposed measure affect some retirement village operators or residents substantially more than others (e.g. different sized operators, location)? </w:t>
            </w:r>
          </w:p>
        </w:tc>
        <w:tc>
          <w:tcPr>
            <w:tcW w:w="4592" w:type="dxa"/>
          </w:tcPr>
          <w:p w14:paraId="6279C37B" w14:textId="77777777" w:rsidR="002C6151" w:rsidRPr="002C1E2B" w:rsidRDefault="002C6151" w:rsidP="00D50CA3">
            <w:pPr>
              <w:pStyle w:val="BodyText"/>
              <w:cnfStyle w:val="000000000000" w:firstRow="0" w:lastRow="0" w:firstColumn="0" w:lastColumn="0" w:oddVBand="0" w:evenVBand="0" w:oddHBand="0" w:evenHBand="0" w:firstRowFirstColumn="0" w:firstRowLastColumn="0" w:lastRowFirstColumn="0" w:lastRowLastColumn="0"/>
              <w:rPr>
                <w:rFonts w:ascii="Calibri" w:hAnsi="Calibri" w:cs="Arial"/>
                <w:sz w:val="20"/>
                <w:szCs w:val="18"/>
              </w:rPr>
            </w:pPr>
            <w:r w:rsidRPr="002C1E2B">
              <w:rPr>
                <w:rFonts w:ascii="Calibri" w:hAnsi="Calibri" w:cs="Arial"/>
                <w:sz w:val="20"/>
                <w:szCs w:val="18"/>
              </w:rPr>
              <w:t>Yes – in extreme cases this may disproportionately affect some residents and some small retirement villages. See below for discussion.</w:t>
            </w:r>
          </w:p>
        </w:tc>
      </w:tr>
      <w:tr w:rsidR="002C6151" w:rsidRPr="002C1E2B" w14:paraId="5EB543A6" w14:textId="77777777" w:rsidTr="00D50CA3">
        <w:tc>
          <w:tcPr>
            <w:cnfStyle w:val="001000000000" w:firstRow="0" w:lastRow="0" w:firstColumn="1" w:lastColumn="0" w:oddVBand="0" w:evenVBand="0" w:oddHBand="0" w:evenHBand="0" w:firstRowFirstColumn="0" w:firstRowLastColumn="0" w:lastRowFirstColumn="0" w:lastRowLastColumn="0"/>
            <w:tcW w:w="4592" w:type="dxa"/>
            <w:tcBorders>
              <w:left w:val="none" w:sz="0" w:space="0" w:color="auto"/>
              <w:bottom w:val="none" w:sz="0" w:space="0" w:color="auto"/>
              <w:right w:val="none" w:sz="0" w:space="0" w:color="auto"/>
              <w:tl2br w:val="none" w:sz="0" w:space="0" w:color="auto"/>
              <w:tr2bl w:val="none" w:sz="0" w:space="0" w:color="auto"/>
            </w:tcBorders>
          </w:tcPr>
          <w:p w14:paraId="52C12FAC" w14:textId="77777777" w:rsidR="002C6151" w:rsidRPr="002C1E2B" w:rsidRDefault="002C6151" w:rsidP="002C6151">
            <w:pPr>
              <w:pStyle w:val="TableText"/>
              <w:rPr>
                <w:rFonts w:ascii="Calibri" w:hAnsi="Calibri"/>
                <w:color w:val="000000"/>
              </w:rPr>
            </w:pPr>
            <w:r w:rsidRPr="002C1E2B">
              <w:rPr>
                <w:rFonts w:ascii="Calibri" w:hAnsi="Calibri"/>
                <w:color w:val="000000"/>
              </w:rPr>
              <w:t>Will the proposed measure restrict the ability of residents to choose the price, quality, range or location of their products?</w:t>
            </w:r>
          </w:p>
        </w:tc>
        <w:tc>
          <w:tcPr>
            <w:tcW w:w="4592" w:type="dxa"/>
          </w:tcPr>
          <w:p w14:paraId="584EB652" w14:textId="77777777" w:rsidR="002C6151" w:rsidRPr="002C1E2B" w:rsidRDefault="002C6151" w:rsidP="00D50CA3">
            <w:pPr>
              <w:pStyle w:val="BodyText"/>
              <w:cnfStyle w:val="000000000000" w:firstRow="0" w:lastRow="0" w:firstColumn="0" w:lastColumn="0" w:oddVBand="0" w:evenVBand="0" w:oddHBand="0" w:evenHBand="0" w:firstRowFirstColumn="0" w:firstRowLastColumn="0" w:lastRowFirstColumn="0" w:lastRowLastColumn="0"/>
              <w:rPr>
                <w:rFonts w:ascii="Calibri" w:hAnsi="Calibri" w:cs="Arial"/>
                <w:sz w:val="20"/>
                <w:szCs w:val="18"/>
              </w:rPr>
            </w:pPr>
            <w:r w:rsidRPr="002C1E2B">
              <w:rPr>
                <w:rFonts w:ascii="Calibri" w:hAnsi="Calibri" w:cs="Arial"/>
                <w:sz w:val="20"/>
                <w:szCs w:val="18"/>
              </w:rPr>
              <w:t xml:space="preserve">No – the contractual requirements in Regulations 8(B) to 8(H) do not limit how a contract is structured or how a retirement village product is offered. </w:t>
            </w:r>
            <w:r w:rsidR="00AC6BEF" w:rsidRPr="002C1E2B">
              <w:rPr>
                <w:rFonts w:ascii="Calibri" w:hAnsi="Calibri" w:cs="Arial"/>
                <w:sz w:val="20"/>
                <w:szCs w:val="18"/>
              </w:rPr>
              <w:t>CAV does not consider that contractual terms prescribed by regulation will have a significant effect on competition</w:t>
            </w:r>
            <w:r w:rsidR="00046CEB" w:rsidRPr="002C1E2B">
              <w:rPr>
                <w:rFonts w:ascii="Calibri" w:hAnsi="Calibri" w:cs="Arial"/>
                <w:sz w:val="20"/>
                <w:szCs w:val="18"/>
              </w:rPr>
              <w:t>.</w:t>
            </w:r>
          </w:p>
        </w:tc>
      </w:tr>
      <w:tr w:rsidR="002C6151" w:rsidRPr="002C1E2B" w14:paraId="47BCC138" w14:textId="77777777" w:rsidTr="00D50CA3">
        <w:tc>
          <w:tcPr>
            <w:cnfStyle w:val="001000000000" w:firstRow="0" w:lastRow="0" w:firstColumn="1" w:lastColumn="0" w:oddVBand="0" w:evenVBand="0" w:oddHBand="0" w:evenHBand="0" w:firstRowFirstColumn="0" w:firstRowLastColumn="0" w:lastRowFirstColumn="0" w:lastRowLastColumn="0"/>
            <w:tcW w:w="4592" w:type="dxa"/>
            <w:tcBorders>
              <w:left w:val="none" w:sz="0" w:space="0" w:color="auto"/>
              <w:bottom w:val="none" w:sz="0" w:space="0" w:color="auto"/>
              <w:right w:val="none" w:sz="0" w:space="0" w:color="auto"/>
              <w:tl2br w:val="none" w:sz="0" w:space="0" w:color="auto"/>
              <w:tr2bl w:val="none" w:sz="0" w:space="0" w:color="auto"/>
            </w:tcBorders>
          </w:tcPr>
          <w:p w14:paraId="6AF12BAB" w14:textId="77777777" w:rsidR="002C6151" w:rsidRPr="002C1E2B" w:rsidRDefault="002C6151" w:rsidP="002C6151">
            <w:pPr>
              <w:pStyle w:val="TableText"/>
              <w:rPr>
                <w:rFonts w:ascii="Calibri" w:hAnsi="Calibri"/>
                <w:color w:val="000000"/>
              </w:rPr>
            </w:pPr>
            <w:r w:rsidRPr="002C1E2B">
              <w:rPr>
                <w:rFonts w:ascii="Calibri" w:hAnsi="Calibri"/>
                <w:color w:val="000000"/>
              </w:rPr>
              <w:t>Will the proposed measure lead to higher ongoing costs for new entrants that existing firms do not have to meet?</w:t>
            </w:r>
          </w:p>
        </w:tc>
        <w:tc>
          <w:tcPr>
            <w:tcW w:w="4592" w:type="dxa"/>
          </w:tcPr>
          <w:p w14:paraId="41251C55" w14:textId="77777777" w:rsidR="002C6151" w:rsidRPr="002C1E2B" w:rsidRDefault="002C6151" w:rsidP="00D50CA3">
            <w:pPr>
              <w:pStyle w:val="BodyText"/>
              <w:cnfStyle w:val="000000000000" w:firstRow="0" w:lastRow="0" w:firstColumn="0" w:lastColumn="0" w:oddVBand="0" w:evenVBand="0" w:oddHBand="0" w:evenHBand="0" w:firstRowFirstColumn="0" w:firstRowLastColumn="0" w:lastRowFirstColumn="0" w:lastRowLastColumn="0"/>
              <w:rPr>
                <w:rFonts w:ascii="Calibri" w:hAnsi="Calibri" w:cs="Arial"/>
                <w:sz w:val="20"/>
                <w:szCs w:val="18"/>
              </w:rPr>
            </w:pPr>
            <w:r w:rsidRPr="002C1E2B">
              <w:rPr>
                <w:rFonts w:ascii="Calibri" w:hAnsi="Calibri" w:cs="Arial"/>
                <w:sz w:val="20"/>
                <w:szCs w:val="18"/>
              </w:rPr>
              <w:t>No</w:t>
            </w:r>
          </w:p>
        </w:tc>
      </w:tr>
      <w:tr w:rsidR="002C6151" w:rsidRPr="002C1E2B" w14:paraId="10AE8524" w14:textId="77777777" w:rsidTr="00D50CA3">
        <w:tc>
          <w:tcPr>
            <w:cnfStyle w:val="001000000000" w:firstRow="0" w:lastRow="0" w:firstColumn="1" w:lastColumn="0" w:oddVBand="0" w:evenVBand="0" w:oddHBand="0" w:evenHBand="0" w:firstRowFirstColumn="0" w:firstRowLastColumn="0" w:lastRowFirstColumn="0" w:lastRowLastColumn="0"/>
            <w:tcW w:w="4592" w:type="dxa"/>
            <w:tcBorders>
              <w:left w:val="none" w:sz="0" w:space="0" w:color="auto"/>
              <w:bottom w:val="none" w:sz="0" w:space="0" w:color="auto"/>
              <w:right w:val="none" w:sz="0" w:space="0" w:color="auto"/>
              <w:tl2br w:val="none" w:sz="0" w:space="0" w:color="auto"/>
              <w:tr2bl w:val="none" w:sz="0" w:space="0" w:color="auto"/>
            </w:tcBorders>
          </w:tcPr>
          <w:p w14:paraId="2F4D611A" w14:textId="77777777" w:rsidR="002C6151" w:rsidRPr="002C1E2B" w:rsidRDefault="002C6151" w:rsidP="002C6151">
            <w:pPr>
              <w:pStyle w:val="TableText"/>
              <w:rPr>
                <w:rFonts w:ascii="Calibri" w:hAnsi="Calibri"/>
                <w:color w:val="000000"/>
              </w:rPr>
            </w:pPr>
            <w:r w:rsidRPr="002C1E2B">
              <w:rPr>
                <w:rFonts w:ascii="Calibri" w:hAnsi="Calibri"/>
                <w:color w:val="000000"/>
              </w:rPr>
              <w:t>Is the ability or incentive to innovate or develop new products or services likely to be affected by the proposed measure?</w:t>
            </w:r>
          </w:p>
        </w:tc>
        <w:tc>
          <w:tcPr>
            <w:tcW w:w="4592" w:type="dxa"/>
          </w:tcPr>
          <w:p w14:paraId="46930187" w14:textId="77777777" w:rsidR="002C6151" w:rsidRPr="002C1E2B" w:rsidRDefault="002C6151" w:rsidP="00D50CA3">
            <w:pPr>
              <w:pStyle w:val="BodyText"/>
              <w:cnfStyle w:val="000000000000" w:firstRow="0" w:lastRow="0" w:firstColumn="0" w:lastColumn="0" w:oddVBand="0" w:evenVBand="0" w:oddHBand="0" w:evenHBand="0" w:firstRowFirstColumn="0" w:firstRowLastColumn="0" w:lastRowFirstColumn="0" w:lastRowLastColumn="0"/>
              <w:rPr>
                <w:rFonts w:ascii="Calibri" w:hAnsi="Calibri" w:cs="Arial"/>
                <w:sz w:val="20"/>
                <w:szCs w:val="18"/>
              </w:rPr>
            </w:pPr>
            <w:r w:rsidRPr="002C1E2B">
              <w:rPr>
                <w:rFonts w:ascii="Calibri" w:hAnsi="Calibri" w:cs="Arial"/>
                <w:sz w:val="20"/>
                <w:szCs w:val="18"/>
              </w:rPr>
              <w:t>No</w:t>
            </w:r>
          </w:p>
        </w:tc>
      </w:tr>
    </w:tbl>
    <w:p w14:paraId="12367B8A" w14:textId="77777777" w:rsidR="002C6151" w:rsidRPr="002C1E2B" w:rsidRDefault="00097770" w:rsidP="002C6151">
      <w:pPr>
        <w:pStyle w:val="BodyText"/>
      </w:pPr>
      <w:r w:rsidRPr="002C1E2B">
        <w:br/>
      </w:r>
      <w:r w:rsidR="002C6151" w:rsidRPr="002C1E2B">
        <w:t xml:space="preserve">In extreme cases the preferred option may have a disproportionate impact on small retirement village operators and some residents. </w:t>
      </w:r>
    </w:p>
    <w:p w14:paraId="4F2E1F38" w14:textId="77777777" w:rsidR="00CB1BBE" w:rsidRPr="002C1E2B" w:rsidRDefault="002C6151" w:rsidP="002C6151">
      <w:pPr>
        <w:pStyle w:val="BodyText"/>
      </w:pPr>
      <w:r w:rsidRPr="002C1E2B">
        <w:t xml:space="preserve">Retirement village operators who have relatively few units and a small pool of capital to draw from may face financial difficulty if a large group of their residents leave their retirement village for aged care at the same time. This would be further exacerbated if the operator’s units were ageing or not suitable for the current market. This is unlikely to affect the structure of the market in a significant way as there are protections for retirement village operators built into the preferred option including: </w:t>
      </w:r>
    </w:p>
    <w:p w14:paraId="37708920" w14:textId="77777777" w:rsidR="00FC4E47" w:rsidRPr="002C1E2B" w:rsidRDefault="00FC4E47" w:rsidP="00D57D67">
      <w:pPr>
        <w:pStyle w:val="ListBullet"/>
      </w:pPr>
      <w:r w:rsidRPr="002C1E2B">
        <w:t>The restriction of a DAP rule only to new non-owner residents;</w:t>
      </w:r>
    </w:p>
    <w:p w14:paraId="73496C09" w14:textId="77777777" w:rsidR="00FC4E47" w:rsidRPr="002C1E2B" w:rsidRDefault="00FC4E47" w:rsidP="00D57D67">
      <w:pPr>
        <w:pStyle w:val="ListBullet"/>
      </w:pPr>
      <w:r w:rsidRPr="002C1E2B">
        <w:t xml:space="preserve">An 85 per cent limit on early payment of exit entitlements under the aged care rule; and </w:t>
      </w:r>
    </w:p>
    <w:p w14:paraId="62C2862F" w14:textId="77777777" w:rsidR="00FC4E47" w:rsidRPr="002C1E2B" w:rsidRDefault="00FC4E47" w:rsidP="00D57D67">
      <w:pPr>
        <w:pStyle w:val="ListBullet"/>
        <w:spacing w:after="240"/>
      </w:pPr>
      <w:r w:rsidRPr="002C1E2B">
        <w:t>A provision for retirement village operators to apply to VCAT for an exemption from the requirement to pay RADs if facing financial hardship (and pay DAPs instead).</w:t>
      </w:r>
    </w:p>
    <w:p w14:paraId="5BA2AF16" w14:textId="77777777" w:rsidR="00EB2CDF" w:rsidRPr="002C1E2B" w:rsidRDefault="002C6151" w:rsidP="0037130C">
      <w:pPr>
        <w:pStyle w:val="BodyText"/>
      </w:pPr>
      <w:r w:rsidRPr="002C1E2B">
        <w:t>As discussed in the case studies above, residents entering ret</w:t>
      </w:r>
      <w:r w:rsidR="00361DF5" w:rsidRPr="002C1E2B">
        <w:t xml:space="preserve">irement villages after </w:t>
      </w:r>
      <w:r w:rsidR="00D50CA3" w:rsidRPr="002C1E2B">
        <w:t>3</w:t>
      </w:r>
      <w:r w:rsidR="00361DF5" w:rsidRPr="002C1E2B">
        <w:t>1 </w:t>
      </w:r>
      <w:r w:rsidR="00D50CA3" w:rsidRPr="002C1E2B">
        <w:t>July</w:t>
      </w:r>
      <w:r w:rsidR="00361DF5" w:rsidRPr="002C1E2B">
        <w:t> </w:t>
      </w:r>
      <w:r w:rsidRPr="002C1E2B">
        <w:t>2017 may be disproportionately impacted by the preferred option if the sale of their unit takes substantially longer than six months.</w:t>
      </w:r>
    </w:p>
    <w:p w14:paraId="0B23BC0F" w14:textId="77777777" w:rsidR="00961906" w:rsidRPr="002C1E2B" w:rsidRDefault="00961906">
      <w:pPr>
        <w:spacing w:after="200" w:line="276" w:lineRule="auto"/>
        <w:rPr>
          <w:rFonts w:asciiTheme="majorHAnsi" w:eastAsiaTheme="majorEastAsia" w:hAnsiTheme="majorHAnsi" w:cstheme="majorBidi"/>
          <w:b/>
          <w:bCs/>
          <w:sz w:val="28"/>
          <w:szCs w:val="28"/>
        </w:rPr>
      </w:pPr>
      <w:bookmarkStart w:id="161" w:name="_Toc475605923"/>
      <w:bookmarkStart w:id="162" w:name="_Toc475605925"/>
      <w:bookmarkStart w:id="163" w:name="_Toc475605927"/>
      <w:bookmarkStart w:id="164" w:name="_Toc475605929"/>
      <w:bookmarkStart w:id="165" w:name="_Toc475605930"/>
      <w:bookmarkStart w:id="166" w:name="_Toc475605931"/>
      <w:bookmarkStart w:id="167" w:name="_Toc475605936"/>
      <w:bookmarkStart w:id="168" w:name="_Toc475605939"/>
      <w:bookmarkStart w:id="169" w:name="_Toc475605940"/>
      <w:bookmarkStart w:id="170" w:name="_Toc475605941"/>
      <w:bookmarkStart w:id="171" w:name="_Toc475605942"/>
      <w:bookmarkStart w:id="172" w:name="_Toc475605944"/>
      <w:bookmarkStart w:id="173" w:name="_Toc475605952"/>
      <w:bookmarkStart w:id="174" w:name="_Toc475605953"/>
      <w:bookmarkStart w:id="175" w:name="_Toc475605961"/>
      <w:bookmarkStart w:id="176" w:name="_Toc475605969"/>
      <w:bookmarkStart w:id="177" w:name="_Toc475605970"/>
      <w:bookmarkStart w:id="178" w:name="_Toc475605971"/>
      <w:bookmarkStart w:id="179" w:name="_Toc475605972"/>
      <w:bookmarkStart w:id="180" w:name="_Toc475605975"/>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2C1E2B">
        <w:br w:type="page"/>
      </w:r>
    </w:p>
    <w:p w14:paraId="74F22F7D" w14:textId="77777777" w:rsidR="00046CEB" w:rsidRPr="002C1E2B" w:rsidRDefault="00046CEB" w:rsidP="00046CEB">
      <w:pPr>
        <w:pStyle w:val="Heading1"/>
      </w:pPr>
      <w:bookmarkStart w:id="181" w:name="_Toc476739285"/>
      <w:bookmarkStart w:id="182" w:name="_Toc476585839"/>
      <w:r w:rsidRPr="002C1E2B">
        <w:lastRenderedPageBreak/>
        <w:t>Consultation</w:t>
      </w:r>
      <w:bookmarkEnd w:id="181"/>
      <w:bookmarkEnd w:id="182"/>
    </w:p>
    <w:p w14:paraId="0A14B66A" w14:textId="77777777" w:rsidR="00880CAA" w:rsidRPr="002C1E2B" w:rsidRDefault="00880CAA" w:rsidP="00880CAA">
      <w:pPr>
        <w:pStyle w:val="BodyText"/>
      </w:pPr>
      <w:r w:rsidRPr="002C1E2B">
        <w:rPr>
          <w:i/>
        </w:rPr>
        <w:t>This chapter details the consultation process undertaken by CAV in preparation for this RIS</w:t>
      </w:r>
      <w:r w:rsidRPr="002C1E2B">
        <w:t>.</w:t>
      </w:r>
    </w:p>
    <w:p w14:paraId="57A6B87A" w14:textId="77777777" w:rsidR="00880CAA" w:rsidRPr="002C1E2B" w:rsidRDefault="00880CAA" w:rsidP="00880CAA">
      <w:pPr>
        <w:pStyle w:val="Heading2"/>
      </w:pPr>
      <w:bookmarkStart w:id="183" w:name="_Toc476739286"/>
      <w:bookmarkStart w:id="184" w:name="_Toc476585840"/>
      <w:r w:rsidRPr="002C1E2B">
        <w:t>Policy development process</w:t>
      </w:r>
      <w:bookmarkEnd w:id="183"/>
      <w:bookmarkEnd w:id="184"/>
    </w:p>
    <w:p w14:paraId="32001476" w14:textId="77777777" w:rsidR="009327D6" w:rsidRPr="002C1E2B" w:rsidRDefault="009327D6" w:rsidP="009327D6">
      <w:pPr>
        <w:pStyle w:val="BodyText"/>
      </w:pPr>
      <w:r w:rsidRPr="002C1E2B">
        <w:t xml:space="preserve">CAV has consulted extensively with industry bodies and resident groups throughout the policy development process on the proposed changes to the Regulations. </w:t>
      </w:r>
    </w:p>
    <w:p w14:paraId="481DBB2C" w14:textId="77777777" w:rsidR="009327D6" w:rsidRPr="002C1E2B" w:rsidRDefault="009327D6" w:rsidP="009327D6">
      <w:pPr>
        <w:pStyle w:val="BodyText"/>
      </w:pPr>
      <w:r w:rsidRPr="002C1E2B">
        <w:t xml:space="preserve">In October 2014, the PCA submitted a report to the Minister for Consumer Affairs, </w:t>
      </w:r>
      <w:r w:rsidR="00FC4E47" w:rsidRPr="002C1E2B">
        <w:t xml:space="preserve">Gaming and Liquor Regulation </w:t>
      </w:r>
      <w:r w:rsidRPr="002C1E2B">
        <w:t>recommending changes to the aged care rule under the Regulations to be consistent with the changes to the Aged Care Act. CAV responded to the PCA report and invited PCA to discuss the potential impacts of the changes to the Aged Care Act in December 2014.</w:t>
      </w:r>
    </w:p>
    <w:p w14:paraId="37A26BB0" w14:textId="77777777" w:rsidR="009327D6" w:rsidRPr="002C1E2B" w:rsidRDefault="009327D6" w:rsidP="009327D6">
      <w:pPr>
        <w:pStyle w:val="BodyText"/>
      </w:pPr>
      <w:r w:rsidRPr="002C1E2B">
        <w:t xml:space="preserve">In June 2015, CAV hosted a roundtable of industry bodies and resident groups to discuss the future of the aged care rule. The PCA, the CALC, RRVV, the HAAG, COTA Victoria </w:t>
      </w:r>
      <w:r w:rsidR="00C871A4" w:rsidRPr="002C1E2B">
        <w:t xml:space="preserve">(COTAV) </w:t>
      </w:r>
      <w:r w:rsidRPr="002C1E2B">
        <w:t>and the Leading Aged Services Australia (Victoria) (LASAV) participated in the roundtable.</w:t>
      </w:r>
    </w:p>
    <w:p w14:paraId="6D0A1D92" w14:textId="77777777" w:rsidR="009327D6" w:rsidRPr="002C1E2B" w:rsidRDefault="009327D6" w:rsidP="009327D6">
      <w:pPr>
        <w:pStyle w:val="BodyText"/>
      </w:pPr>
      <w:r w:rsidRPr="002C1E2B">
        <w:t>In December 2015, the Minister for Consumer Affairs</w:t>
      </w:r>
      <w:r w:rsidR="00FC4E47" w:rsidRPr="002C1E2B">
        <w:t xml:space="preserve">, </w:t>
      </w:r>
      <w:r w:rsidR="00FC4E47" w:rsidRPr="002C1E2B">
        <w:rPr>
          <w:rFonts w:ascii="Times New Roman" w:eastAsia="MS PMincho" w:hAnsi="Times New Roman"/>
        </w:rPr>
        <w:t>Gaming and Liquor Regulation</w:t>
      </w:r>
      <w:r w:rsidRPr="002C1E2B">
        <w:t xml:space="preserve"> approved a review to assess the impacts on the retirement village industry and residents of the changes in the Aged Care Act. In February 2016, CAV engaged a consultant to assess the impacts on residents and </w:t>
      </w:r>
      <w:r w:rsidR="00EF6C0A" w:rsidRPr="002C1E2B">
        <w:rPr>
          <w:lang w:eastAsia="zh-MO"/>
        </w:rPr>
        <w:t>retirement village</w:t>
      </w:r>
      <w:r w:rsidRPr="002C1E2B">
        <w:t xml:space="preserve"> operators of a range of options to change the aged care rule, including the PCA’s recommended approach. In June 2016, CAV used the findings of the consultant’s report to support further discussions with industry bodies and resident groups to develop a set of proposed options for a new aged care rule. The stakeholders involved in these discussions include CALC, RRVV, HAAG, COTAV, LASAV and PCA. </w:t>
      </w:r>
    </w:p>
    <w:p w14:paraId="381D53B0" w14:textId="77777777" w:rsidR="009327D6" w:rsidRPr="002C1E2B" w:rsidRDefault="009327D6" w:rsidP="009327D6">
      <w:pPr>
        <w:pStyle w:val="BodyText"/>
      </w:pPr>
      <w:r w:rsidRPr="002C1E2B">
        <w:t>In September 2016, a coalition of CALC, RRVV, HAAG and COTAV provided further feedback to CAV on the findings of the consultant’s report.</w:t>
      </w:r>
    </w:p>
    <w:p w14:paraId="5820651F" w14:textId="77777777" w:rsidR="00263EEF" w:rsidRPr="002C1E2B" w:rsidRDefault="009327D6" w:rsidP="00880CAA">
      <w:pPr>
        <w:pStyle w:val="BodyText"/>
      </w:pPr>
      <w:r w:rsidRPr="002C1E2B">
        <w:t>In October 2016, CAV corresponded with CALC, RRVV, HAAG, COTAV, LASAV and PCA advising that the Regulations would sunset on 31 July 2017 and a RIS was being prepared to remake these regulations and to assess proposed reforms for the formulation of a new aged care rule. The correspondence also invited industry bodies and resident groups to provide feedback on the proposed reforms.</w:t>
      </w:r>
    </w:p>
    <w:p w14:paraId="6DD43C76" w14:textId="77777777" w:rsidR="00263EEF" w:rsidRPr="002C1E2B" w:rsidRDefault="00263EEF" w:rsidP="00880CAA">
      <w:pPr>
        <w:pStyle w:val="BodyText"/>
      </w:pPr>
      <w:r w:rsidRPr="002C1E2B">
        <w:t xml:space="preserve">The views presented by industry bodies and resident groups during the policy development process have been incorporated into the proposed options assessed in this RIS. </w:t>
      </w:r>
    </w:p>
    <w:p w14:paraId="022071C8" w14:textId="77777777" w:rsidR="00880CAA" w:rsidRPr="002C1E2B" w:rsidRDefault="00880CAA" w:rsidP="00880CAA">
      <w:pPr>
        <w:pStyle w:val="Heading2"/>
      </w:pPr>
      <w:bookmarkStart w:id="185" w:name="_Toc476739287"/>
      <w:bookmarkStart w:id="186" w:name="_Toc476585841"/>
      <w:r w:rsidRPr="002C1E2B">
        <w:t>Formal consultation on the RIS</w:t>
      </w:r>
      <w:bookmarkEnd w:id="185"/>
      <w:bookmarkEnd w:id="186"/>
    </w:p>
    <w:p w14:paraId="31B9C353" w14:textId="77777777" w:rsidR="00AC6BEF" w:rsidRPr="002C1E2B" w:rsidRDefault="009327D6" w:rsidP="00880CAA">
      <w:pPr>
        <w:pStyle w:val="BodyText"/>
      </w:pPr>
      <w:r w:rsidRPr="002C1E2B">
        <w:t xml:space="preserve">In January 2017, NERA consulted with PCA, CALC, RRVV, HAAG, COTA Victoria and LASAV to gather feedback on the potential costs and benefits associated with the proposed regulatory options as input to the impact analysis of the RIS (See </w:t>
      </w:r>
      <w:r w:rsidR="00AA2D56" w:rsidRPr="002C1E2B">
        <w:t>C</w:t>
      </w:r>
      <w:r w:rsidR="009E2E92" w:rsidRPr="002C1E2B">
        <w:t xml:space="preserve">hapter </w:t>
      </w:r>
      <w:r w:rsidRPr="002C1E2B">
        <w:t xml:space="preserve">5). </w:t>
      </w:r>
      <w:r w:rsidR="0035411C" w:rsidRPr="002C1E2B">
        <w:t xml:space="preserve">As part of the consultation process, key assumptions including the number of residents and the applicability of the aged care rule and six month rule payments were tested with stakeholders. </w:t>
      </w:r>
      <w:r w:rsidR="00263EEF" w:rsidRPr="002C1E2B">
        <w:t xml:space="preserve">Up to date </w:t>
      </w:r>
      <w:r w:rsidR="00263EEF" w:rsidRPr="002C1E2B">
        <w:lastRenderedPageBreak/>
        <w:t xml:space="preserve">data provided by stakeholders in this process </w:t>
      </w:r>
      <w:r w:rsidR="00846889" w:rsidRPr="002C1E2B">
        <w:t>have been</w:t>
      </w:r>
      <w:r w:rsidR="00263EEF" w:rsidRPr="002C1E2B">
        <w:t xml:space="preserve"> incorporated into the analysis. </w:t>
      </w:r>
      <w:r w:rsidR="0035411C" w:rsidRPr="002C1E2B">
        <w:t>T</w:t>
      </w:r>
      <w:r w:rsidR="00880CAA" w:rsidRPr="002C1E2B">
        <w:t>he consultation note used to guide these discussions is provided in</w:t>
      </w:r>
      <w:r w:rsidR="0094638B" w:rsidRPr="002C1E2B">
        <w:t xml:space="preserve"> Appendix G</w:t>
      </w:r>
      <w:r w:rsidR="00880CAA" w:rsidRPr="002C1E2B">
        <w:t>.</w:t>
      </w:r>
    </w:p>
    <w:p w14:paraId="3E870D70" w14:textId="651B11E9" w:rsidR="009327D6" w:rsidRPr="002C1E2B" w:rsidRDefault="009327D6" w:rsidP="009327D6">
      <w:pPr>
        <w:pStyle w:val="BodyText"/>
      </w:pPr>
      <w:r w:rsidRPr="002C1E2B">
        <w:t xml:space="preserve">CAV proposes a consultation period </w:t>
      </w:r>
      <w:r w:rsidRPr="002F7C8E">
        <w:t xml:space="preserve">of </w:t>
      </w:r>
      <w:r w:rsidR="00B654D0" w:rsidRPr="002F7C8E">
        <w:t>3</w:t>
      </w:r>
      <w:r w:rsidR="002F7C8E" w:rsidRPr="002F7C8E">
        <w:t>0</w:t>
      </w:r>
      <w:r w:rsidRPr="002F7C8E">
        <w:t xml:space="preserve"> days, from </w:t>
      </w:r>
      <w:r w:rsidR="002F7C8E" w:rsidRPr="002F7C8E">
        <w:t>29 March</w:t>
      </w:r>
      <w:r w:rsidRPr="002F7C8E">
        <w:t xml:space="preserve"> 2017 to </w:t>
      </w:r>
      <w:r w:rsidR="002F7C8E" w:rsidRPr="002F7C8E">
        <w:t>28 April</w:t>
      </w:r>
      <w:r w:rsidRPr="002F7C8E">
        <w:t xml:space="preserve"> 2017.</w:t>
      </w:r>
      <w:r w:rsidRPr="002F7C8E">
        <w:rPr>
          <w:rStyle w:val="FootnoteReference"/>
          <w:lang w:val="en-AU"/>
        </w:rPr>
        <w:footnoteReference w:id="45"/>
      </w:r>
      <w:r w:rsidRPr="002C1E2B">
        <w:t xml:space="preserve"> This will ensure that industry bodies and resident groups have sufficient time to consider and comment on the proposed reforms, and ensure that the Regulations are remade before they sunset on 31 July 2017. Notice of the proposed Regulations and the RIS will be published in the Government Gazette and a daily newspaper circulating generally throughout Victoria, as required under the </w:t>
      </w:r>
      <w:r w:rsidRPr="002C1E2B">
        <w:rPr>
          <w:i/>
        </w:rPr>
        <w:t>Subordinate Legislation Act 1994</w:t>
      </w:r>
      <w:r w:rsidRPr="002C1E2B">
        <w:t>.</w:t>
      </w:r>
    </w:p>
    <w:p w14:paraId="5E1B5AB3" w14:textId="77777777" w:rsidR="009803D2" w:rsidRPr="002C1E2B" w:rsidRDefault="009327D6">
      <w:pPr>
        <w:pStyle w:val="BodyText"/>
      </w:pPr>
      <w:r w:rsidRPr="002C1E2B">
        <w:t xml:space="preserve">The proposed Regulations and the RIS will be published on the CAV website and circulated to the industry bodies and resident groups who have participated in the reform process to-date. Additionally, a letter will be sent to retirement villages registered with CAV advising operators of the public consultation on the RIS and the proposed Regulations. </w:t>
      </w:r>
      <w:r w:rsidR="009803D2" w:rsidRPr="002C1E2B">
        <w:t xml:space="preserve"> </w:t>
      </w:r>
    </w:p>
    <w:p w14:paraId="5A737D23" w14:textId="77777777" w:rsidR="00463895" w:rsidRPr="002C1E2B" w:rsidRDefault="00463895" w:rsidP="00463895">
      <w:pPr>
        <w:pStyle w:val="BodyText"/>
      </w:pPr>
      <w:r w:rsidRPr="002C1E2B">
        <w:t xml:space="preserve">A table </w:t>
      </w:r>
      <w:r w:rsidR="0099609E" w:rsidRPr="002C1E2B">
        <w:t>detailing</w:t>
      </w:r>
      <w:r w:rsidRPr="002C1E2B">
        <w:t xml:space="preserve"> the industry stakeholder consultation process to-date and any consultation that will be underta</w:t>
      </w:r>
      <w:r w:rsidR="00231335">
        <w:t>ken in the future is provided in Appendix H</w:t>
      </w:r>
      <w:r w:rsidR="002D1757" w:rsidRPr="002C1E2B">
        <w:t>.</w:t>
      </w:r>
    </w:p>
    <w:p w14:paraId="1B948813" w14:textId="77777777" w:rsidR="004F6CFA" w:rsidRPr="002C1E2B" w:rsidRDefault="004F6CFA">
      <w:pPr>
        <w:spacing w:after="200" w:line="276" w:lineRule="auto"/>
      </w:pPr>
      <w:r w:rsidRPr="002C1E2B">
        <w:br w:type="page"/>
      </w:r>
    </w:p>
    <w:p w14:paraId="2C350B02" w14:textId="77777777" w:rsidR="004F6CFA" w:rsidRPr="002C1E2B" w:rsidRDefault="004F6CFA" w:rsidP="004F6CFA">
      <w:pPr>
        <w:pStyle w:val="Heading1"/>
      </w:pPr>
      <w:bookmarkStart w:id="187" w:name="_Toc476739288"/>
      <w:bookmarkStart w:id="188" w:name="_Toc476585842"/>
      <w:r w:rsidRPr="002C1E2B">
        <w:lastRenderedPageBreak/>
        <w:t>Implementation, monitoring and evaluation</w:t>
      </w:r>
      <w:bookmarkEnd w:id="187"/>
      <w:bookmarkEnd w:id="188"/>
    </w:p>
    <w:p w14:paraId="09F417DB" w14:textId="77777777" w:rsidR="004F6CFA" w:rsidRPr="002C1E2B" w:rsidRDefault="004F6CFA" w:rsidP="004F6CFA">
      <w:pPr>
        <w:pStyle w:val="BodyText"/>
        <w:rPr>
          <w:i/>
        </w:rPr>
      </w:pPr>
      <w:r w:rsidRPr="002C1E2B">
        <w:rPr>
          <w:i/>
        </w:rPr>
        <w:t xml:space="preserve">This chapter outlines the proposed approach and timelines to implement the proposed Regulations and provides a summary of the evaluation strategy. </w:t>
      </w:r>
    </w:p>
    <w:p w14:paraId="7443F503" w14:textId="77777777" w:rsidR="004F6CFA" w:rsidRPr="002C1E2B" w:rsidRDefault="004F6CFA" w:rsidP="004F6CFA">
      <w:pPr>
        <w:pStyle w:val="Heading2"/>
      </w:pPr>
      <w:bookmarkStart w:id="189" w:name="_Toc476739289"/>
      <w:bookmarkStart w:id="190" w:name="_Toc476585843"/>
      <w:r w:rsidRPr="002C1E2B">
        <w:t>Implementation outline</w:t>
      </w:r>
      <w:bookmarkEnd w:id="189"/>
      <w:bookmarkEnd w:id="190"/>
    </w:p>
    <w:p w14:paraId="6E1B66BA" w14:textId="77777777" w:rsidR="009327D6" w:rsidRPr="002C1E2B" w:rsidRDefault="009327D6" w:rsidP="009327D6">
      <w:pPr>
        <w:pStyle w:val="BodyText"/>
      </w:pPr>
      <w:r w:rsidRPr="002C1E2B">
        <w:t>The existing Regulations will be remade, with amendments to the aged care rule (r.6). These proposed Regulations will commence on 1 August 2017. As CAV has already conducted extensive consultation with industry bodies and resident groups to inform the development of the proposed Regulations and there will only be limited changes to the current Regulations, a transition period is not necessary.</w:t>
      </w:r>
    </w:p>
    <w:p w14:paraId="2C40EA54" w14:textId="77777777" w:rsidR="009327D6" w:rsidRPr="002C1E2B" w:rsidRDefault="009327D6" w:rsidP="009327D6">
      <w:pPr>
        <w:pStyle w:val="BodyText"/>
      </w:pPr>
      <w:r w:rsidRPr="002C1E2B">
        <w:t>Following the formal consultation period on this RIS, CAV will continue to keep the retirement village sector and key stakeholders informed of the proposed changes by:</w:t>
      </w:r>
    </w:p>
    <w:p w14:paraId="516A5CA0" w14:textId="77777777" w:rsidR="009327D6" w:rsidRPr="002C1E2B" w:rsidRDefault="009327D6" w:rsidP="009327D6">
      <w:pPr>
        <w:pStyle w:val="ListBullet"/>
      </w:pPr>
      <w:r w:rsidRPr="002C1E2B">
        <w:t>Writing to the 438 registered retirement villages, industry bodies and resident groups with an information pack detailing the changes to the Regulations; and</w:t>
      </w:r>
    </w:p>
    <w:p w14:paraId="7870443B" w14:textId="77777777" w:rsidR="009327D6" w:rsidRPr="002C1E2B" w:rsidRDefault="009327D6" w:rsidP="009327D6">
      <w:pPr>
        <w:pStyle w:val="ListBullet"/>
      </w:pPr>
      <w:r w:rsidRPr="002C1E2B">
        <w:t xml:space="preserve">Updating the CAV website and communications materials (including a printable plain English factsheet); and </w:t>
      </w:r>
    </w:p>
    <w:p w14:paraId="05F69109" w14:textId="77777777" w:rsidR="004F6CFA" w:rsidRPr="002C1E2B" w:rsidRDefault="009828E4" w:rsidP="00EB1DAB">
      <w:pPr>
        <w:pStyle w:val="ListBullet"/>
        <w:numPr>
          <w:ilvl w:val="4"/>
          <w:numId w:val="27"/>
        </w:numPr>
        <w:spacing w:after="240"/>
      </w:pPr>
      <w:r w:rsidRPr="002C1E2B">
        <w:t xml:space="preserve">Updating </w:t>
      </w:r>
      <w:r w:rsidR="00777117" w:rsidRPr="002C1E2B">
        <w:t>CAV’s</w:t>
      </w:r>
      <w:r w:rsidRPr="002C1E2B">
        <w:t xml:space="preserve"> </w:t>
      </w:r>
      <w:r w:rsidRPr="002C1E2B">
        <w:rPr>
          <w:i/>
        </w:rPr>
        <w:t>Guide to choosing and living in a retirement village</w:t>
      </w:r>
      <w:r w:rsidR="004F6CFA" w:rsidRPr="002C1E2B">
        <w:t>.</w:t>
      </w:r>
      <w:r w:rsidR="00777117" w:rsidRPr="002C1E2B">
        <w:rPr>
          <w:rStyle w:val="FootnoteReference"/>
          <w:lang w:val="en-AU"/>
        </w:rPr>
        <w:t xml:space="preserve"> </w:t>
      </w:r>
      <w:r w:rsidR="00777117" w:rsidRPr="002C1E2B">
        <w:rPr>
          <w:rStyle w:val="FootnoteReference"/>
          <w:lang w:val="en-AU"/>
        </w:rPr>
        <w:footnoteReference w:id="46"/>
      </w:r>
    </w:p>
    <w:p w14:paraId="5F26B4A6" w14:textId="77777777" w:rsidR="004F6CFA" w:rsidRPr="002C1E2B" w:rsidRDefault="004F6CFA" w:rsidP="004F6CFA">
      <w:pPr>
        <w:pStyle w:val="Heading2"/>
      </w:pPr>
      <w:bookmarkStart w:id="191" w:name="_Toc476739290"/>
      <w:bookmarkStart w:id="192" w:name="_Toc476585844"/>
      <w:r w:rsidRPr="002C1E2B">
        <w:t>Compliance and enforcement</w:t>
      </w:r>
      <w:bookmarkEnd w:id="191"/>
      <w:bookmarkEnd w:id="192"/>
    </w:p>
    <w:p w14:paraId="6AED2EDA" w14:textId="77777777" w:rsidR="009327D6" w:rsidRPr="002C1E2B" w:rsidRDefault="009327D6" w:rsidP="009327D6">
      <w:pPr>
        <w:pStyle w:val="BodyText"/>
      </w:pPr>
      <w:r w:rsidRPr="002C1E2B">
        <w:t>It is proposed that CAV will undertake compliance and enforcement activities such as:</w:t>
      </w:r>
    </w:p>
    <w:p w14:paraId="282B4646" w14:textId="77777777" w:rsidR="009327D6" w:rsidRPr="002C1E2B" w:rsidRDefault="009327D6" w:rsidP="009327D6">
      <w:pPr>
        <w:pStyle w:val="ListBullet"/>
      </w:pPr>
      <w:r w:rsidRPr="002C1E2B">
        <w:t xml:space="preserve">Engaging with </w:t>
      </w:r>
      <w:r w:rsidR="00EF6C0A" w:rsidRPr="002C1E2B">
        <w:rPr>
          <w:lang w:eastAsia="zh-MO"/>
        </w:rPr>
        <w:t>retirement village</w:t>
      </w:r>
      <w:r w:rsidRPr="002C1E2B">
        <w:t xml:space="preserve"> operators to inform them of changes to the Regulations and their obligations;</w:t>
      </w:r>
    </w:p>
    <w:p w14:paraId="1F33C69F" w14:textId="77777777" w:rsidR="009327D6" w:rsidRPr="002C1E2B" w:rsidRDefault="009327D6" w:rsidP="009327D6">
      <w:pPr>
        <w:pStyle w:val="ListBullet"/>
      </w:pPr>
      <w:r w:rsidRPr="002C1E2B">
        <w:t>Random audits of retirement villages;</w:t>
      </w:r>
    </w:p>
    <w:p w14:paraId="2057776A" w14:textId="77777777" w:rsidR="009327D6" w:rsidRPr="002C1E2B" w:rsidRDefault="009327D6" w:rsidP="009327D6">
      <w:pPr>
        <w:pStyle w:val="ListBullet"/>
      </w:pPr>
      <w:r w:rsidRPr="002C1E2B">
        <w:t xml:space="preserve">Assisting </w:t>
      </w:r>
      <w:r w:rsidR="00EF6C0A" w:rsidRPr="002C1E2B">
        <w:rPr>
          <w:lang w:eastAsia="zh-MO"/>
        </w:rPr>
        <w:t>retirement village</w:t>
      </w:r>
      <w:r w:rsidRPr="002C1E2B">
        <w:t xml:space="preserve"> operators to make sure they understand how to comply with the relevant legislation and regulation; and</w:t>
      </w:r>
    </w:p>
    <w:p w14:paraId="568CD315" w14:textId="77777777" w:rsidR="009327D6" w:rsidRPr="002C1E2B" w:rsidRDefault="009327D6" w:rsidP="009327D6">
      <w:pPr>
        <w:pStyle w:val="ListBullet"/>
        <w:spacing w:after="240"/>
      </w:pPr>
      <w:r w:rsidRPr="002C1E2B">
        <w:t>Managing and providing general conciliation services and a complaints process for disputes in a residence contract in relation to a retirement village (for disputes that are not resolved within the retirement village’s internal dispute resolution process).</w:t>
      </w:r>
    </w:p>
    <w:p w14:paraId="738AA198" w14:textId="77777777" w:rsidR="009327D6" w:rsidRPr="002C1E2B" w:rsidRDefault="009327D6" w:rsidP="009327D6">
      <w:pPr>
        <w:pStyle w:val="BodyText"/>
      </w:pPr>
      <w:r w:rsidRPr="002C1E2B">
        <w:t xml:space="preserve">If conciliation is unsuccessful, parties can be referred to the </w:t>
      </w:r>
      <w:r w:rsidR="00FC4E47" w:rsidRPr="002C1E2B">
        <w:t>VCAT</w:t>
      </w:r>
      <w:r w:rsidRPr="002C1E2B">
        <w:t xml:space="preserve"> to resolve their dispute. In these circumstances, parties are recommended to obtain legal advice in the first instance and provided information on how to access the VCAT process.  </w:t>
      </w:r>
    </w:p>
    <w:p w14:paraId="286643AC" w14:textId="77777777" w:rsidR="004F6CFA" w:rsidRPr="002C1E2B" w:rsidRDefault="009327D6" w:rsidP="00EB1DAB">
      <w:pPr>
        <w:pStyle w:val="BodyText"/>
      </w:pPr>
      <w:r w:rsidRPr="002C1E2B">
        <w:t>Where a resident is considered to be vulnerable and disadvantaged, for example, if they are recipients of a Centrelink payment, they may be referred to advocacy services supported by CAV for advice and support resolving their dispute</w:t>
      </w:r>
      <w:r w:rsidR="00647438" w:rsidRPr="002C1E2B">
        <w:t>.</w:t>
      </w:r>
    </w:p>
    <w:p w14:paraId="763EF645" w14:textId="77777777" w:rsidR="004F6CFA" w:rsidRPr="002C1E2B" w:rsidRDefault="004F6CFA" w:rsidP="004F6CFA">
      <w:pPr>
        <w:pStyle w:val="Heading2"/>
      </w:pPr>
      <w:bookmarkStart w:id="193" w:name="_Toc476739291"/>
      <w:bookmarkStart w:id="194" w:name="_Toc476585845"/>
      <w:r w:rsidRPr="002C1E2B">
        <w:lastRenderedPageBreak/>
        <w:t>Evaluation</w:t>
      </w:r>
      <w:bookmarkEnd w:id="193"/>
      <w:bookmarkEnd w:id="194"/>
    </w:p>
    <w:p w14:paraId="687ABEA2" w14:textId="77777777" w:rsidR="009327D6" w:rsidRPr="002C1E2B" w:rsidRDefault="009327D6" w:rsidP="009327D6">
      <w:pPr>
        <w:pStyle w:val="BodyText"/>
      </w:pPr>
      <w:r w:rsidRPr="002C1E2B">
        <w:t xml:space="preserve">A robust evaluation strategy is essential to ensure that regulation is practical, effective, </w:t>
      </w:r>
      <w:proofErr w:type="gramStart"/>
      <w:r w:rsidRPr="002C1E2B">
        <w:t>relevant</w:t>
      </w:r>
      <w:proofErr w:type="gramEnd"/>
      <w:r w:rsidRPr="002C1E2B">
        <w:t xml:space="preserve"> to the sector and aligned with government objectives on an on-going basis.</w:t>
      </w:r>
    </w:p>
    <w:p w14:paraId="47F03993" w14:textId="77777777" w:rsidR="009327D6" w:rsidRPr="002C1E2B" w:rsidRDefault="009327D6" w:rsidP="009327D6">
      <w:pPr>
        <w:pStyle w:val="BodyText"/>
      </w:pPr>
      <w:r w:rsidRPr="002C1E2B">
        <w:t xml:space="preserve">The objective of the evaluation will be to assess the ongoing effectiveness of the proposed Regulations in addressing problems related to the return of exit entitlements and contractual arrangements between retirement village operators and residents. </w:t>
      </w:r>
    </w:p>
    <w:p w14:paraId="65DD8561" w14:textId="77777777" w:rsidR="009327D6" w:rsidRPr="002C1E2B" w:rsidRDefault="009327D6" w:rsidP="009327D6">
      <w:pPr>
        <w:pStyle w:val="BodyText"/>
      </w:pPr>
      <w:r w:rsidRPr="002C1E2B">
        <w:t>CAV currently evaluates the effectiveness of the Regulations using feedback through stakeholder forums and dispute and complaints monitoring. It is proposed that this approach is continued for the new Regulations. CAV will monitor the effectiveness of the Regulations through key indicators such as:</w:t>
      </w:r>
    </w:p>
    <w:p w14:paraId="7E52D74A" w14:textId="77777777" w:rsidR="009327D6" w:rsidRPr="002C1E2B" w:rsidRDefault="009327D6" w:rsidP="009327D6">
      <w:pPr>
        <w:pStyle w:val="ListBullet"/>
      </w:pPr>
      <w:r w:rsidRPr="002C1E2B">
        <w:t>The number of retirement village related complaints made to CAV;</w:t>
      </w:r>
    </w:p>
    <w:p w14:paraId="4B1A3827" w14:textId="77777777" w:rsidR="009327D6" w:rsidRPr="002C1E2B" w:rsidRDefault="009327D6" w:rsidP="009327D6">
      <w:pPr>
        <w:pStyle w:val="ListBullet"/>
      </w:pPr>
      <w:r w:rsidRPr="002C1E2B">
        <w:t xml:space="preserve">The number of applications by </w:t>
      </w:r>
      <w:r w:rsidR="00EF6C0A" w:rsidRPr="002C1E2B">
        <w:rPr>
          <w:lang w:eastAsia="zh-MO"/>
        </w:rPr>
        <w:t>retirement village</w:t>
      </w:r>
      <w:r w:rsidRPr="002C1E2B">
        <w:t xml:space="preserve"> operators to VCAT for financial hardship;</w:t>
      </w:r>
    </w:p>
    <w:p w14:paraId="47E91D30" w14:textId="77777777" w:rsidR="009327D6" w:rsidRPr="002C1E2B" w:rsidRDefault="009327D6" w:rsidP="009327D6">
      <w:pPr>
        <w:pStyle w:val="ListBullet"/>
      </w:pPr>
      <w:r w:rsidRPr="002C1E2B">
        <w:t>Outcomes from random audits on retirement villages conducted by CAV;</w:t>
      </w:r>
    </w:p>
    <w:p w14:paraId="55119F4A" w14:textId="77777777" w:rsidR="009327D6" w:rsidRPr="002C1E2B" w:rsidRDefault="009327D6" w:rsidP="009327D6">
      <w:pPr>
        <w:pStyle w:val="ListBullet"/>
      </w:pPr>
      <w:r w:rsidRPr="002C1E2B">
        <w:t>Industry data on aged care rule and six month rule payments; and</w:t>
      </w:r>
    </w:p>
    <w:p w14:paraId="2018C675" w14:textId="77777777" w:rsidR="009327D6" w:rsidRPr="002C1E2B" w:rsidRDefault="009327D6" w:rsidP="009327D6">
      <w:pPr>
        <w:pStyle w:val="ListBullet"/>
        <w:spacing w:after="240"/>
      </w:pPr>
      <w:r w:rsidRPr="002C1E2B">
        <w:t>Industry data on the time taken to sell a retirement village unit.</w:t>
      </w:r>
    </w:p>
    <w:p w14:paraId="7182318B" w14:textId="77777777" w:rsidR="009327D6" w:rsidRPr="002C1E2B" w:rsidRDefault="009327D6" w:rsidP="009327D6">
      <w:pPr>
        <w:pStyle w:val="BodyText"/>
      </w:pPr>
      <w:r w:rsidRPr="002C1E2B">
        <w:t xml:space="preserve">In early 2017, the </w:t>
      </w:r>
      <w:r w:rsidRPr="002C1E2B">
        <w:rPr>
          <w:i/>
        </w:rPr>
        <w:t xml:space="preserve">Parliamentary Inquiry into the Retirement Housing Sector </w:t>
      </w:r>
      <w:r w:rsidRPr="002C1E2B">
        <w:t xml:space="preserve">in Victoria considered issues related to the operation and regulation of the retirement housing sector with the aim of identifying opportunities for improvement and reform. </w:t>
      </w:r>
    </w:p>
    <w:p w14:paraId="2AB3A6CC" w14:textId="2C29205C" w:rsidR="009327D6" w:rsidRPr="002C1E2B" w:rsidRDefault="009327D6" w:rsidP="009327D6">
      <w:pPr>
        <w:pStyle w:val="BodyText"/>
      </w:pPr>
      <w:r w:rsidRPr="002C1E2B">
        <w:t xml:space="preserve">The Parliamentary Inquiry’s report was </w:t>
      </w:r>
      <w:r w:rsidR="00FC4E47" w:rsidRPr="002C1E2B">
        <w:t xml:space="preserve">scheduled to be finalised </w:t>
      </w:r>
      <w:r w:rsidRPr="002C1E2B">
        <w:t>on 1 Marc</w:t>
      </w:r>
      <w:r w:rsidR="00183366">
        <w:t>h.</w:t>
      </w:r>
    </w:p>
    <w:p w14:paraId="491298FB" w14:textId="77777777" w:rsidR="000B1C6F" w:rsidRPr="002C1E2B" w:rsidRDefault="009327D6" w:rsidP="00EB1DAB">
      <w:pPr>
        <w:pStyle w:val="BodyText"/>
      </w:pPr>
      <w:r w:rsidRPr="002C1E2B">
        <w:t>The Government is required to provide the Legislative Council with the Government’s response to the Committee’s recommendations within six months of the final report being tabled in Parliament. As the Government’s response to the inquiry may potentially prompt changes to the operation of the retirement village sector, CAV may reconsider its existing monitoring and evaluation approach as part of a broader reform process</w:t>
      </w:r>
      <w:r w:rsidR="00C277C5" w:rsidRPr="002C1E2B">
        <w:t>.</w:t>
      </w:r>
    </w:p>
    <w:p w14:paraId="6983A9DA" w14:textId="77777777" w:rsidR="009828E4" w:rsidRPr="002C1E2B" w:rsidRDefault="009828E4">
      <w:pPr>
        <w:spacing w:after="200" w:line="276" w:lineRule="auto"/>
        <w:rPr>
          <w:rFonts w:asciiTheme="majorHAnsi" w:eastAsiaTheme="majorEastAsia" w:hAnsiTheme="majorHAnsi" w:cstheme="majorBidi"/>
          <w:b/>
          <w:bCs/>
          <w:sz w:val="28"/>
          <w:szCs w:val="28"/>
        </w:rPr>
      </w:pPr>
      <w:r w:rsidRPr="002C1E2B">
        <w:br w:type="page"/>
      </w:r>
    </w:p>
    <w:p w14:paraId="7B17F3C6" w14:textId="77777777" w:rsidR="006A65B2" w:rsidRPr="002C1E2B" w:rsidRDefault="00D73319" w:rsidP="00C72FB8">
      <w:pPr>
        <w:pStyle w:val="Heading1"/>
        <w:numPr>
          <w:ilvl w:val="0"/>
          <w:numId w:val="1"/>
        </w:numPr>
      </w:pPr>
      <w:bookmarkStart w:id="195" w:name="_Toc476739292"/>
      <w:bookmarkStart w:id="196" w:name="_Toc476585846"/>
      <w:r w:rsidRPr="002C1E2B">
        <w:lastRenderedPageBreak/>
        <w:t>Bibliography</w:t>
      </w:r>
      <w:bookmarkEnd w:id="195"/>
      <w:bookmarkEnd w:id="196"/>
      <w:r w:rsidRPr="002C1E2B">
        <w:t xml:space="preserve"> </w:t>
      </w:r>
    </w:p>
    <w:p w14:paraId="60EFDC21" w14:textId="77777777" w:rsidR="00792DDB" w:rsidRPr="002C1E2B" w:rsidRDefault="00792DDB" w:rsidP="00792DDB">
      <w:pPr>
        <w:pStyle w:val="HeadingU2"/>
      </w:pPr>
      <w:bookmarkStart w:id="197" w:name="_Toc475980651"/>
      <w:bookmarkStart w:id="198" w:name="_Toc476566207"/>
      <w:bookmarkStart w:id="199" w:name="_Toc476575307"/>
      <w:bookmarkStart w:id="200" w:name="_Toc476578596"/>
      <w:bookmarkStart w:id="201" w:name="_Toc476579091"/>
      <w:bookmarkStart w:id="202" w:name="_Toc476579667"/>
      <w:bookmarkStart w:id="203" w:name="_Toc476585847"/>
      <w:bookmarkStart w:id="204" w:name="_Toc476739293"/>
      <w:r w:rsidRPr="002C1E2B">
        <w:t>Legislation</w:t>
      </w:r>
      <w:bookmarkEnd w:id="197"/>
      <w:bookmarkEnd w:id="198"/>
      <w:bookmarkEnd w:id="199"/>
      <w:bookmarkEnd w:id="200"/>
      <w:bookmarkEnd w:id="201"/>
      <w:bookmarkEnd w:id="202"/>
      <w:bookmarkEnd w:id="203"/>
      <w:bookmarkEnd w:id="204"/>
    </w:p>
    <w:p w14:paraId="6CDCB8B9" w14:textId="77777777" w:rsidR="00792DDB" w:rsidRPr="002C1E2B" w:rsidRDefault="00792DDB" w:rsidP="00792DDB">
      <w:pPr>
        <w:pStyle w:val="BodyText"/>
        <w:rPr>
          <w:rFonts w:eastAsia="PMingLiU"/>
          <w:i/>
          <w:lang w:eastAsia="zh-MO"/>
        </w:rPr>
      </w:pPr>
      <w:r w:rsidRPr="002C1E2B">
        <w:rPr>
          <w:rFonts w:eastAsia="PMingLiU"/>
          <w:i/>
          <w:lang w:eastAsia="zh-MO"/>
        </w:rPr>
        <w:t xml:space="preserve">Aged Care Act 1997 </w:t>
      </w:r>
      <w:r w:rsidRPr="002C1E2B">
        <w:rPr>
          <w:rFonts w:eastAsia="PMingLiU"/>
          <w:lang w:eastAsia="zh-MO"/>
        </w:rPr>
        <w:t>(Cth)</w:t>
      </w:r>
    </w:p>
    <w:p w14:paraId="6AA79022" w14:textId="77777777" w:rsidR="00792DDB" w:rsidRPr="002C1E2B" w:rsidRDefault="00792DDB" w:rsidP="00792DDB">
      <w:pPr>
        <w:pStyle w:val="BodyText"/>
        <w:rPr>
          <w:rFonts w:eastAsia="PMingLiU"/>
          <w:lang w:eastAsia="zh-MO"/>
        </w:rPr>
      </w:pPr>
      <w:r w:rsidRPr="002C1E2B">
        <w:rPr>
          <w:rFonts w:eastAsia="PMingLiU"/>
          <w:i/>
          <w:lang w:eastAsia="zh-MO"/>
        </w:rPr>
        <w:t>Retirement Villages Act 1986</w:t>
      </w:r>
      <w:r w:rsidRPr="002C1E2B">
        <w:rPr>
          <w:rFonts w:eastAsia="PMingLiU"/>
          <w:lang w:eastAsia="zh-MO"/>
        </w:rPr>
        <w:t xml:space="preserve"> (Vic)</w:t>
      </w:r>
    </w:p>
    <w:p w14:paraId="39515D04" w14:textId="77777777" w:rsidR="00792DDB" w:rsidRPr="002C1E2B" w:rsidRDefault="00792DDB" w:rsidP="00792DDB">
      <w:pPr>
        <w:pStyle w:val="BodyText"/>
      </w:pPr>
      <w:r w:rsidRPr="002C1E2B">
        <w:rPr>
          <w:i/>
        </w:rPr>
        <w:t xml:space="preserve">Retirement Villages Act 1992 </w:t>
      </w:r>
      <w:r w:rsidRPr="002C1E2B">
        <w:t>(WA)</w:t>
      </w:r>
    </w:p>
    <w:p w14:paraId="016A352E" w14:textId="77777777" w:rsidR="00792DDB" w:rsidRPr="002C1E2B" w:rsidRDefault="00792DDB" w:rsidP="00792DDB">
      <w:pPr>
        <w:pStyle w:val="BodyText"/>
      </w:pPr>
      <w:r w:rsidRPr="002C1E2B">
        <w:rPr>
          <w:i/>
        </w:rPr>
        <w:t xml:space="preserve">Retirement Villages Act 1999 </w:t>
      </w:r>
      <w:r w:rsidRPr="002C1E2B">
        <w:t>(NSW)</w:t>
      </w:r>
    </w:p>
    <w:p w14:paraId="6286C734" w14:textId="77777777" w:rsidR="00792DDB" w:rsidRPr="002C1E2B" w:rsidRDefault="00792DDB" w:rsidP="00792DDB">
      <w:pPr>
        <w:pStyle w:val="BodyText"/>
      </w:pPr>
      <w:r w:rsidRPr="002C1E2B">
        <w:rPr>
          <w:i/>
        </w:rPr>
        <w:t xml:space="preserve">Retirement Villages Act 1999 </w:t>
      </w:r>
      <w:r w:rsidRPr="002C1E2B">
        <w:t>(Qld)</w:t>
      </w:r>
    </w:p>
    <w:p w14:paraId="6794F726" w14:textId="77777777" w:rsidR="00792DDB" w:rsidRPr="002C1E2B" w:rsidRDefault="00792DDB" w:rsidP="00792DDB">
      <w:pPr>
        <w:pStyle w:val="BodyText"/>
        <w:rPr>
          <w:iCs/>
        </w:rPr>
      </w:pPr>
      <w:r w:rsidRPr="002C1E2B">
        <w:rPr>
          <w:rFonts w:eastAsia="PMingLiU"/>
          <w:i/>
          <w:lang w:eastAsia="zh-MO"/>
        </w:rPr>
        <w:t>Retirement Villages Act 2004</w:t>
      </w:r>
      <w:r w:rsidRPr="002C1E2B">
        <w:rPr>
          <w:rFonts w:eastAsia="PMingLiU"/>
          <w:lang w:eastAsia="zh-MO"/>
        </w:rPr>
        <w:t xml:space="preserve"> (</w:t>
      </w:r>
      <w:proofErr w:type="gramStart"/>
      <w:r w:rsidRPr="002C1E2B">
        <w:rPr>
          <w:rFonts w:eastAsia="PMingLiU"/>
          <w:lang w:eastAsia="zh-MO"/>
        </w:rPr>
        <w:t>Tas</w:t>
      </w:r>
      <w:proofErr w:type="gramEnd"/>
      <w:r w:rsidRPr="002C1E2B">
        <w:rPr>
          <w:rFonts w:eastAsia="PMingLiU"/>
          <w:lang w:eastAsia="zh-MO"/>
        </w:rPr>
        <w:t>)</w:t>
      </w:r>
    </w:p>
    <w:p w14:paraId="58DA4944" w14:textId="77777777" w:rsidR="00792DDB" w:rsidRPr="002C1E2B" w:rsidRDefault="00792DDB" w:rsidP="00792DDB">
      <w:pPr>
        <w:pStyle w:val="BodyText"/>
        <w:rPr>
          <w:iCs/>
        </w:rPr>
      </w:pPr>
      <w:r w:rsidRPr="002C1E2B">
        <w:rPr>
          <w:i/>
        </w:rPr>
        <w:t>Retirement Villages Act 2012</w:t>
      </w:r>
      <w:r w:rsidRPr="002C1E2B">
        <w:t xml:space="preserve"> (ACT)</w:t>
      </w:r>
    </w:p>
    <w:p w14:paraId="49399516" w14:textId="77777777" w:rsidR="00792DDB" w:rsidRPr="002C1E2B" w:rsidRDefault="00792DDB" w:rsidP="00792DDB">
      <w:pPr>
        <w:pStyle w:val="BodyText"/>
        <w:rPr>
          <w:rFonts w:eastAsia="PMingLiU"/>
          <w:lang w:eastAsia="zh-MO"/>
        </w:rPr>
      </w:pPr>
      <w:r w:rsidRPr="002C1E2B">
        <w:rPr>
          <w:rFonts w:eastAsia="PMingLiU"/>
          <w:i/>
          <w:lang w:eastAsia="zh-MO"/>
        </w:rPr>
        <w:t>Retirement Villages Act 2016</w:t>
      </w:r>
      <w:r w:rsidRPr="002C1E2B">
        <w:rPr>
          <w:rFonts w:eastAsia="PMingLiU"/>
          <w:lang w:eastAsia="zh-MO"/>
        </w:rPr>
        <w:t xml:space="preserve"> (SA)</w:t>
      </w:r>
    </w:p>
    <w:p w14:paraId="41194F99" w14:textId="77777777" w:rsidR="00792DDB" w:rsidRPr="002C1E2B" w:rsidRDefault="00792DDB" w:rsidP="00792DDB">
      <w:pPr>
        <w:pStyle w:val="BodyText"/>
      </w:pPr>
      <w:r w:rsidRPr="002C1E2B">
        <w:rPr>
          <w:i/>
        </w:rPr>
        <w:t xml:space="preserve">Retirement Villages Act </w:t>
      </w:r>
      <w:r w:rsidRPr="002C1E2B">
        <w:t>(NT)</w:t>
      </w:r>
    </w:p>
    <w:p w14:paraId="030F7BEC" w14:textId="77777777" w:rsidR="00792DDB" w:rsidRPr="002C1E2B" w:rsidRDefault="00792DDB" w:rsidP="00792DDB">
      <w:pPr>
        <w:pStyle w:val="BodyText"/>
      </w:pPr>
      <w:r w:rsidRPr="002C1E2B">
        <w:t>Retirement Villages Bill 2016 (SA)</w:t>
      </w:r>
    </w:p>
    <w:p w14:paraId="0411D053" w14:textId="77777777" w:rsidR="00792DDB" w:rsidRPr="00C044E6" w:rsidRDefault="00792DDB" w:rsidP="00792DDB">
      <w:pPr>
        <w:rPr>
          <w:lang w:val="fr-FR"/>
        </w:rPr>
      </w:pPr>
      <w:r w:rsidRPr="00C044E6">
        <w:rPr>
          <w:rFonts w:eastAsia="PMingLiU"/>
          <w:lang w:val="fr-FR" w:eastAsia="zh-MO"/>
        </w:rPr>
        <w:t>Retirement Villages (Contractual Arrangements) Regulations 2006</w:t>
      </w:r>
    </w:p>
    <w:p w14:paraId="3A71AD7D" w14:textId="77777777" w:rsidR="00672FA6" w:rsidRPr="002C1E2B" w:rsidRDefault="00792DDB" w:rsidP="00792DDB">
      <w:pPr>
        <w:rPr>
          <w:rFonts w:eastAsia="PMingLiU"/>
          <w:lang w:eastAsia="zh-MO"/>
        </w:rPr>
      </w:pPr>
      <w:r w:rsidRPr="002C1E2B">
        <w:rPr>
          <w:rFonts w:eastAsia="PMingLiU"/>
          <w:lang w:eastAsia="zh-MO"/>
        </w:rPr>
        <w:t>Retirement Villages (Records and Notices) Regulations 2015</w:t>
      </w:r>
    </w:p>
    <w:p w14:paraId="36195AC4" w14:textId="77777777" w:rsidR="00792DDB" w:rsidRPr="002C1E2B" w:rsidRDefault="00672FA6" w:rsidP="00792DDB">
      <w:pPr>
        <w:rPr>
          <w:i/>
        </w:rPr>
      </w:pPr>
      <w:r w:rsidRPr="002C1E2B">
        <w:rPr>
          <w:rFonts w:eastAsia="PMingLiU"/>
          <w:i/>
          <w:lang w:eastAsia="zh-MO"/>
        </w:rPr>
        <w:t>Subordinate Legislation Act 1994</w:t>
      </w:r>
      <w:r w:rsidR="00792DDB" w:rsidRPr="002C1E2B">
        <w:rPr>
          <w:rFonts w:eastAsia="PMingLiU"/>
          <w:i/>
          <w:lang w:eastAsia="zh-MO"/>
        </w:rPr>
        <w:t xml:space="preserve"> </w:t>
      </w:r>
    </w:p>
    <w:p w14:paraId="05BBD28B" w14:textId="77777777" w:rsidR="00792DDB" w:rsidRPr="002C1E2B" w:rsidRDefault="00792DDB" w:rsidP="00EB1DAB">
      <w:pPr>
        <w:pStyle w:val="BodyText"/>
        <w:rPr>
          <w:highlight w:val="yellow"/>
        </w:rPr>
      </w:pPr>
    </w:p>
    <w:p w14:paraId="1188E0F6" w14:textId="77777777" w:rsidR="00792DDB" w:rsidRPr="002C1E2B" w:rsidRDefault="00792DDB" w:rsidP="00792DDB">
      <w:pPr>
        <w:pStyle w:val="HeadingU2"/>
      </w:pPr>
      <w:bookmarkStart w:id="205" w:name="_Toc475980652"/>
      <w:bookmarkStart w:id="206" w:name="_Toc476566208"/>
      <w:bookmarkStart w:id="207" w:name="_Toc476575308"/>
      <w:bookmarkStart w:id="208" w:name="_Toc476578597"/>
      <w:bookmarkStart w:id="209" w:name="_Toc476579092"/>
      <w:bookmarkStart w:id="210" w:name="_Toc476579668"/>
      <w:bookmarkStart w:id="211" w:name="_Toc476585848"/>
      <w:bookmarkStart w:id="212" w:name="_Toc476739294"/>
      <w:r w:rsidRPr="002C1E2B">
        <w:t>Published documents</w:t>
      </w:r>
      <w:bookmarkEnd w:id="205"/>
      <w:bookmarkEnd w:id="206"/>
      <w:bookmarkEnd w:id="207"/>
      <w:bookmarkEnd w:id="208"/>
      <w:bookmarkEnd w:id="209"/>
      <w:bookmarkEnd w:id="210"/>
      <w:bookmarkEnd w:id="211"/>
      <w:bookmarkEnd w:id="212"/>
    </w:p>
    <w:p w14:paraId="4B2AF543" w14:textId="77777777" w:rsidR="00792DDB" w:rsidRPr="002C1E2B" w:rsidRDefault="00792DDB" w:rsidP="00792DDB">
      <w:pPr>
        <w:pStyle w:val="BodyText"/>
      </w:pPr>
      <w:r w:rsidRPr="002C1E2B">
        <w:t>Aged Care Financing Authority 2016</w:t>
      </w:r>
      <w:r w:rsidRPr="002C1E2B">
        <w:rPr>
          <w:i/>
        </w:rPr>
        <w:t>, 2016 Report on the Funding and Financing of the Aged Care Industry</w:t>
      </w:r>
      <w:r w:rsidRPr="002C1E2B">
        <w:t xml:space="preserve">, Commonwealth Government, </w:t>
      </w:r>
      <w:proofErr w:type="gramStart"/>
      <w:r w:rsidRPr="002C1E2B">
        <w:t>Canberra</w:t>
      </w:r>
      <w:proofErr w:type="gramEnd"/>
      <w:r w:rsidRPr="002C1E2B">
        <w:t>.</w:t>
      </w:r>
    </w:p>
    <w:p w14:paraId="4A0FF883" w14:textId="77777777" w:rsidR="00792DDB" w:rsidRPr="002C1E2B" w:rsidRDefault="00792DDB" w:rsidP="00792DDB">
      <w:pPr>
        <w:pStyle w:val="BodyText"/>
      </w:pPr>
      <w:r w:rsidRPr="002C1E2B">
        <w:t xml:space="preserve">Australian Bureau of Statistics 2016, </w:t>
      </w:r>
      <w:r w:rsidRPr="002C1E2B">
        <w:rPr>
          <w:i/>
        </w:rPr>
        <w:t>Quarterly Population Estimates (ERP),</w:t>
      </w:r>
      <w:r w:rsidRPr="002C1E2B">
        <w:t xml:space="preserve"> cat. </w:t>
      </w:r>
      <w:proofErr w:type="gramStart"/>
      <w:r w:rsidRPr="002C1E2B">
        <w:t>no</w:t>
      </w:r>
      <w:proofErr w:type="gramEnd"/>
      <w:r w:rsidRPr="002C1E2B">
        <w:t>. 3101.0.</w:t>
      </w:r>
    </w:p>
    <w:p w14:paraId="61BD8604" w14:textId="77777777" w:rsidR="00672FA6" w:rsidRPr="002C1E2B" w:rsidRDefault="00672FA6" w:rsidP="00792DDB">
      <w:pPr>
        <w:pStyle w:val="BodyText"/>
      </w:pPr>
      <w:r w:rsidRPr="002C1E2B">
        <w:t xml:space="preserve">CAV 2016, </w:t>
      </w:r>
      <w:r w:rsidRPr="002C1E2B">
        <w:rPr>
          <w:i/>
        </w:rPr>
        <w:t>Guide to choosing and living in a retirement village</w:t>
      </w:r>
      <w:r w:rsidRPr="002C1E2B">
        <w:t>, Victorian Government, Victoria. Retrieved at: &lt;https://www.consumer.vic.gov.au/housing-and-accommodation/retirement-villages/choosing-a-retirement-village&gt;.</w:t>
      </w:r>
    </w:p>
    <w:p w14:paraId="3ECB2BC8" w14:textId="77777777" w:rsidR="00792DDB" w:rsidRPr="002C1E2B" w:rsidRDefault="00792DDB" w:rsidP="00792DDB">
      <w:pPr>
        <w:pStyle w:val="BodyText"/>
        <w:rPr>
          <w:sz w:val="23"/>
          <w:szCs w:val="23"/>
        </w:rPr>
      </w:pPr>
      <w:r w:rsidRPr="002C1E2B">
        <w:t xml:space="preserve">Department of Housing and Public Works 2012, </w:t>
      </w:r>
      <w:r w:rsidRPr="002C1E2B">
        <w:rPr>
          <w:i/>
        </w:rPr>
        <w:t>Review of the Retirement Villages Act 1999 (Qld): Consultation Regulatory Impact Statement</w:t>
      </w:r>
      <w:r w:rsidRPr="002C1E2B">
        <w:t xml:space="preserve">, </w:t>
      </w:r>
      <w:r w:rsidRPr="002C1E2B">
        <w:rPr>
          <w:sz w:val="23"/>
          <w:szCs w:val="23"/>
        </w:rPr>
        <w:t>Transport, Housing and Local Government Committee of the Parliament, Queensland.</w:t>
      </w:r>
    </w:p>
    <w:p w14:paraId="135B79D1" w14:textId="77777777" w:rsidR="00D6489C" w:rsidRPr="002C1E2B" w:rsidRDefault="00D6489C" w:rsidP="00792DDB">
      <w:pPr>
        <w:pStyle w:val="BodyText"/>
        <w:rPr>
          <w:b/>
        </w:rPr>
      </w:pPr>
      <w:r w:rsidRPr="002C1E2B">
        <w:t xml:space="preserve">Little, S. (2016), </w:t>
      </w:r>
      <w:r w:rsidRPr="002C1E2B">
        <w:rPr>
          <w:i/>
        </w:rPr>
        <w:t>IBISWorld Industry Report OD5534, Coming of age: Revenue soars as retiring baby boomers drive industry demand</w:t>
      </w:r>
      <w:r w:rsidRPr="002C1E2B">
        <w:t>, Retrieved from &lt;www.ibisworld.com&gt;.</w:t>
      </w:r>
    </w:p>
    <w:p w14:paraId="375CF874" w14:textId="77777777" w:rsidR="00A92ABB" w:rsidRPr="002C1E2B" w:rsidRDefault="00A92ABB" w:rsidP="00792DDB">
      <w:pPr>
        <w:pStyle w:val="BodyText"/>
        <w:rPr>
          <w:iCs/>
          <w:color w:val="000000"/>
        </w:rPr>
      </w:pPr>
      <w:r w:rsidRPr="002C1E2B">
        <w:rPr>
          <w:color w:val="000000"/>
        </w:rPr>
        <w:lastRenderedPageBreak/>
        <w:t xml:space="preserve">Productivity Commission 2015, </w:t>
      </w:r>
      <w:r w:rsidRPr="002C1E2B">
        <w:rPr>
          <w:i/>
          <w:iCs/>
          <w:color w:val="000000"/>
        </w:rPr>
        <w:t>Housing Decisions of Older Australians</w:t>
      </w:r>
      <w:r w:rsidRPr="002C1E2B">
        <w:rPr>
          <w:iCs/>
          <w:color w:val="000000"/>
        </w:rPr>
        <w:t>, Commission Research Paper, Canberra.</w:t>
      </w:r>
    </w:p>
    <w:p w14:paraId="04B45675" w14:textId="77777777" w:rsidR="00792DDB" w:rsidRPr="002C1E2B" w:rsidRDefault="00792DDB" w:rsidP="00792DDB">
      <w:pPr>
        <w:pStyle w:val="BodyText"/>
      </w:pPr>
      <w:r w:rsidRPr="002C1E2B">
        <w:t xml:space="preserve">Property Council of Australia 2016, </w:t>
      </w:r>
      <w:r w:rsidRPr="002C1E2B">
        <w:rPr>
          <w:i/>
        </w:rPr>
        <w:t>Submission to the ‘Parliamentary Inquiry into the Retirement Housing Sector’</w:t>
      </w:r>
      <w:r w:rsidRPr="002C1E2B">
        <w:t>, Legislative Council Standing Committee on Legal and Social Issues, Victoria.</w:t>
      </w:r>
    </w:p>
    <w:p w14:paraId="15657197" w14:textId="77777777" w:rsidR="00792DDB" w:rsidRPr="002C1E2B" w:rsidRDefault="00792DDB" w:rsidP="00792DDB">
      <w:pPr>
        <w:pStyle w:val="BodyText"/>
      </w:pPr>
      <w:r w:rsidRPr="002C1E2B">
        <w:t xml:space="preserve">Property Council of Australia &amp; PWC 2014, </w:t>
      </w:r>
      <w:r w:rsidRPr="002C1E2B">
        <w:rPr>
          <w:i/>
        </w:rPr>
        <w:t>Retirement Census</w:t>
      </w:r>
      <w:r w:rsidRPr="002C1E2B">
        <w:t>, July 2014</w:t>
      </w:r>
      <w:r w:rsidR="00B470E3" w:rsidRPr="002C1E2B">
        <w:t xml:space="preserve"> (abstract)</w:t>
      </w:r>
      <w:r w:rsidRPr="002C1E2B">
        <w:t>.</w:t>
      </w:r>
    </w:p>
    <w:p w14:paraId="6FC37256" w14:textId="77777777" w:rsidR="00792DDB" w:rsidRPr="002C1E2B" w:rsidRDefault="00792DDB" w:rsidP="00792DDB">
      <w:pPr>
        <w:pStyle w:val="BodyText"/>
      </w:pPr>
      <w:r w:rsidRPr="002C1E2B">
        <w:t xml:space="preserve">Property Council of Australia &amp; PWC 2015, </w:t>
      </w:r>
      <w:r w:rsidRPr="002C1E2B">
        <w:rPr>
          <w:i/>
        </w:rPr>
        <w:t>Retirement Census</w:t>
      </w:r>
      <w:r w:rsidRPr="002C1E2B">
        <w:t>, August 2015</w:t>
      </w:r>
      <w:r w:rsidR="00B470E3" w:rsidRPr="002C1E2B">
        <w:t xml:space="preserve"> (abstract)</w:t>
      </w:r>
      <w:r w:rsidRPr="002C1E2B">
        <w:t>.</w:t>
      </w:r>
    </w:p>
    <w:p w14:paraId="38064E32" w14:textId="77777777" w:rsidR="00792DDB" w:rsidRPr="002C1E2B" w:rsidRDefault="00792DDB" w:rsidP="00792DDB">
      <w:pPr>
        <w:pStyle w:val="BodyText"/>
      </w:pPr>
      <w:r w:rsidRPr="002C1E2B">
        <w:t xml:space="preserve">Property Council of Australia &amp; PWC 2016, </w:t>
      </w:r>
      <w:r w:rsidRPr="002C1E2B">
        <w:rPr>
          <w:i/>
        </w:rPr>
        <w:t>Retirement Census</w:t>
      </w:r>
      <w:r w:rsidRPr="002C1E2B">
        <w:t>, November 2016</w:t>
      </w:r>
      <w:r w:rsidR="00B470E3" w:rsidRPr="002C1E2B">
        <w:t xml:space="preserve"> (abstract)</w:t>
      </w:r>
      <w:r w:rsidRPr="002C1E2B">
        <w:t>.</w:t>
      </w:r>
    </w:p>
    <w:p w14:paraId="64F29EDE" w14:textId="77777777" w:rsidR="0038074A" w:rsidRPr="002C1E2B" w:rsidRDefault="0038074A" w:rsidP="00792DDB">
      <w:pPr>
        <w:pStyle w:val="BodyText"/>
      </w:pPr>
      <w:r w:rsidRPr="002C1E2B">
        <w:t xml:space="preserve">Retirement Living Council 2013, </w:t>
      </w:r>
      <w:r w:rsidRPr="002C1E2B">
        <w:rPr>
          <w:i/>
        </w:rPr>
        <w:t>Profile: Retirement Village Residents</w:t>
      </w:r>
      <w:r w:rsidRPr="002C1E2B">
        <w:t>, viewed February 2017, &lt;http://www.retirementliving.org.au/wp-content/uploads/2013/12/Retirement-Village-Residents-Profile.pdf&gt;</w:t>
      </w:r>
    </w:p>
    <w:p w14:paraId="4AC58829" w14:textId="77777777" w:rsidR="009205C7" w:rsidRPr="002C1E2B" w:rsidRDefault="009205C7" w:rsidP="00792DDB">
      <w:pPr>
        <w:pStyle w:val="BodyText"/>
      </w:pPr>
      <w:r w:rsidRPr="002C1E2B">
        <w:t xml:space="preserve">Grant Thornton, Property Council of Australia and the Retirement Living Council 2014, </w:t>
      </w:r>
      <w:proofErr w:type="gramStart"/>
      <w:r w:rsidRPr="002C1E2B">
        <w:rPr>
          <w:i/>
        </w:rPr>
        <w:t>The</w:t>
      </w:r>
      <w:proofErr w:type="gramEnd"/>
      <w:r w:rsidRPr="002C1E2B">
        <w:rPr>
          <w:i/>
        </w:rPr>
        <w:t xml:space="preserve"> effect of the Victorian Aged Care Rule on the retirement village sector.</w:t>
      </w:r>
    </w:p>
    <w:p w14:paraId="17055ABF" w14:textId="77777777" w:rsidR="00792DDB" w:rsidRPr="002C1E2B" w:rsidRDefault="00792DDB" w:rsidP="00792DDB">
      <w:pPr>
        <w:pStyle w:val="BodyText"/>
      </w:pPr>
      <w:r w:rsidRPr="002C1E2B">
        <w:t xml:space="preserve">Retirement Village Association 2011, </w:t>
      </w:r>
      <w:r w:rsidRPr="002C1E2B">
        <w:rPr>
          <w:i/>
        </w:rPr>
        <w:t>Submission to the ‘Caring for Older Australian Inquiry Report’</w:t>
      </w:r>
      <w:r w:rsidRPr="002C1E2B">
        <w:t>, Pro</w:t>
      </w:r>
      <w:r w:rsidR="0038074A" w:rsidRPr="002C1E2B">
        <w:t>ductivity Commission, Melbourne.</w:t>
      </w:r>
    </w:p>
    <w:p w14:paraId="437720A9" w14:textId="77777777" w:rsidR="00792DDB" w:rsidRPr="002C1E2B" w:rsidRDefault="00792DDB" w:rsidP="0044799B">
      <w:pPr>
        <w:pStyle w:val="BodyText"/>
      </w:pPr>
      <w:r w:rsidRPr="002C1E2B">
        <w:t xml:space="preserve">RRVV 2016, </w:t>
      </w:r>
      <w:r w:rsidRPr="002C1E2B">
        <w:rPr>
          <w:i/>
        </w:rPr>
        <w:t>Submission to the ‘Parliamentary Inquiry into the Retirement Housing Sector’</w:t>
      </w:r>
      <w:r w:rsidRPr="002C1E2B">
        <w:t>, Legislative Council Standing Committee on Legal and Social Issues, Victoria.</w:t>
      </w:r>
    </w:p>
    <w:p w14:paraId="4C2CD3FA" w14:textId="77777777" w:rsidR="0044799B" w:rsidRPr="002C1E2B" w:rsidRDefault="0044799B" w:rsidP="00EB1DAB">
      <w:pPr>
        <w:pStyle w:val="BodyText"/>
      </w:pPr>
    </w:p>
    <w:p w14:paraId="6ECCFCD4" w14:textId="77777777" w:rsidR="00E60E16" w:rsidRPr="002C1E2B" w:rsidRDefault="00E60E16" w:rsidP="0044799B">
      <w:pPr>
        <w:pStyle w:val="HeadingU2"/>
      </w:pPr>
      <w:bookmarkStart w:id="213" w:name="_Toc475980653"/>
      <w:bookmarkStart w:id="214" w:name="_Toc476566209"/>
      <w:bookmarkStart w:id="215" w:name="_Toc476575309"/>
      <w:bookmarkStart w:id="216" w:name="_Toc476578598"/>
      <w:bookmarkStart w:id="217" w:name="_Toc476579093"/>
      <w:bookmarkStart w:id="218" w:name="_Toc476579669"/>
      <w:bookmarkStart w:id="219" w:name="_Toc476585849"/>
      <w:bookmarkStart w:id="220" w:name="_Toc476739295"/>
      <w:bookmarkStart w:id="221" w:name="_Toc474301070"/>
      <w:r w:rsidRPr="002C1E2B">
        <w:t>Unpublished documents</w:t>
      </w:r>
      <w:bookmarkEnd w:id="213"/>
      <w:bookmarkEnd w:id="214"/>
      <w:bookmarkEnd w:id="215"/>
      <w:bookmarkEnd w:id="216"/>
      <w:bookmarkEnd w:id="217"/>
      <w:bookmarkEnd w:id="218"/>
      <w:bookmarkEnd w:id="219"/>
      <w:bookmarkEnd w:id="220"/>
    </w:p>
    <w:p w14:paraId="490C3725" w14:textId="77777777" w:rsidR="00E60E16" w:rsidRPr="002C1E2B" w:rsidRDefault="00E60E16" w:rsidP="00E60E16">
      <w:pPr>
        <w:pStyle w:val="BodyText"/>
      </w:pPr>
      <w:r w:rsidRPr="002C1E2B">
        <w:t xml:space="preserve">KPMG 2016, </w:t>
      </w:r>
      <w:r w:rsidRPr="002C1E2B">
        <w:rPr>
          <w:i/>
        </w:rPr>
        <w:t>Analysis of Impact of the Aged Care Rule</w:t>
      </w:r>
      <w:r w:rsidRPr="002C1E2B">
        <w:t>, Consumer Affairs Victoria, Melbourne.</w:t>
      </w:r>
    </w:p>
    <w:p w14:paraId="74AC5018" w14:textId="77777777" w:rsidR="00EB1DAB" w:rsidRPr="002C1E2B" w:rsidRDefault="00EB1DAB" w:rsidP="00EB1DAB">
      <w:pPr>
        <w:pStyle w:val="BodyText"/>
      </w:pPr>
      <w:proofErr w:type="spellStart"/>
      <w:r w:rsidRPr="002C1E2B">
        <w:t>Patersons</w:t>
      </w:r>
      <w:proofErr w:type="spellEnd"/>
      <w:r w:rsidRPr="002C1E2B">
        <w:t xml:space="preserve"> 2014, </w:t>
      </w:r>
      <w:r w:rsidRPr="002C1E2B">
        <w:rPr>
          <w:i/>
        </w:rPr>
        <w:t>Aged Care &amp; Retirement Sector Industry Report</w:t>
      </w:r>
      <w:r w:rsidRPr="002C1E2B">
        <w:t>.</w:t>
      </w:r>
    </w:p>
    <w:p w14:paraId="118997C4" w14:textId="77777777" w:rsidR="00EB1DAB" w:rsidRPr="002C1E2B" w:rsidRDefault="00EB1DAB" w:rsidP="00EB1DAB">
      <w:pPr>
        <w:pStyle w:val="BodyText"/>
      </w:pPr>
      <w:r w:rsidRPr="002C1E2B">
        <w:t xml:space="preserve"> </w:t>
      </w:r>
    </w:p>
    <w:p w14:paraId="668FF505" w14:textId="77777777" w:rsidR="0044799B" w:rsidRPr="002C1E2B" w:rsidRDefault="0044799B" w:rsidP="0044799B">
      <w:pPr>
        <w:pStyle w:val="HeadingU2"/>
      </w:pPr>
      <w:bookmarkStart w:id="222" w:name="_Toc475980654"/>
      <w:bookmarkStart w:id="223" w:name="_Toc476566210"/>
      <w:bookmarkStart w:id="224" w:name="_Toc476575310"/>
      <w:bookmarkStart w:id="225" w:name="_Toc476578599"/>
      <w:bookmarkStart w:id="226" w:name="_Toc476579094"/>
      <w:bookmarkStart w:id="227" w:name="_Toc476579670"/>
      <w:bookmarkStart w:id="228" w:name="_Toc476585850"/>
      <w:bookmarkStart w:id="229" w:name="_Toc476739296"/>
      <w:r w:rsidRPr="002C1E2B">
        <w:t>Websites</w:t>
      </w:r>
      <w:bookmarkEnd w:id="222"/>
      <w:bookmarkEnd w:id="223"/>
      <w:bookmarkEnd w:id="224"/>
      <w:bookmarkEnd w:id="225"/>
      <w:bookmarkEnd w:id="226"/>
      <w:bookmarkEnd w:id="227"/>
      <w:bookmarkEnd w:id="228"/>
      <w:bookmarkEnd w:id="229"/>
    </w:p>
    <w:p w14:paraId="3BB7B136" w14:textId="77777777" w:rsidR="00E60E16" w:rsidRPr="002C1E2B" w:rsidRDefault="00E60E16" w:rsidP="00E60E16">
      <w:pPr>
        <w:pStyle w:val="BodyText"/>
        <w:rPr>
          <w:szCs w:val="18"/>
        </w:rPr>
      </w:pPr>
      <w:r w:rsidRPr="002C1E2B">
        <w:t xml:space="preserve">CAV, </w:t>
      </w:r>
      <w:r w:rsidRPr="002C1E2B">
        <w:rPr>
          <w:i/>
        </w:rPr>
        <w:t>Public register of retirement villages</w:t>
      </w:r>
      <w:r w:rsidRPr="002C1E2B">
        <w:t xml:space="preserve">, accessed February 2017 from, </w:t>
      </w:r>
      <w:r w:rsidRPr="002C1E2B">
        <w:rPr>
          <w:szCs w:val="18"/>
        </w:rPr>
        <w:t>https://www.consumer.vic.gov.au/housing-and-accommodation/retirement-villages/choosing-a-retirement-village/public-register-of-retirement-villages</w:t>
      </w:r>
    </w:p>
    <w:p w14:paraId="111629C7" w14:textId="77777777" w:rsidR="00A37F55" w:rsidRPr="002C1E2B" w:rsidRDefault="0044799B" w:rsidP="0044799B">
      <w:pPr>
        <w:pStyle w:val="BodyText"/>
      </w:pPr>
      <w:r w:rsidRPr="002C1E2B">
        <w:t xml:space="preserve">Department of Human Services, </w:t>
      </w:r>
      <w:r w:rsidRPr="002C1E2B">
        <w:rPr>
          <w:i/>
        </w:rPr>
        <w:t>Deeming</w:t>
      </w:r>
      <w:r w:rsidRPr="002C1E2B">
        <w:t>, viewed February 2017, &lt;https://www.humanservices.gov.au/customer/enablers/deeming&gt;.</w:t>
      </w:r>
    </w:p>
    <w:p w14:paraId="1A4D83DF" w14:textId="77777777" w:rsidR="00E60E16" w:rsidRPr="002C1E2B" w:rsidRDefault="00E60E16" w:rsidP="00E60E16">
      <w:pPr>
        <w:pStyle w:val="BodyText"/>
      </w:pPr>
      <w:proofErr w:type="spellStart"/>
      <w:r w:rsidRPr="002C1E2B">
        <w:t>Hollingworth</w:t>
      </w:r>
      <w:proofErr w:type="spellEnd"/>
      <w:r w:rsidRPr="002C1E2B">
        <w:t xml:space="preserve">, C. &amp; Barker, L. 2015, Three Behavioural Insights into Aging Mind, viewed April 2017, retrieved from: &lt;behavioraleconomics.com/three-behavioral-insights-into-the-ageing-mind/&gt;. </w:t>
      </w:r>
    </w:p>
    <w:p w14:paraId="2AC8CDEA" w14:textId="77777777" w:rsidR="00E60E16" w:rsidRPr="002C1E2B" w:rsidRDefault="00E60E16" w:rsidP="0044799B">
      <w:pPr>
        <w:pStyle w:val="BodyText"/>
        <w:sectPr w:rsidR="00E60E16" w:rsidRPr="002C1E2B" w:rsidSect="00166B4D">
          <w:headerReference w:type="even" r:id="rId42"/>
          <w:pgSz w:w="11907" w:h="16839" w:code="1"/>
          <w:pgMar w:top="1915" w:right="1440" w:bottom="1440" w:left="1440" w:header="835" w:footer="202" w:gutter="0"/>
          <w:cols w:space="708"/>
          <w:docGrid w:linePitch="360"/>
        </w:sectPr>
      </w:pPr>
    </w:p>
    <w:p w14:paraId="749063EB" w14:textId="77777777" w:rsidR="00136D7F" w:rsidRPr="002C1E2B" w:rsidRDefault="006A65B2" w:rsidP="00C72FB8">
      <w:pPr>
        <w:pStyle w:val="Heading1"/>
        <w:numPr>
          <w:ilvl w:val="0"/>
          <w:numId w:val="1"/>
        </w:numPr>
      </w:pPr>
      <w:bookmarkStart w:id="230" w:name="_Toc476739297"/>
      <w:bookmarkStart w:id="231" w:name="_Toc476585851"/>
      <w:bookmarkEnd w:id="221"/>
      <w:r w:rsidRPr="002C1E2B">
        <w:lastRenderedPageBreak/>
        <w:t>Inter-jurisdictional comparison</w:t>
      </w:r>
      <w:bookmarkEnd w:id="230"/>
      <w:bookmarkEnd w:id="231"/>
    </w:p>
    <w:p w14:paraId="62562D5F" w14:textId="77777777" w:rsidR="00136D7F" w:rsidRPr="002C1E2B" w:rsidRDefault="00AC3672" w:rsidP="006A65B2">
      <w:pPr>
        <w:pStyle w:val="Heading2"/>
        <w:numPr>
          <w:ilvl w:val="1"/>
          <w:numId w:val="1"/>
        </w:numPr>
      </w:pPr>
      <w:bookmarkStart w:id="232" w:name="_Toc472954248"/>
      <w:bookmarkStart w:id="233" w:name="_Toc475980657"/>
      <w:bookmarkStart w:id="234" w:name="_Toc476566213"/>
      <w:bookmarkStart w:id="235" w:name="_Toc476575313"/>
      <w:bookmarkStart w:id="236" w:name="_Toc476578601"/>
      <w:bookmarkStart w:id="237" w:name="_Toc476579096"/>
      <w:bookmarkStart w:id="238" w:name="_Toc476579672"/>
      <w:bookmarkStart w:id="239" w:name="_Toc476585852"/>
      <w:bookmarkStart w:id="240" w:name="_Toc476739298"/>
      <w:bookmarkEnd w:id="232"/>
      <w:r w:rsidRPr="002C1E2B">
        <w:t>Six month rule</w:t>
      </w:r>
      <w:bookmarkEnd w:id="233"/>
      <w:bookmarkEnd w:id="234"/>
      <w:bookmarkEnd w:id="235"/>
      <w:bookmarkEnd w:id="236"/>
      <w:bookmarkEnd w:id="237"/>
      <w:bookmarkEnd w:id="238"/>
      <w:bookmarkEnd w:id="239"/>
      <w:bookmarkEnd w:id="240"/>
    </w:p>
    <w:p w14:paraId="1F179138" w14:textId="77777777" w:rsidR="006A65B2" w:rsidRPr="002C1E2B" w:rsidRDefault="006A65B2" w:rsidP="006A65B2">
      <w:pPr>
        <w:pStyle w:val="BodyText"/>
      </w:pPr>
      <w:r w:rsidRPr="002C1E2B">
        <w:t xml:space="preserve">The </w:t>
      </w:r>
      <w:r w:rsidR="00AC3672" w:rsidRPr="002C1E2B">
        <w:t>six month rule</w:t>
      </w:r>
      <w:r w:rsidRPr="002C1E2B">
        <w:t>, or a similar version of it, is legislated in most Australian states and territories except for the Northern Territory and Queensland.</w:t>
      </w:r>
    </w:p>
    <w:p w14:paraId="662AE6E9" w14:textId="77777777" w:rsidR="006A65B2" w:rsidRPr="002C1E2B" w:rsidRDefault="006A65B2" w:rsidP="006A65B2">
      <w:pPr>
        <w:pStyle w:val="BodyText"/>
      </w:pPr>
      <w:r w:rsidRPr="002C1E2B">
        <w:t xml:space="preserve">In New South Wales (NSW), the Australian Capital Territory (ACT) and Tasmania, retirement village operators must refund a resident’s in-going contribution (minus any fees) within </w:t>
      </w:r>
      <w:r w:rsidR="00880CAA" w:rsidRPr="002C1E2B">
        <w:t>six</w:t>
      </w:r>
      <w:r w:rsidRPr="002C1E2B">
        <w:t xml:space="preserve"> months of the resident vacating their retirement village unit. In NSW, a retirement village operator may apply to the NSW Civil and Administrative Tribunal to extend time for this payment, or pay by instalments if the operator is of the opinion that they will not be able to enter into a residence contract </w:t>
      </w:r>
      <w:r w:rsidR="00880CAA" w:rsidRPr="002C1E2B">
        <w:t>six</w:t>
      </w:r>
      <w:r w:rsidRPr="002C1E2B">
        <w:t xml:space="preserve"> months after the resident has left the retirement village. </w:t>
      </w:r>
    </w:p>
    <w:p w14:paraId="16E9631F" w14:textId="77777777" w:rsidR="006A65B2" w:rsidRPr="002C1E2B" w:rsidRDefault="006A65B2" w:rsidP="006A65B2">
      <w:pPr>
        <w:pStyle w:val="BodyText"/>
      </w:pPr>
      <w:r w:rsidRPr="002C1E2B">
        <w:t xml:space="preserve">In Western Australia (WA) and South Australia (SA), alternate forms of the </w:t>
      </w:r>
      <w:r w:rsidR="00AC3672" w:rsidRPr="002C1E2B">
        <w:t>six month rule</w:t>
      </w:r>
      <w:r w:rsidRPr="002C1E2B">
        <w:t xml:space="preserve"> are applied with different time frames. In WA, retirement village operators are required to pay the refundable in-going contribution (minus any fees) within 45 days of the resident leaving the retirement village if the resident has no control over the sale of the retirement village unit. If the resident has control over the sale of the unit, then the requirement to pay within 45 days is exempted. In SA, retirement operators are required to pay resident their exit entitlements within 18 months of the residents vacating their residence, if not relicensed prior this time. </w:t>
      </w:r>
    </w:p>
    <w:p w14:paraId="128C5403" w14:textId="77777777" w:rsidR="006A65B2" w:rsidRPr="002C1E2B" w:rsidRDefault="00AC3672" w:rsidP="006A65B2">
      <w:pPr>
        <w:pStyle w:val="Heading2"/>
        <w:numPr>
          <w:ilvl w:val="1"/>
          <w:numId w:val="1"/>
        </w:numPr>
      </w:pPr>
      <w:bookmarkStart w:id="241" w:name="_Toc475980658"/>
      <w:bookmarkStart w:id="242" w:name="_Toc476566214"/>
      <w:bookmarkStart w:id="243" w:name="_Toc476575314"/>
      <w:bookmarkStart w:id="244" w:name="_Toc476578602"/>
      <w:bookmarkStart w:id="245" w:name="_Toc476579097"/>
      <w:bookmarkStart w:id="246" w:name="_Toc476579673"/>
      <w:bookmarkStart w:id="247" w:name="_Toc476585853"/>
      <w:bookmarkStart w:id="248" w:name="_Toc476739299"/>
      <w:r w:rsidRPr="002C1E2B">
        <w:t>Aged care rule</w:t>
      </w:r>
      <w:bookmarkEnd w:id="241"/>
      <w:bookmarkEnd w:id="242"/>
      <w:bookmarkEnd w:id="243"/>
      <w:bookmarkEnd w:id="244"/>
      <w:bookmarkEnd w:id="245"/>
      <w:bookmarkEnd w:id="246"/>
      <w:bookmarkEnd w:id="247"/>
      <w:bookmarkEnd w:id="248"/>
      <w:r w:rsidR="006A65B2" w:rsidRPr="002C1E2B">
        <w:t xml:space="preserve"> </w:t>
      </w:r>
    </w:p>
    <w:p w14:paraId="2C7FAFF6" w14:textId="77777777" w:rsidR="006A65B2" w:rsidRPr="002C1E2B" w:rsidRDefault="006A65B2" w:rsidP="006A65B2">
      <w:pPr>
        <w:pStyle w:val="BodyText"/>
      </w:pPr>
      <w:r w:rsidRPr="002C1E2B">
        <w:t xml:space="preserve">The Victorian, Tasmanian and SA retirement villages regulations all contain a version of the </w:t>
      </w:r>
      <w:r w:rsidR="00AC3672" w:rsidRPr="002C1E2B">
        <w:t>aged care rule</w:t>
      </w:r>
      <w:r w:rsidRPr="002C1E2B">
        <w:t xml:space="preserve">. </w:t>
      </w:r>
    </w:p>
    <w:p w14:paraId="398E4509" w14:textId="77777777" w:rsidR="006A65B2" w:rsidRPr="002C1E2B" w:rsidRDefault="006A65B2" w:rsidP="006A65B2">
      <w:pPr>
        <w:pStyle w:val="BodyText"/>
      </w:pPr>
      <w:r w:rsidRPr="002C1E2B">
        <w:t xml:space="preserve">In SA, a resident transitioning from a retirement village to an aged care can apply for refund of their exit entitlement to secure entry to a residential aged care facility if the resident: </w:t>
      </w:r>
    </w:p>
    <w:p w14:paraId="21FB4DDA" w14:textId="77777777" w:rsidR="006A65B2" w:rsidRPr="002C1E2B" w:rsidRDefault="006A65B2" w:rsidP="006A65B2">
      <w:pPr>
        <w:pStyle w:val="ListBullet"/>
      </w:pPr>
      <w:r w:rsidRPr="002C1E2B">
        <w:t xml:space="preserve">Chooses to pay for their aged care accommodation with a RAD; and </w:t>
      </w:r>
    </w:p>
    <w:p w14:paraId="40E66708" w14:textId="77777777" w:rsidR="006A65B2" w:rsidRPr="002C1E2B" w:rsidRDefault="006A65B2" w:rsidP="00A169E6">
      <w:pPr>
        <w:pStyle w:val="ListBullet"/>
        <w:spacing w:after="240"/>
      </w:pPr>
      <w:r w:rsidRPr="002C1E2B">
        <w:t xml:space="preserve">Does not have ready access to sufficient funds to pay for the RAD or if doing so would seriously affect their personal finances. </w:t>
      </w:r>
    </w:p>
    <w:p w14:paraId="620B78A5" w14:textId="77777777" w:rsidR="006A65B2" w:rsidRPr="002C1E2B" w:rsidRDefault="006A65B2" w:rsidP="006A65B2">
      <w:pPr>
        <w:pStyle w:val="BodyText"/>
      </w:pPr>
      <w:r w:rsidRPr="002C1E2B">
        <w:t xml:space="preserve">If a resident applies for the SA </w:t>
      </w:r>
      <w:r w:rsidR="00AC3672" w:rsidRPr="002C1E2B">
        <w:t>aged care rule</w:t>
      </w:r>
      <w:r w:rsidRPr="002C1E2B">
        <w:t>, the retirement village operator must refund residents their exit entitlements within 60 days after being approved for entry to residential aged care or, after leaving the retirement village. Additionally, the retirement village operator must also commence making payments to the aged care facility in the form of DAPs, which are applicable to the resident’s care at the aged care facility within 30 days after receiving an application for a resident leaving the retirement village and moving to a residential aged care. The retirement village operator must keep making payments on behalf of the resident up to 85</w:t>
      </w:r>
      <w:r w:rsidR="0088222C" w:rsidRPr="002C1E2B">
        <w:t xml:space="preserve"> per cent</w:t>
      </w:r>
      <w:r w:rsidRPr="002C1E2B">
        <w:t xml:space="preserve"> of the operator’s reasonable estimate of the resident’s exit entitlement or when the resident becomes entitled to be paid their exit entitlement.  </w:t>
      </w:r>
    </w:p>
    <w:p w14:paraId="6D202A81" w14:textId="77777777" w:rsidR="006A65B2" w:rsidRPr="002C1E2B" w:rsidRDefault="006A65B2" w:rsidP="006A65B2">
      <w:pPr>
        <w:pStyle w:val="BodyText"/>
      </w:pPr>
      <w:r w:rsidRPr="002C1E2B">
        <w:t xml:space="preserve">Under Tasmania regulations, a resident transitioning to an aged care facility is eligible to apply for a refund of their in-going contribution (the </w:t>
      </w:r>
      <w:r w:rsidR="00AC3672" w:rsidRPr="002C1E2B">
        <w:t>aged care rule</w:t>
      </w:r>
      <w:r w:rsidRPr="002C1E2B">
        <w:t>) if the resident:</w:t>
      </w:r>
    </w:p>
    <w:p w14:paraId="060B8B88" w14:textId="77777777" w:rsidR="006A65B2" w:rsidRPr="002C1E2B" w:rsidRDefault="006A65B2" w:rsidP="006A65B2">
      <w:pPr>
        <w:pStyle w:val="ListBullet"/>
      </w:pPr>
      <w:r w:rsidRPr="002C1E2B">
        <w:lastRenderedPageBreak/>
        <w:t xml:space="preserve">Vacates the retirement village owing to mental or physical illness or incapacity as certified by an independent geriatrician or independent general medical practitioner or an Aged Care Assessment Team; </w:t>
      </w:r>
    </w:p>
    <w:p w14:paraId="03F48CD8" w14:textId="77777777" w:rsidR="006A65B2" w:rsidRPr="002C1E2B" w:rsidRDefault="006A65B2" w:rsidP="006A65B2">
      <w:pPr>
        <w:pStyle w:val="ListBullet"/>
      </w:pPr>
      <w:r w:rsidRPr="002C1E2B">
        <w:t xml:space="preserve">Desires, or need, to move to another kind of accommodation which provides a higher level of care; </w:t>
      </w:r>
    </w:p>
    <w:p w14:paraId="57CBE2EE" w14:textId="77777777" w:rsidR="006A65B2" w:rsidRPr="002C1E2B" w:rsidRDefault="006A65B2" w:rsidP="006A65B2">
      <w:pPr>
        <w:pStyle w:val="ListBullet"/>
      </w:pPr>
      <w:r w:rsidRPr="002C1E2B">
        <w:t>Must pay an amount in order to enter that accommodation; and</w:t>
      </w:r>
    </w:p>
    <w:p w14:paraId="43CDA199" w14:textId="77777777" w:rsidR="006A65B2" w:rsidRPr="002C1E2B" w:rsidRDefault="006A65B2" w:rsidP="006A65B2">
      <w:pPr>
        <w:pStyle w:val="ListBullet"/>
      </w:pPr>
      <w:r w:rsidRPr="002C1E2B">
        <w:t>Does not have ready access to funds to pay for aged care accommodation or if paying for aged care accommodation would seriously affect their personal finances</w:t>
      </w:r>
    </w:p>
    <w:p w14:paraId="42BD3BF4" w14:textId="77777777" w:rsidR="006A65B2" w:rsidRPr="002C1E2B" w:rsidRDefault="006A65B2" w:rsidP="006A65B2">
      <w:pPr>
        <w:pStyle w:val="BodyText"/>
      </w:pPr>
      <w:r w:rsidRPr="002C1E2B">
        <w:t xml:space="preserve">If a resident applies for the Tasmanian </w:t>
      </w:r>
      <w:r w:rsidR="00AC3672" w:rsidRPr="002C1E2B">
        <w:t>aged care rule</w:t>
      </w:r>
      <w:r w:rsidRPr="002C1E2B">
        <w:t xml:space="preserve">, the retirement village operator is required to refund residents the amount of their refundable in-going contribution that is required to pay for their aged care accommodation. Retirement village operators are allowed 45 days after the resident has made the application to refund the required amount. There are no requirements for the operator to pay daily accommodation payments to the residential aged care on behalf of the resident. </w:t>
      </w:r>
    </w:p>
    <w:p w14:paraId="70B1E384" w14:textId="77777777" w:rsidR="006A65B2" w:rsidRPr="002C1E2B" w:rsidRDefault="006A65B2" w:rsidP="006A65B2">
      <w:pPr>
        <w:pStyle w:val="Heading2"/>
        <w:numPr>
          <w:ilvl w:val="1"/>
          <w:numId w:val="1"/>
        </w:numPr>
      </w:pPr>
      <w:bookmarkStart w:id="249" w:name="_Toc475980659"/>
      <w:bookmarkStart w:id="250" w:name="_Toc476566215"/>
      <w:bookmarkStart w:id="251" w:name="_Toc476575315"/>
      <w:bookmarkStart w:id="252" w:name="_Toc476578603"/>
      <w:bookmarkStart w:id="253" w:name="_Toc476579098"/>
      <w:bookmarkStart w:id="254" w:name="_Toc476579674"/>
      <w:bookmarkStart w:id="255" w:name="_Toc476585854"/>
      <w:bookmarkStart w:id="256" w:name="_Toc476739300"/>
      <w:r w:rsidRPr="002C1E2B">
        <w:t>Valuation of retirement village units</w:t>
      </w:r>
      <w:bookmarkEnd w:id="249"/>
      <w:bookmarkEnd w:id="250"/>
      <w:bookmarkEnd w:id="251"/>
      <w:bookmarkEnd w:id="252"/>
      <w:bookmarkEnd w:id="253"/>
      <w:bookmarkEnd w:id="254"/>
      <w:bookmarkEnd w:id="255"/>
      <w:bookmarkEnd w:id="256"/>
    </w:p>
    <w:p w14:paraId="73724406" w14:textId="77777777" w:rsidR="006A65B2" w:rsidRPr="002C1E2B" w:rsidRDefault="006A65B2" w:rsidP="006A65B2">
      <w:pPr>
        <w:pStyle w:val="BodyText"/>
      </w:pPr>
      <w:r w:rsidRPr="002C1E2B">
        <w:t xml:space="preserve">Like Victoria, Queensland, South Australia and the ACT all set out regulatory requirements for the calculation of retirement village unit values referenced in refundable in-going contributions. These are described below. </w:t>
      </w:r>
    </w:p>
    <w:p w14:paraId="01A88ACD" w14:textId="77777777" w:rsidR="006A65B2" w:rsidRPr="002C1E2B" w:rsidRDefault="006A65B2" w:rsidP="006A65B2">
      <w:pPr>
        <w:pStyle w:val="ListBullet"/>
      </w:pPr>
      <w:r w:rsidRPr="002C1E2B">
        <w:rPr>
          <w:b/>
          <w:i/>
        </w:rPr>
        <w:t>Queensland</w:t>
      </w:r>
      <w:r w:rsidRPr="002C1E2B">
        <w:t xml:space="preserve"> – the retirement village operator and resident are to negotiate in good faith and agree in writing on the resale value within 30 days of the termination date;</w:t>
      </w:r>
    </w:p>
    <w:p w14:paraId="39E18E40" w14:textId="77777777" w:rsidR="006A65B2" w:rsidRPr="002C1E2B" w:rsidRDefault="006A65B2" w:rsidP="006A65B2">
      <w:pPr>
        <w:pStyle w:val="ListBullet"/>
      </w:pPr>
      <w:r w:rsidRPr="002C1E2B">
        <w:rPr>
          <w:b/>
          <w:i/>
        </w:rPr>
        <w:t>ACT</w:t>
      </w:r>
      <w:r w:rsidRPr="002C1E2B">
        <w:t xml:space="preserve"> – the retirement village resident may set the sale price of the unit or appoint a selling agent, or delegate to the retirement village operator to set the sale price or selling agent; and</w:t>
      </w:r>
    </w:p>
    <w:p w14:paraId="1D1AF46F" w14:textId="77777777" w:rsidR="006A65B2" w:rsidRPr="002C1E2B" w:rsidRDefault="006A65B2" w:rsidP="006A65B2">
      <w:pPr>
        <w:pStyle w:val="ListBullet"/>
        <w:spacing w:after="240"/>
      </w:pPr>
      <w:r w:rsidRPr="002C1E2B">
        <w:rPr>
          <w:b/>
          <w:i/>
        </w:rPr>
        <w:t>SA</w:t>
      </w:r>
      <w:r w:rsidRPr="002C1E2B">
        <w:t xml:space="preserve"> – the retirement village operator and resident agrees to a resale price, and if objectives cannot be resolved, the resident should be given the opportunity to obtain an independent valuation or reach agreement on another process for valuing the residence and setting the price.  The responsibility for any costs towards valuation activities must be detailed in the remarketing policy of the retirement village. </w:t>
      </w:r>
    </w:p>
    <w:p w14:paraId="2E201AB2" w14:textId="77777777" w:rsidR="006A65B2" w:rsidRPr="002C1E2B" w:rsidRDefault="006A65B2" w:rsidP="006A65B2">
      <w:pPr>
        <w:pStyle w:val="Heading2"/>
        <w:numPr>
          <w:ilvl w:val="1"/>
          <w:numId w:val="1"/>
        </w:numPr>
      </w:pPr>
      <w:bookmarkStart w:id="257" w:name="_Toc475980660"/>
      <w:bookmarkStart w:id="258" w:name="_Toc476566216"/>
      <w:bookmarkStart w:id="259" w:name="_Toc476575316"/>
      <w:bookmarkStart w:id="260" w:name="_Toc476578604"/>
      <w:bookmarkStart w:id="261" w:name="_Toc476579099"/>
      <w:bookmarkStart w:id="262" w:name="_Toc476579675"/>
      <w:bookmarkStart w:id="263" w:name="_Toc476585855"/>
      <w:bookmarkStart w:id="264" w:name="_Toc476739301"/>
      <w:r w:rsidRPr="002C1E2B">
        <w:t>Residence contract requirements</w:t>
      </w:r>
      <w:bookmarkEnd w:id="257"/>
      <w:bookmarkEnd w:id="258"/>
      <w:bookmarkEnd w:id="259"/>
      <w:bookmarkEnd w:id="260"/>
      <w:bookmarkEnd w:id="261"/>
      <w:bookmarkEnd w:id="262"/>
      <w:bookmarkEnd w:id="263"/>
      <w:bookmarkEnd w:id="264"/>
    </w:p>
    <w:p w14:paraId="20ACE65F" w14:textId="77777777" w:rsidR="006A65B2" w:rsidRPr="002C1E2B" w:rsidRDefault="006A65B2" w:rsidP="006A65B2">
      <w:pPr>
        <w:pStyle w:val="BodyText"/>
      </w:pPr>
      <w:r w:rsidRPr="002C1E2B">
        <w:t xml:space="preserve">All Australian jurisdictions prescribe requirements for retirement village residence contracts through their governing legislation. These requirements generally cover the financial terms of the contract (in-going contribution, exit entitlements and service charges) and the resident’s rights under the contract (cooling-off period rights, control over sale, rights to terminate the contract).  </w:t>
      </w:r>
    </w:p>
    <w:p w14:paraId="240E9DD6" w14:textId="77777777" w:rsidR="006A65B2" w:rsidRPr="002C1E2B" w:rsidRDefault="006A65B2" w:rsidP="006A65B2">
      <w:pPr>
        <w:pStyle w:val="BodyText"/>
      </w:pPr>
      <w:r w:rsidRPr="002C1E2B">
        <w:t>Like Victoria, NSW legislation also requires that retirement villages follow a standard contract template where a standard layout and terms of contract are defined in regulation.</w:t>
      </w:r>
    </w:p>
    <w:p w14:paraId="5FC9CD9E" w14:textId="77777777" w:rsidR="006A65B2" w:rsidRPr="002C1E2B" w:rsidRDefault="006A65B2" w:rsidP="006A65B2">
      <w:pPr>
        <w:pStyle w:val="Heading2"/>
        <w:numPr>
          <w:ilvl w:val="1"/>
          <w:numId w:val="1"/>
        </w:numPr>
      </w:pPr>
      <w:bookmarkStart w:id="265" w:name="_Toc475980661"/>
      <w:bookmarkStart w:id="266" w:name="_Toc476566217"/>
      <w:bookmarkStart w:id="267" w:name="_Toc476575317"/>
      <w:bookmarkStart w:id="268" w:name="_Toc476578605"/>
      <w:bookmarkStart w:id="269" w:name="_Toc476579100"/>
      <w:bookmarkStart w:id="270" w:name="_Toc476579676"/>
      <w:bookmarkStart w:id="271" w:name="_Toc476585856"/>
      <w:bookmarkStart w:id="272" w:name="_Toc476739302"/>
      <w:r w:rsidRPr="002C1E2B">
        <w:lastRenderedPageBreak/>
        <w:t>Review of retirement village legislations in other jurisdictions</w:t>
      </w:r>
      <w:bookmarkEnd w:id="265"/>
      <w:bookmarkEnd w:id="266"/>
      <w:bookmarkEnd w:id="267"/>
      <w:bookmarkEnd w:id="268"/>
      <w:bookmarkEnd w:id="269"/>
      <w:bookmarkEnd w:id="270"/>
      <w:bookmarkEnd w:id="271"/>
      <w:bookmarkEnd w:id="272"/>
    </w:p>
    <w:p w14:paraId="5BE20D0C" w14:textId="77777777" w:rsidR="006A65B2" w:rsidRPr="002C1E2B" w:rsidRDefault="006A65B2" w:rsidP="006A65B2">
      <w:pPr>
        <w:pStyle w:val="BodyText"/>
      </w:pPr>
      <w:r w:rsidRPr="002C1E2B">
        <w:t>Other states and territories such as WA, the ACT and SA have recently completed reviews of the governing legislations of their respective retirement villages sectors. These reviews include:</w:t>
      </w:r>
    </w:p>
    <w:p w14:paraId="0A1B7FB9" w14:textId="77777777" w:rsidR="006A65B2" w:rsidRPr="002C1E2B" w:rsidRDefault="006A65B2" w:rsidP="006A65B2">
      <w:pPr>
        <w:pStyle w:val="ListBullet"/>
      </w:pPr>
      <w:r w:rsidRPr="002C1E2B">
        <w:t xml:space="preserve">SA Review of the </w:t>
      </w:r>
      <w:r w:rsidRPr="002C1E2B">
        <w:rPr>
          <w:i/>
        </w:rPr>
        <w:t>Retirement Villages Act 1987</w:t>
      </w:r>
      <w:r w:rsidRPr="002C1E2B">
        <w:t xml:space="preserve"> (SA) – In 2013, a Parliamentary Select Committee undertook a review of the </w:t>
      </w:r>
      <w:r w:rsidRPr="002C1E2B">
        <w:rPr>
          <w:i/>
        </w:rPr>
        <w:t>Retirement Villages Act 1987</w:t>
      </w:r>
      <w:r w:rsidRPr="002C1E2B">
        <w:t xml:space="preserve"> (SA) as a result of growing concerns from the industry that the previous Act (now amended) did not adequately provide consumer protection to existing and prospective residents. The review led to a number of legislative reforms</w:t>
      </w:r>
      <w:r w:rsidR="00B470E3" w:rsidRPr="002C1E2B">
        <w:t xml:space="preserve"> under the </w:t>
      </w:r>
      <w:r w:rsidR="00B470E3" w:rsidRPr="002C1E2B">
        <w:rPr>
          <w:i/>
        </w:rPr>
        <w:t>Retirement Villages Act 2016</w:t>
      </w:r>
      <w:r w:rsidR="002E10E2" w:rsidRPr="002C1E2B">
        <w:rPr>
          <w:i/>
        </w:rPr>
        <w:t xml:space="preserve"> </w:t>
      </w:r>
      <w:r w:rsidR="002E10E2" w:rsidRPr="002C1E2B">
        <w:t>(SA)</w:t>
      </w:r>
      <w:r w:rsidRPr="002C1E2B">
        <w:t>, including:</w:t>
      </w:r>
    </w:p>
    <w:p w14:paraId="5BFF8112" w14:textId="77777777" w:rsidR="006A65B2" w:rsidRPr="002C1E2B" w:rsidRDefault="006A65B2" w:rsidP="006A65B2">
      <w:pPr>
        <w:pStyle w:val="ListBullet2"/>
      </w:pPr>
      <w:r w:rsidRPr="002C1E2B">
        <w:t>The introduction of disclosure statements which must be provided to prospective residents at the same time as the residence contract;</w:t>
      </w:r>
    </w:p>
    <w:p w14:paraId="74077776" w14:textId="77777777" w:rsidR="006A65B2" w:rsidRPr="002C1E2B" w:rsidRDefault="006A65B2" w:rsidP="006A65B2">
      <w:pPr>
        <w:pStyle w:val="ListBullet2"/>
      </w:pPr>
      <w:r w:rsidRPr="002C1E2B">
        <w:t>The operators must set out a specific dollar amount or percentage that will be charged as remarketing costs within the residence contracts; and</w:t>
      </w:r>
    </w:p>
    <w:p w14:paraId="5D7EE798" w14:textId="77777777" w:rsidR="006A65B2" w:rsidRPr="002C1E2B" w:rsidRDefault="006A65B2" w:rsidP="00A169E6">
      <w:pPr>
        <w:pStyle w:val="ListBullet2"/>
        <w:spacing w:after="240"/>
      </w:pPr>
      <w:r w:rsidRPr="002C1E2B">
        <w:t xml:space="preserve">The introduction of mandatory payment of exit entitlement to a resident within 18 months of vacating their residence even if it is not relicensed. </w:t>
      </w:r>
    </w:p>
    <w:p w14:paraId="6887AA7A" w14:textId="77777777" w:rsidR="006A65B2" w:rsidRPr="002C1E2B" w:rsidRDefault="006A65B2" w:rsidP="006A65B2">
      <w:pPr>
        <w:pStyle w:val="ListBullet"/>
      </w:pPr>
      <w:r w:rsidRPr="002C1E2B">
        <w:t xml:space="preserve">QLD Review of the </w:t>
      </w:r>
      <w:r w:rsidRPr="002C1E2B">
        <w:rPr>
          <w:i/>
        </w:rPr>
        <w:t xml:space="preserve">Retirement Villages Act 1999 </w:t>
      </w:r>
      <w:r w:rsidRPr="002C1E2B">
        <w:t xml:space="preserve">(Qld) – In 2012, the Transport, Housing and Local Government Committee of the Parliament published a report for the Review of the </w:t>
      </w:r>
      <w:r w:rsidRPr="002C1E2B">
        <w:rPr>
          <w:i/>
        </w:rPr>
        <w:t>Retirement Villages Act 1999</w:t>
      </w:r>
      <w:r w:rsidRPr="002C1E2B">
        <w:t xml:space="preserve"> (Qld), which recommended 37 reforms to the Queensland Government. The Queensland Government subsequently developed a Consultation Regulatory Impact Statement to assess these regulatory proposals, to decide on the most efficient and effective options for addressing the underlying policy issues. The Office for Best Practice Regulation identified four areas of reforms which may have significant impacts on businesses, the community and government. These areas include: legal, financial and practical considerations for village closures, the management of behavioural issues in retirement villages, the types of payment models available to residents and the timing for the refund of residents’ exit entitlements. No changes have been made to retirement village legislations to-date following this review. </w:t>
      </w:r>
    </w:p>
    <w:p w14:paraId="37A3F89E" w14:textId="40CB4702" w:rsidR="006A65B2" w:rsidRPr="002C1E2B" w:rsidRDefault="006A65B2" w:rsidP="000E3B42">
      <w:pPr>
        <w:pStyle w:val="ListBullet"/>
      </w:pPr>
      <w:r w:rsidRPr="002C1E2B">
        <w:t xml:space="preserve">ACT Review of the </w:t>
      </w:r>
      <w:r w:rsidRPr="002C1E2B">
        <w:rPr>
          <w:i/>
        </w:rPr>
        <w:t>Retirement Villages Act 2012</w:t>
      </w:r>
      <w:r w:rsidRPr="002C1E2B">
        <w:t xml:space="preserve"> (ACT) – The ACT government conducted a statutory review of the </w:t>
      </w:r>
      <w:r w:rsidRPr="002C1E2B">
        <w:rPr>
          <w:i/>
        </w:rPr>
        <w:t>Retirement Villages Act 2012</w:t>
      </w:r>
      <w:r w:rsidRPr="002C1E2B">
        <w:t xml:space="preserve"> (ACT) in 2016 </w:t>
      </w:r>
      <w:r w:rsidR="00FC4E47" w:rsidRPr="002C1E2B">
        <w:t xml:space="preserve">seeking </w:t>
      </w:r>
      <w:r w:rsidRPr="002C1E2B">
        <w:t xml:space="preserve">to understand whether the legislation was operating effectively and meeting the needs of key stakeholders such as retirement village operators and residents. </w:t>
      </w:r>
      <w:r w:rsidR="000E3B42" w:rsidRPr="002C1E2B">
        <w:t xml:space="preserve">This statutory review led to reforms under the </w:t>
      </w:r>
      <w:r w:rsidR="000E3B42" w:rsidRPr="002C1E2B">
        <w:rPr>
          <w:i/>
        </w:rPr>
        <w:t>Retirement Village Amendment Act 2016</w:t>
      </w:r>
      <w:r w:rsidR="000E3B42" w:rsidRPr="002C1E2B">
        <w:t xml:space="preserve">, which are aimed at enhancing retirement village business operations and improve the internal disputes process for </w:t>
      </w:r>
      <w:r w:rsidR="00EF6C0A" w:rsidRPr="002C1E2B">
        <w:rPr>
          <w:lang w:eastAsia="zh-MO"/>
        </w:rPr>
        <w:t>retirement village</w:t>
      </w:r>
      <w:r w:rsidR="000E3B42" w:rsidRPr="002C1E2B">
        <w:t xml:space="preserve"> operators and residents.</w:t>
      </w:r>
    </w:p>
    <w:p w14:paraId="28858743" w14:textId="77777777" w:rsidR="00136D7F" w:rsidRPr="002C1E2B" w:rsidRDefault="006A65B2" w:rsidP="006A65B2">
      <w:pPr>
        <w:pStyle w:val="ListBullet"/>
      </w:pPr>
      <w:r w:rsidRPr="002C1E2B">
        <w:t>WA Retirement Villages legislation review – WA undertook a statutory review of its retirement village legislations in 2010 (finalised in 2013) to improve consumer protections for seniors who choose to live in retirement complexes and providing fair and clear guidelines for the industry and retirement village operators.</w:t>
      </w:r>
      <w:r w:rsidR="00B470E3" w:rsidRPr="002C1E2B">
        <w:t xml:space="preserve"> </w:t>
      </w:r>
      <w:r w:rsidR="00696FFB" w:rsidRPr="002C1E2B">
        <w:t xml:space="preserve">This review led the changes under the </w:t>
      </w:r>
      <w:r w:rsidR="00696FFB" w:rsidRPr="002C1E2B">
        <w:rPr>
          <w:i/>
        </w:rPr>
        <w:t>Retirement Villages Amendment Act 2012</w:t>
      </w:r>
      <w:r w:rsidR="00696FFB" w:rsidRPr="002C1E2B">
        <w:t xml:space="preserve"> (WA), </w:t>
      </w:r>
      <w:r w:rsidR="001E0E85" w:rsidRPr="002C1E2B">
        <w:t xml:space="preserve">including requirements to provide disclosure statements to prospective residents and requirements to include mandatory matters or provisions or exclude prohibited matters in residence contracts. </w:t>
      </w:r>
      <w:r w:rsidR="00696FFB" w:rsidRPr="002C1E2B">
        <w:t xml:space="preserve"> </w:t>
      </w:r>
    </w:p>
    <w:p w14:paraId="25A2E238" w14:textId="77777777" w:rsidR="002364DA" w:rsidRPr="002C1E2B" w:rsidRDefault="002364DA" w:rsidP="002364DA">
      <w:pPr>
        <w:pStyle w:val="Heading1"/>
        <w:numPr>
          <w:ilvl w:val="0"/>
          <w:numId w:val="1"/>
        </w:numPr>
        <w:sectPr w:rsidR="002364DA" w:rsidRPr="002C1E2B" w:rsidSect="00166B4D">
          <w:pgSz w:w="11907" w:h="16839" w:code="1"/>
          <w:pgMar w:top="1915" w:right="1440" w:bottom="1440" w:left="1440" w:header="835" w:footer="202" w:gutter="0"/>
          <w:cols w:space="708"/>
          <w:docGrid w:linePitch="360"/>
        </w:sectPr>
      </w:pPr>
    </w:p>
    <w:p w14:paraId="74CD3FC1" w14:textId="77777777" w:rsidR="002364DA" w:rsidRPr="002C1E2B" w:rsidRDefault="006A65B2" w:rsidP="006A65B2">
      <w:pPr>
        <w:pStyle w:val="Heading2"/>
        <w:numPr>
          <w:ilvl w:val="1"/>
          <w:numId w:val="1"/>
        </w:numPr>
      </w:pPr>
      <w:bookmarkStart w:id="273" w:name="_Toc475980662"/>
      <w:bookmarkStart w:id="274" w:name="_Toc476566218"/>
      <w:bookmarkStart w:id="275" w:name="_Toc476575318"/>
      <w:bookmarkStart w:id="276" w:name="_Toc476578606"/>
      <w:bookmarkStart w:id="277" w:name="_Toc476579101"/>
      <w:bookmarkStart w:id="278" w:name="_Toc476579677"/>
      <w:bookmarkStart w:id="279" w:name="_Toc476585857"/>
      <w:bookmarkStart w:id="280" w:name="_Toc476739303"/>
      <w:r w:rsidRPr="002C1E2B">
        <w:lastRenderedPageBreak/>
        <w:t>Summary of the i</w:t>
      </w:r>
      <w:r w:rsidR="002364DA" w:rsidRPr="002C1E2B">
        <w:t>nter-jurisdictional comparison</w:t>
      </w:r>
      <w:bookmarkEnd w:id="273"/>
      <w:bookmarkEnd w:id="274"/>
      <w:bookmarkEnd w:id="275"/>
      <w:bookmarkEnd w:id="276"/>
      <w:bookmarkEnd w:id="277"/>
      <w:bookmarkEnd w:id="278"/>
      <w:bookmarkEnd w:id="279"/>
      <w:bookmarkEnd w:id="280"/>
    </w:p>
    <w:p w14:paraId="0113BEE9" w14:textId="77777777" w:rsidR="002364DA" w:rsidRPr="002C1E2B" w:rsidRDefault="00B41BC0" w:rsidP="00EB1DAB">
      <w:pPr>
        <w:pStyle w:val="Caption"/>
        <w:spacing w:after="120"/>
      </w:pPr>
      <w:bookmarkStart w:id="281" w:name="_Ref473887214"/>
      <w:r w:rsidRPr="002C1E2B">
        <w:t xml:space="preserve">Table </w:t>
      </w:r>
      <w:r w:rsidRPr="002C1E2B">
        <w:fldChar w:fldCharType="begin"/>
      </w:r>
      <w:r w:rsidRPr="002C1E2B">
        <w:instrText xml:space="preserve"> STYLEREF 1 \s </w:instrText>
      </w:r>
      <w:r w:rsidRPr="002C1E2B">
        <w:fldChar w:fldCharType="separate"/>
      </w:r>
      <w:r w:rsidR="00BE6CE4">
        <w:rPr>
          <w:noProof/>
        </w:rPr>
        <w:t>B</w:t>
      </w:r>
      <w:r w:rsidRPr="002C1E2B">
        <w:fldChar w:fldCharType="end"/>
      </w:r>
      <w:r w:rsidRPr="002C1E2B">
        <w:t>.</w:t>
      </w:r>
      <w:r w:rsidRPr="002C1E2B">
        <w:fldChar w:fldCharType="begin"/>
      </w:r>
      <w:r w:rsidRPr="002C1E2B">
        <w:instrText xml:space="preserve"> SEQ Table \* ARABIC \s 1 </w:instrText>
      </w:r>
      <w:r w:rsidRPr="002C1E2B">
        <w:fldChar w:fldCharType="separate"/>
      </w:r>
      <w:r w:rsidR="00BE6CE4">
        <w:rPr>
          <w:noProof/>
        </w:rPr>
        <w:t>1</w:t>
      </w:r>
      <w:r w:rsidRPr="002C1E2B">
        <w:fldChar w:fldCharType="end"/>
      </w:r>
      <w:r w:rsidR="003C72EA" w:rsidRPr="002C1E2B">
        <w:t xml:space="preserve"> </w:t>
      </w:r>
      <w:r w:rsidR="002364DA" w:rsidRPr="002C1E2B">
        <w:t>– Summary of inter-jurisdictional comparison on various regulatory requirements</w:t>
      </w:r>
      <w:bookmarkEnd w:id="281"/>
    </w:p>
    <w:tbl>
      <w:tblPr>
        <w:tblStyle w:val="OWTable"/>
        <w:tblW w:w="53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2927"/>
        <w:gridCol w:w="3418"/>
        <w:gridCol w:w="3418"/>
        <w:gridCol w:w="3260"/>
      </w:tblGrid>
      <w:tr w:rsidR="00A169E6" w:rsidRPr="002C1E2B" w14:paraId="5170F4A1" w14:textId="77777777" w:rsidTr="00780AD9">
        <w:trPr>
          <w:cnfStyle w:val="100000000000" w:firstRow="1" w:lastRow="0" w:firstColumn="0" w:lastColumn="0" w:oddVBand="0" w:evenVBand="0" w:oddHBand="0" w:evenHBand="0" w:firstRowFirstColumn="0" w:firstRowLastColumn="0" w:lastRowFirstColumn="0" w:lastRowLastColumn="0"/>
          <w:trHeight w:val="510"/>
          <w:tblHeader/>
          <w:jc w:val="center"/>
        </w:trPr>
        <w:tc>
          <w:tcPr>
            <w:tcW w:w="470" w:type="pct"/>
            <w:shd w:val="clear" w:color="auto" w:fill="1F497D" w:themeFill="text2"/>
            <w:vAlign w:val="center"/>
            <w:hideMark/>
          </w:tcPr>
          <w:p w14:paraId="6D8FA46B" w14:textId="77777777" w:rsidR="002364DA" w:rsidRPr="002C1E2B" w:rsidRDefault="002364DA" w:rsidP="000E3B42">
            <w:pPr>
              <w:pStyle w:val="BodyText"/>
              <w:spacing w:before="60" w:after="60"/>
              <w:rPr>
                <w:rFonts w:ascii="Calibri" w:hAnsi="Calibri" w:cs="Arial"/>
                <w:b/>
                <w:bCs/>
                <w:color w:val="FFFFFF" w:themeColor="background1"/>
                <w:sz w:val="20"/>
                <w:szCs w:val="20"/>
              </w:rPr>
            </w:pPr>
            <w:r w:rsidRPr="002C1E2B">
              <w:rPr>
                <w:rFonts w:ascii="Calibri" w:hAnsi="Calibri" w:cs="Arial"/>
                <w:b/>
                <w:sz w:val="20"/>
                <w:szCs w:val="20"/>
              </w:rPr>
              <w:br w:type="page"/>
            </w:r>
            <w:r w:rsidRPr="002C1E2B">
              <w:rPr>
                <w:rFonts w:ascii="Calibri" w:hAnsi="Calibri" w:cs="Arial"/>
                <w:b/>
                <w:bCs/>
                <w:color w:val="FFFFFF" w:themeColor="background1"/>
                <w:sz w:val="20"/>
                <w:szCs w:val="20"/>
              </w:rPr>
              <w:t>State / Territory</w:t>
            </w:r>
          </w:p>
        </w:tc>
        <w:tc>
          <w:tcPr>
            <w:tcW w:w="1018" w:type="pct"/>
            <w:shd w:val="clear" w:color="auto" w:fill="1F497D" w:themeFill="text2"/>
            <w:vAlign w:val="center"/>
          </w:tcPr>
          <w:p w14:paraId="3AA38A6B" w14:textId="77777777" w:rsidR="002364DA" w:rsidRPr="002C1E2B" w:rsidRDefault="00FC4E47" w:rsidP="000E3B42">
            <w:pPr>
              <w:spacing w:before="60" w:after="60"/>
              <w:rPr>
                <w:rFonts w:ascii="Calibri" w:hAnsi="Calibri" w:cs="Arial"/>
                <w:b/>
                <w:bCs/>
                <w:color w:val="FFFFFF"/>
                <w:sz w:val="20"/>
                <w:szCs w:val="20"/>
              </w:rPr>
            </w:pPr>
            <w:r w:rsidRPr="002C1E2B">
              <w:rPr>
                <w:rFonts w:ascii="Calibri" w:hAnsi="Calibri" w:cs="Arial"/>
                <w:b/>
                <w:bCs/>
                <w:color w:val="FFFFFF"/>
                <w:sz w:val="20"/>
                <w:szCs w:val="20"/>
              </w:rPr>
              <w:t>Contract</w:t>
            </w:r>
            <w:r w:rsidR="002364DA" w:rsidRPr="002C1E2B">
              <w:rPr>
                <w:rFonts w:ascii="Calibri" w:hAnsi="Calibri" w:cs="Arial"/>
                <w:b/>
                <w:bCs/>
                <w:color w:val="FFFFFF"/>
                <w:sz w:val="20"/>
                <w:szCs w:val="20"/>
              </w:rPr>
              <w:t xml:space="preserve"> requirements</w:t>
            </w:r>
          </w:p>
        </w:tc>
        <w:tc>
          <w:tcPr>
            <w:tcW w:w="1189" w:type="pct"/>
            <w:shd w:val="clear" w:color="auto" w:fill="1F497D" w:themeFill="text2"/>
            <w:vAlign w:val="center"/>
            <w:hideMark/>
          </w:tcPr>
          <w:p w14:paraId="2F01FF51" w14:textId="77777777" w:rsidR="002364DA" w:rsidRPr="002C1E2B" w:rsidRDefault="000E3B42" w:rsidP="000E3B42">
            <w:pPr>
              <w:pStyle w:val="BodyText"/>
              <w:spacing w:before="60" w:after="60"/>
              <w:rPr>
                <w:rFonts w:ascii="Calibri" w:hAnsi="Calibri" w:cs="Arial"/>
                <w:b/>
                <w:bCs/>
                <w:color w:val="FFFFFF" w:themeColor="background1"/>
                <w:sz w:val="20"/>
                <w:szCs w:val="20"/>
              </w:rPr>
            </w:pPr>
            <w:r w:rsidRPr="002C1E2B">
              <w:rPr>
                <w:rFonts w:ascii="Calibri" w:hAnsi="Calibri" w:cs="Arial"/>
                <w:b/>
                <w:bCs/>
                <w:color w:val="FFFFFF" w:themeColor="background1"/>
                <w:sz w:val="20"/>
                <w:szCs w:val="20"/>
              </w:rPr>
              <w:t>S</w:t>
            </w:r>
            <w:r w:rsidR="00AC3672" w:rsidRPr="002C1E2B">
              <w:rPr>
                <w:rFonts w:ascii="Calibri" w:hAnsi="Calibri" w:cs="Arial"/>
                <w:b/>
                <w:bCs/>
                <w:color w:val="FFFFFF" w:themeColor="background1"/>
                <w:sz w:val="20"/>
                <w:szCs w:val="20"/>
              </w:rPr>
              <w:t>ix month rule</w:t>
            </w:r>
            <w:r w:rsidR="002364DA" w:rsidRPr="002C1E2B">
              <w:rPr>
                <w:rFonts w:ascii="Calibri" w:hAnsi="Calibri" w:cs="Arial"/>
                <w:b/>
                <w:bCs/>
                <w:color w:val="FFFFFF" w:themeColor="background1"/>
                <w:sz w:val="20"/>
                <w:szCs w:val="20"/>
              </w:rPr>
              <w:t xml:space="preserve"> for non-owner residents</w:t>
            </w:r>
          </w:p>
        </w:tc>
        <w:tc>
          <w:tcPr>
            <w:tcW w:w="1189" w:type="pct"/>
            <w:shd w:val="clear" w:color="auto" w:fill="1F497D" w:themeFill="text2"/>
            <w:vAlign w:val="center"/>
            <w:hideMark/>
          </w:tcPr>
          <w:p w14:paraId="7AAC9519" w14:textId="77777777" w:rsidR="002364DA" w:rsidRPr="002C1E2B" w:rsidRDefault="002364DA" w:rsidP="000E3B42">
            <w:pPr>
              <w:pStyle w:val="BodyText"/>
              <w:spacing w:before="60" w:after="60"/>
              <w:rPr>
                <w:rFonts w:ascii="Calibri" w:hAnsi="Calibri" w:cs="Arial"/>
                <w:b/>
                <w:bCs/>
                <w:color w:val="FFFFFF" w:themeColor="background1"/>
                <w:sz w:val="20"/>
                <w:szCs w:val="20"/>
              </w:rPr>
            </w:pPr>
            <w:r w:rsidRPr="002C1E2B">
              <w:rPr>
                <w:rFonts w:ascii="Calibri" w:hAnsi="Calibri" w:cs="Arial"/>
                <w:b/>
                <w:bCs/>
                <w:color w:val="FFFFFF" w:themeColor="background1"/>
                <w:sz w:val="20"/>
                <w:szCs w:val="20"/>
              </w:rPr>
              <w:t>Aged care rule</w:t>
            </w:r>
            <w:r w:rsidR="00FC4E47" w:rsidRPr="002C1E2B">
              <w:rPr>
                <w:rFonts w:ascii="Calibri" w:hAnsi="Calibri" w:cs="Arial"/>
                <w:b/>
                <w:bCs/>
                <w:color w:val="FFFFFF" w:themeColor="background1"/>
                <w:sz w:val="20"/>
                <w:szCs w:val="20"/>
              </w:rPr>
              <w:t xml:space="preserve"> for non-owner residents</w:t>
            </w:r>
          </w:p>
        </w:tc>
        <w:tc>
          <w:tcPr>
            <w:tcW w:w="1135" w:type="pct"/>
            <w:shd w:val="clear" w:color="auto" w:fill="1F497D" w:themeFill="text2"/>
            <w:vAlign w:val="center"/>
            <w:hideMark/>
          </w:tcPr>
          <w:p w14:paraId="49E0D5A5" w14:textId="77777777" w:rsidR="002364DA" w:rsidRPr="002C1E2B" w:rsidRDefault="002364DA" w:rsidP="000E3B42">
            <w:pPr>
              <w:pStyle w:val="BodyText"/>
              <w:spacing w:before="60" w:after="60"/>
              <w:rPr>
                <w:rFonts w:ascii="Calibri" w:hAnsi="Calibri" w:cs="Arial"/>
                <w:b/>
                <w:bCs/>
                <w:color w:val="FFFFFF" w:themeColor="background1"/>
                <w:sz w:val="20"/>
                <w:szCs w:val="20"/>
              </w:rPr>
            </w:pPr>
            <w:r w:rsidRPr="002C1E2B">
              <w:rPr>
                <w:rFonts w:ascii="Calibri" w:hAnsi="Calibri" w:cs="Arial"/>
                <w:b/>
                <w:bCs/>
                <w:color w:val="FFFFFF" w:themeColor="background1"/>
                <w:sz w:val="20"/>
                <w:szCs w:val="20"/>
              </w:rPr>
              <w:t>Valuation requirements</w:t>
            </w:r>
          </w:p>
        </w:tc>
      </w:tr>
      <w:tr w:rsidR="002364DA" w:rsidRPr="002C1E2B" w14:paraId="5DD1ED97" w14:textId="77777777" w:rsidTr="00780AD9">
        <w:trPr>
          <w:cnfStyle w:val="000000100000" w:firstRow="0" w:lastRow="0" w:firstColumn="0" w:lastColumn="0" w:oddVBand="0" w:evenVBand="0" w:oddHBand="1" w:evenHBand="0" w:firstRowFirstColumn="0" w:firstRowLastColumn="0" w:lastRowFirstColumn="0" w:lastRowLastColumn="0"/>
          <w:trHeight w:val="1316"/>
          <w:jc w:val="center"/>
        </w:trPr>
        <w:tc>
          <w:tcPr>
            <w:tcW w:w="470" w:type="pct"/>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hideMark/>
          </w:tcPr>
          <w:p w14:paraId="7565AE95" w14:textId="77777777" w:rsidR="002364DA" w:rsidRPr="002C1E2B" w:rsidRDefault="002364DA" w:rsidP="000E3B42">
            <w:pPr>
              <w:pStyle w:val="BodyText"/>
              <w:spacing w:before="60" w:after="60"/>
              <w:rPr>
                <w:rFonts w:ascii="Calibri" w:hAnsi="Calibri" w:cs="Arial"/>
                <w:b/>
                <w:bCs/>
                <w:sz w:val="20"/>
                <w:szCs w:val="20"/>
              </w:rPr>
            </w:pPr>
            <w:r w:rsidRPr="002C1E2B">
              <w:rPr>
                <w:rFonts w:ascii="Calibri" w:hAnsi="Calibri" w:cs="Arial"/>
                <w:b/>
                <w:bCs/>
                <w:sz w:val="20"/>
                <w:szCs w:val="20"/>
              </w:rPr>
              <w:t>Victoria</w:t>
            </w:r>
          </w:p>
        </w:tc>
        <w:tc>
          <w:tcPr>
            <w:tcW w:w="1018" w:type="pct"/>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58E7921F" w14:textId="77777777" w:rsidR="002364DA" w:rsidRPr="002C1E2B" w:rsidRDefault="002364DA" w:rsidP="00FC4E47">
            <w:pPr>
              <w:spacing w:before="60" w:after="60"/>
              <w:rPr>
                <w:rFonts w:ascii="Calibri" w:hAnsi="Calibri" w:cs="Arial"/>
                <w:color w:val="000000"/>
                <w:sz w:val="20"/>
                <w:szCs w:val="20"/>
              </w:rPr>
            </w:pPr>
            <w:r w:rsidRPr="002C1E2B">
              <w:rPr>
                <w:rFonts w:ascii="Calibri" w:hAnsi="Calibri" w:cs="Arial"/>
                <w:color w:val="000000"/>
                <w:sz w:val="20"/>
                <w:szCs w:val="20"/>
              </w:rPr>
              <w:t xml:space="preserve">Contractual requirement on what must, must not and may be included in </w:t>
            </w:r>
            <w:r w:rsidR="00FC4E47" w:rsidRPr="002C1E2B">
              <w:rPr>
                <w:rFonts w:ascii="Calibri" w:hAnsi="Calibri" w:cs="Arial"/>
                <w:color w:val="000000"/>
                <w:sz w:val="20"/>
                <w:szCs w:val="20"/>
              </w:rPr>
              <w:t xml:space="preserve">retirement village </w:t>
            </w:r>
            <w:r w:rsidRPr="002C1E2B">
              <w:rPr>
                <w:rFonts w:ascii="Calibri" w:hAnsi="Calibri" w:cs="Arial"/>
                <w:color w:val="000000"/>
                <w:sz w:val="20"/>
                <w:szCs w:val="20"/>
              </w:rPr>
              <w:t>contracts.</w:t>
            </w:r>
          </w:p>
        </w:tc>
        <w:tc>
          <w:tcPr>
            <w:tcW w:w="1189" w:type="pct"/>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hideMark/>
          </w:tcPr>
          <w:p w14:paraId="46DDA32D" w14:textId="77777777" w:rsidR="002364DA" w:rsidRPr="002C1E2B" w:rsidRDefault="002364DA" w:rsidP="000E3B42">
            <w:pPr>
              <w:pStyle w:val="BodyText"/>
              <w:spacing w:before="60" w:after="60"/>
              <w:rPr>
                <w:rFonts w:ascii="Calibri" w:hAnsi="Calibri" w:cs="Arial"/>
                <w:sz w:val="20"/>
                <w:szCs w:val="20"/>
              </w:rPr>
            </w:pPr>
            <w:r w:rsidRPr="002C1E2B">
              <w:rPr>
                <w:rFonts w:ascii="Calibri" w:hAnsi="Calibri" w:cs="Arial"/>
                <w:sz w:val="20"/>
                <w:szCs w:val="20"/>
              </w:rPr>
              <w:t xml:space="preserve">Operator must refund within </w:t>
            </w:r>
            <w:r w:rsidR="00880CAA" w:rsidRPr="002C1E2B">
              <w:rPr>
                <w:rFonts w:ascii="Calibri" w:hAnsi="Calibri" w:cs="Arial"/>
                <w:sz w:val="20"/>
                <w:szCs w:val="20"/>
              </w:rPr>
              <w:t>six</w:t>
            </w:r>
            <w:r w:rsidRPr="002C1E2B">
              <w:rPr>
                <w:rFonts w:ascii="Calibri" w:hAnsi="Calibri" w:cs="Arial"/>
                <w:sz w:val="20"/>
                <w:szCs w:val="20"/>
              </w:rPr>
              <w:t xml:space="preserve"> months after the resident leaves the RV, unless they are exempted.</w:t>
            </w:r>
          </w:p>
        </w:tc>
        <w:tc>
          <w:tcPr>
            <w:tcW w:w="1189" w:type="pct"/>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hideMark/>
          </w:tcPr>
          <w:p w14:paraId="3FC9CF1D" w14:textId="77777777" w:rsidR="002364DA" w:rsidRPr="002C1E2B" w:rsidRDefault="002364DA" w:rsidP="000E3B42">
            <w:pPr>
              <w:pStyle w:val="BodyText"/>
              <w:spacing w:before="60" w:after="60"/>
              <w:rPr>
                <w:rFonts w:ascii="Calibri" w:hAnsi="Calibri" w:cs="Arial"/>
                <w:sz w:val="20"/>
                <w:szCs w:val="20"/>
              </w:rPr>
            </w:pPr>
            <w:r w:rsidRPr="002C1E2B">
              <w:rPr>
                <w:rFonts w:ascii="Calibri" w:hAnsi="Calibri" w:cs="Arial"/>
                <w:sz w:val="20"/>
                <w:szCs w:val="20"/>
              </w:rPr>
              <w:t>Operators pay residents who are moving to aged care part (or all) of their refundable in-going contribution to fund the resident's RAD or DAP.</w:t>
            </w:r>
          </w:p>
        </w:tc>
        <w:tc>
          <w:tcPr>
            <w:tcW w:w="1135" w:type="pct"/>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hideMark/>
          </w:tcPr>
          <w:p w14:paraId="3C1B563D" w14:textId="77777777" w:rsidR="002364DA" w:rsidRPr="002C1E2B" w:rsidRDefault="002364DA" w:rsidP="000E3B42">
            <w:pPr>
              <w:pStyle w:val="TableBullet1"/>
              <w:numPr>
                <w:ilvl w:val="0"/>
                <w:numId w:val="0"/>
              </w:numPr>
              <w:spacing w:before="60" w:after="60"/>
              <w:rPr>
                <w:rFonts w:ascii="Calibri" w:hAnsi="Calibri"/>
              </w:rPr>
            </w:pPr>
            <w:r w:rsidRPr="002C1E2B">
              <w:rPr>
                <w:rFonts w:ascii="Calibri" w:hAnsi="Calibri"/>
              </w:rPr>
              <w:t>Carried out by:</w:t>
            </w:r>
          </w:p>
          <w:p w14:paraId="7FC83FAB" w14:textId="77777777" w:rsidR="002364DA" w:rsidRPr="002C1E2B" w:rsidRDefault="002364DA" w:rsidP="000E3B42">
            <w:pPr>
              <w:pStyle w:val="TableBullet1"/>
              <w:numPr>
                <w:ilvl w:val="4"/>
                <w:numId w:val="14"/>
              </w:numPr>
              <w:spacing w:before="60" w:after="60"/>
              <w:rPr>
                <w:rFonts w:ascii="Calibri" w:hAnsi="Calibri"/>
              </w:rPr>
            </w:pPr>
            <w:r w:rsidRPr="002C1E2B">
              <w:rPr>
                <w:rFonts w:ascii="Calibri" w:hAnsi="Calibri"/>
              </w:rPr>
              <w:t xml:space="preserve">An independent valuer; or </w:t>
            </w:r>
          </w:p>
          <w:p w14:paraId="403F7756" w14:textId="77777777" w:rsidR="002364DA" w:rsidRPr="002C1E2B" w:rsidRDefault="002364DA" w:rsidP="000E3B42">
            <w:pPr>
              <w:pStyle w:val="TableBullet1"/>
              <w:numPr>
                <w:ilvl w:val="4"/>
                <w:numId w:val="14"/>
              </w:numPr>
              <w:spacing w:before="60" w:after="60"/>
              <w:rPr>
                <w:rFonts w:ascii="Calibri" w:hAnsi="Calibri"/>
              </w:rPr>
            </w:pPr>
            <w:r w:rsidRPr="002C1E2B">
              <w:rPr>
                <w:rFonts w:ascii="Calibri" w:hAnsi="Calibri"/>
              </w:rPr>
              <w:t>A valuer assigned by the Australia Property Institute.</w:t>
            </w:r>
          </w:p>
        </w:tc>
      </w:tr>
      <w:tr w:rsidR="002364DA" w:rsidRPr="002C1E2B" w14:paraId="3E753CAC" w14:textId="77777777" w:rsidTr="00780AD9">
        <w:trPr>
          <w:cnfStyle w:val="000000010000" w:firstRow="0" w:lastRow="0" w:firstColumn="0" w:lastColumn="0" w:oddVBand="0" w:evenVBand="0" w:oddHBand="0" w:evenHBand="1" w:firstRowFirstColumn="0" w:firstRowLastColumn="0" w:lastRowFirstColumn="0" w:lastRowLastColumn="0"/>
          <w:trHeight w:val="1455"/>
          <w:jc w:val="center"/>
        </w:trPr>
        <w:tc>
          <w:tcPr>
            <w:tcW w:w="470" w:type="pct"/>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hideMark/>
          </w:tcPr>
          <w:p w14:paraId="5994A168" w14:textId="77777777" w:rsidR="002364DA" w:rsidRPr="002C1E2B" w:rsidRDefault="002364DA" w:rsidP="000E3B42">
            <w:pPr>
              <w:pStyle w:val="BodyText"/>
              <w:spacing w:before="60" w:after="60"/>
              <w:rPr>
                <w:rFonts w:ascii="Calibri" w:hAnsi="Calibri" w:cs="Arial"/>
                <w:b/>
                <w:bCs/>
                <w:sz w:val="20"/>
                <w:szCs w:val="20"/>
              </w:rPr>
            </w:pPr>
            <w:r w:rsidRPr="002C1E2B">
              <w:rPr>
                <w:rFonts w:ascii="Calibri" w:hAnsi="Calibri" w:cs="Arial"/>
                <w:b/>
                <w:bCs/>
                <w:sz w:val="20"/>
                <w:szCs w:val="20"/>
              </w:rPr>
              <w:t>New South Wales</w:t>
            </w:r>
          </w:p>
        </w:tc>
        <w:tc>
          <w:tcPr>
            <w:tcW w:w="1018" w:type="pct"/>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3600EDAC" w14:textId="77777777" w:rsidR="002364DA" w:rsidRPr="002C1E2B" w:rsidRDefault="002364DA" w:rsidP="00FC4E47">
            <w:pPr>
              <w:spacing w:before="60" w:after="60"/>
              <w:rPr>
                <w:rFonts w:ascii="Calibri" w:hAnsi="Calibri" w:cs="Arial"/>
                <w:color w:val="000000"/>
                <w:sz w:val="20"/>
                <w:szCs w:val="20"/>
              </w:rPr>
            </w:pPr>
            <w:r w:rsidRPr="002C1E2B">
              <w:rPr>
                <w:rFonts w:ascii="Calibri" w:hAnsi="Calibri" w:cs="Arial"/>
                <w:color w:val="000000"/>
                <w:sz w:val="20"/>
                <w:szCs w:val="20"/>
              </w:rPr>
              <w:t>Contractual requirement on what must (through a standard contract form in the Act) and must not be included in contracts.</w:t>
            </w:r>
          </w:p>
        </w:tc>
        <w:tc>
          <w:tcPr>
            <w:tcW w:w="1189" w:type="pct"/>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hideMark/>
          </w:tcPr>
          <w:p w14:paraId="5CAA9F9F" w14:textId="77777777" w:rsidR="002364DA" w:rsidRPr="002C1E2B" w:rsidRDefault="002364DA" w:rsidP="000E3B42">
            <w:pPr>
              <w:pStyle w:val="BodyText"/>
              <w:spacing w:before="60" w:after="60"/>
              <w:rPr>
                <w:rFonts w:ascii="Calibri" w:hAnsi="Calibri" w:cs="Arial"/>
                <w:sz w:val="20"/>
                <w:szCs w:val="20"/>
              </w:rPr>
            </w:pPr>
            <w:r w:rsidRPr="002C1E2B">
              <w:rPr>
                <w:rFonts w:ascii="Calibri" w:hAnsi="Calibri" w:cs="Arial"/>
                <w:sz w:val="20"/>
                <w:szCs w:val="20"/>
              </w:rPr>
              <w:t xml:space="preserve">Operator must refund within </w:t>
            </w:r>
            <w:r w:rsidR="00880CAA" w:rsidRPr="002C1E2B">
              <w:rPr>
                <w:rFonts w:ascii="Calibri" w:hAnsi="Calibri" w:cs="Arial"/>
                <w:sz w:val="20"/>
                <w:szCs w:val="20"/>
              </w:rPr>
              <w:t>six</w:t>
            </w:r>
            <w:r w:rsidRPr="002C1E2B">
              <w:rPr>
                <w:rFonts w:ascii="Calibri" w:hAnsi="Calibri" w:cs="Arial"/>
                <w:sz w:val="20"/>
                <w:szCs w:val="20"/>
              </w:rPr>
              <w:t xml:space="preserve"> months after the resident leaves the RV. </w:t>
            </w:r>
            <w:r w:rsidRPr="002C1E2B">
              <w:rPr>
                <w:rFonts w:ascii="Calibri" w:hAnsi="Calibri" w:cs="Arial"/>
                <w:sz w:val="20"/>
                <w:szCs w:val="20"/>
              </w:rPr>
              <w:br/>
              <w:t>The operator may apply to the Tribunal to extend time for payment or pay instalments.</w:t>
            </w:r>
          </w:p>
        </w:tc>
        <w:tc>
          <w:tcPr>
            <w:tcW w:w="1189" w:type="pct"/>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hideMark/>
          </w:tcPr>
          <w:p w14:paraId="18BA8330" w14:textId="77777777" w:rsidR="002364DA" w:rsidRPr="002C1E2B" w:rsidRDefault="002364DA" w:rsidP="000E3B42">
            <w:pPr>
              <w:pStyle w:val="BodyText"/>
              <w:spacing w:before="60" w:after="60"/>
              <w:rPr>
                <w:rFonts w:ascii="Calibri" w:hAnsi="Calibri" w:cs="Arial"/>
                <w:sz w:val="20"/>
                <w:szCs w:val="20"/>
              </w:rPr>
            </w:pPr>
            <w:r w:rsidRPr="002C1E2B">
              <w:rPr>
                <w:rFonts w:ascii="Calibri" w:hAnsi="Calibri" w:cs="Arial"/>
                <w:sz w:val="20"/>
                <w:szCs w:val="20"/>
              </w:rPr>
              <w:t>Nil</w:t>
            </w:r>
          </w:p>
        </w:tc>
        <w:tc>
          <w:tcPr>
            <w:tcW w:w="1135" w:type="pct"/>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hideMark/>
          </w:tcPr>
          <w:p w14:paraId="4647758B" w14:textId="77777777" w:rsidR="002364DA" w:rsidRPr="002C1E2B" w:rsidRDefault="002364DA" w:rsidP="000E3B42">
            <w:pPr>
              <w:pStyle w:val="BodyText"/>
              <w:spacing w:before="60" w:after="60"/>
              <w:rPr>
                <w:rFonts w:ascii="Calibri" w:hAnsi="Calibri" w:cs="Arial"/>
                <w:sz w:val="20"/>
                <w:szCs w:val="20"/>
              </w:rPr>
            </w:pPr>
            <w:r w:rsidRPr="002C1E2B">
              <w:rPr>
                <w:rFonts w:ascii="Calibri" w:hAnsi="Calibri" w:cs="Arial"/>
                <w:sz w:val="20"/>
                <w:szCs w:val="20"/>
              </w:rPr>
              <w:t>Nil</w:t>
            </w:r>
          </w:p>
        </w:tc>
      </w:tr>
      <w:tr w:rsidR="002364DA" w:rsidRPr="002C1E2B" w14:paraId="2FD90302" w14:textId="77777777" w:rsidTr="00780AD9">
        <w:trPr>
          <w:cnfStyle w:val="000000100000" w:firstRow="0" w:lastRow="0" w:firstColumn="0" w:lastColumn="0" w:oddVBand="0" w:evenVBand="0" w:oddHBand="1" w:evenHBand="0" w:firstRowFirstColumn="0" w:firstRowLastColumn="0" w:lastRowFirstColumn="0" w:lastRowLastColumn="0"/>
          <w:trHeight w:val="1515"/>
          <w:jc w:val="center"/>
        </w:trPr>
        <w:tc>
          <w:tcPr>
            <w:tcW w:w="470" w:type="pct"/>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hideMark/>
          </w:tcPr>
          <w:p w14:paraId="32A570E5" w14:textId="77777777" w:rsidR="002364DA" w:rsidRPr="002C1E2B" w:rsidRDefault="002364DA" w:rsidP="000E3B42">
            <w:pPr>
              <w:pStyle w:val="BodyText"/>
              <w:spacing w:before="60" w:after="60"/>
              <w:rPr>
                <w:rFonts w:ascii="Calibri" w:hAnsi="Calibri" w:cs="Arial"/>
                <w:b/>
                <w:bCs/>
                <w:sz w:val="20"/>
                <w:szCs w:val="20"/>
              </w:rPr>
            </w:pPr>
            <w:r w:rsidRPr="002C1E2B">
              <w:rPr>
                <w:rFonts w:ascii="Calibri" w:hAnsi="Calibri" w:cs="Arial"/>
                <w:b/>
                <w:bCs/>
                <w:sz w:val="20"/>
                <w:szCs w:val="20"/>
              </w:rPr>
              <w:t>Queensland</w:t>
            </w:r>
          </w:p>
        </w:tc>
        <w:tc>
          <w:tcPr>
            <w:tcW w:w="1018" w:type="pct"/>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0FE8D5F0" w14:textId="77777777" w:rsidR="002364DA" w:rsidRPr="002C1E2B" w:rsidRDefault="002364DA" w:rsidP="00FC4E47">
            <w:pPr>
              <w:spacing w:before="60" w:after="60"/>
              <w:rPr>
                <w:rFonts w:ascii="Calibri" w:hAnsi="Calibri" w:cs="Arial"/>
                <w:color w:val="000000"/>
                <w:sz w:val="20"/>
                <w:szCs w:val="20"/>
              </w:rPr>
            </w:pPr>
            <w:r w:rsidRPr="002C1E2B">
              <w:rPr>
                <w:rFonts w:ascii="Calibri" w:hAnsi="Calibri" w:cs="Arial"/>
                <w:color w:val="000000"/>
                <w:sz w:val="20"/>
                <w:szCs w:val="20"/>
              </w:rPr>
              <w:t>Contractual requirement on what must</w:t>
            </w:r>
            <w:r w:rsidR="002E10E2" w:rsidRPr="002C1E2B">
              <w:rPr>
                <w:rFonts w:ascii="Calibri" w:hAnsi="Calibri" w:cs="Arial"/>
                <w:color w:val="000000"/>
                <w:sz w:val="20"/>
                <w:szCs w:val="20"/>
              </w:rPr>
              <w:t xml:space="preserve"> be included in contracts. </w:t>
            </w:r>
            <w:r w:rsidRPr="002C1E2B">
              <w:rPr>
                <w:rFonts w:ascii="Calibri" w:hAnsi="Calibri" w:cs="Arial"/>
                <w:color w:val="000000"/>
                <w:sz w:val="20"/>
                <w:szCs w:val="20"/>
              </w:rPr>
              <w:t xml:space="preserve">All public information available to the resident also forms part of the contract. </w:t>
            </w:r>
          </w:p>
        </w:tc>
        <w:tc>
          <w:tcPr>
            <w:tcW w:w="1189" w:type="pct"/>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hideMark/>
          </w:tcPr>
          <w:p w14:paraId="72641C5F" w14:textId="77777777" w:rsidR="002364DA" w:rsidRPr="002C1E2B" w:rsidRDefault="002364DA" w:rsidP="000E3B42">
            <w:pPr>
              <w:pStyle w:val="BodyText"/>
              <w:spacing w:before="60" w:after="60"/>
              <w:rPr>
                <w:rFonts w:ascii="Calibri" w:hAnsi="Calibri" w:cs="Arial"/>
                <w:sz w:val="20"/>
                <w:szCs w:val="20"/>
              </w:rPr>
            </w:pPr>
            <w:r w:rsidRPr="002C1E2B">
              <w:rPr>
                <w:rFonts w:ascii="Calibri" w:hAnsi="Calibri" w:cs="Arial"/>
                <w:sz w:val="20"/>
                <w:szCs w:val="20"/>
              </w:rPr>
              <w:t>Nil – The operator is only required to pay the resident their exit entitlement after the unit has been reoccupied, or as agreed in the residence contract.</w:t>
            </w:r>
          </w:p>
        </w:tc>
        <w:tc>
          <w:tcPr>
            <w:tcW w:w="1189" w:type="pct"/>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hideMark/>
          </w:tcPr>
          <w:p w14:paraId="05A14D98" w14:textId="77777777" w:rsidR="002364DA" w:rsidRPr="002C1E2B" w:rsidRDefault="002364DA" w:rsidP="000E3B42">
            <w:pPr>
              <w:pStyle w:val="BodyText"/>
              <w:spacing w:before="60" w:after="60"/>
              <w:rPr>
                <w:rFonts w:ascii="Calibri" w:hAnsi="Calibri" w:cs="Arial"/>
                <w:sz w:val="20"/>
                <w:szCs w:val="20"/>
              </w:rPr>
            </w:pPr>
            <w:r w:rsidRPr="002C1E2B">
              <w:rPr>
                <w:rFonts w:ascii="Calibri" w:hAnsi="Calibri" w:cs="Arial"/>
                <w:sz w:val="20"/>
                <w:szCs w:val="20"/>
              </w:rPr>
              <w:t>Nil</w:t>
            </w:r>
          </w:p>
        </w:tc>
        <w:tc>
          <w:tcPr>
            <w:tcW w:w="1135" w:type="pct"/>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hideMark/>
          </w:tcPr>
          <w:p w14:paraId="182A750C" w14:textId="77777777" w:rsidR="002364DA" w:rsidRPr="002C1E2B" w:rsidRDefault="002364DA" w:rsidP="000E3B42">
            <w:pPr>
              <w:pStyle w:val="BodyText"/>
              <w:spacing w:before="60" w:after="60"/>
              <w:rPr>
                <w:rFonts w:ascii="Calibri" w:hAnsi="Calibri" w:cs="Arial"/>
                <w:sz w:val="20"/>
                <w:szCs w:val="20"/>
              </w:rPr>
            </w:pPr>
            <w:r w:rsidRPr="002C1E2B">
              <w:rPr>
                <w:rFonts w:ascii="Calibri" w:hAnsi="Calibri" w:cs="Arial"/>
                <w:sz w:val="20"/>
                <w:szCs w:val="20"/>
              </w:rPr>
              <w:t>Within 30 days of the termination date, resident and operator are to negotiate in good faith and agree in writing on the resale value of the right to reside in the unit.</w:t>
            </w:r>
          </w:p>
        </w:tc>
      </w:tr>
      <w:tr w:rsidR="002364DA" w:rsidRPr="002C1E2B" w14:paraId="1524E326" w14:textId="77777777" w:rsidTr="00780AD9">
        <w:trPr>
          <w:cnfStyle w:val="000000010000" w:firstRow="0" w:lastRow="0" w:firstColumn="0" w:lastColumn="0" w:oddVBand="0" w:evenVBand="0" w:oddHBand="0" w:evenHBand="1" w:firstRowFirstColumn="0" w:firstRowLastColumn="0" w:lastRowFirstColumn="0" w:lastRowLastColumn="0"/>
          <w:trHeight w:val="2854"/>
          <w:jc w:val="center"/>
        </w:trPr>
        <w:tc>
          <w:tcPr>
            <w:tcW w:w="470" w:type="pct"/>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hideMark/>
          </w:tcPr>
          <w:p w14:paraId="33553FAA" w14:textId="77777777" w:rsidR="002364DA" w:rsidRPr="002C1E2B" w:rsidRDefault="002364DA" w:rsidP="000E3B42">
            <w:pPr>
              <w:pStyle w:val="BodyText"/>
              <w:spacing w:before="60" w:after="60"/>
              <w:rPr>
                <w:rFonts w:ascii="Calibri" w:hAnsi="Calibri" w:cs="Arial"/>
                <w:b/>
                <w:bCs/>
                <w:sz w:val="20"/>
                <w:szCs w:val="20"/>
              </w:rPr>
            </w:pPr>
            <w:r w:rsidRPr="002C1E2B">
              <w:rPr>
                <w:rFonts w:ascii="Calibri" w:hAnsi="Calibri" w:cs="Arial"/>
                <w:b/>
                <w:bCs/>
                <w:sz w:val="20"/>
                <w:szCs w:val="20"/>
              </w:rPr>
              <w:t>South Australia</w:t>
            </w:r>
          </w:p>
        </w:tc>
        <w:tc>
          <w:tcPr>
            <w:tcW w:w="1018" w:type="pct"/>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687831B9" w14:textId="77777777" w:rsidR="002364DA" w:rsidRPr="002C1E2B" w:rsidRDefault="002364DA" w:rsidP="00FC4E47">
            <w:pPr>
              <w:spacing w:before="60" w:after="60"/>
              <w:rPr>
                <w:rFonts w:ascii="Calibri" w:hAnsi="Calibri" w:cs="Arial"/>
                <w:sz w:val="20"/>
                <w:szCs w:val="20"/>
              </w:rPr>
            </w:pPr>
            <w:r w:rsidRPr="002C1E2B">
              <w:rPr>
                <w:rFonts w:ascii="Calibri" w:hAnsi="Calibri" w:cs="Arial"/>
                <w:sz w:val="20"/>
                <w:szCs w:val="20"/>
              </w:rPr>
              <w:t>Contractual requirement on what must be included in</w:t>
            </w:r>
            <w:r w:rsidR="00FC4E47" w:rsidRPr="002C1E2B">
              <w:rPr>
                <w:rFonts w:ascii="Calibri" w:hAnsi="Calibri" w:cs="Arial"/>
                <w:sz w:val="20"/>
                <w:szCs w:val="20"/>
              </w:rPr>
              <w:t xml:space="preserve"> </w:t>
            </w:r>
            <w:r w:rsidRPr="002C1E2B">
              <w:rPr>
                <w:rFonts w:ascii="Calibri" w:hAnsi="Calibri" w:cs="Arial"/>
                <w:sz w:val="20"/>
                <w:szCs w:val="20"/>
              </w:rPr>
              <w:t>contracts.</w:t>
            </w:r>
          </w:p>
        </w:tc>
        <w:tc>
          <w:tcPr>
            <w:tcW w:w="1189" w:type="pct"/>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hideMark/>
          </w:tcPr>
          <w:p w14:paraId="661885A8" w14:textId="77777777" w:rsidR="002364DA" w:rsidRPr="002C1E2B" w:rsidRDefault="002364DA" w:rsidP="000E3B42">
            <w:pPr>
              <w:pStyle w:val="BodyText"/>
              <w:spacing w:before="60" w:after="60"/>
              <w:rPr>
                <w:rFonts w:ascii="Calibri" w:hAnsi="Calibri" w:cs="Arial"/>
                <w:sz w:val="20"/>
                <w:szCs w:val="20"/>
              </w:rPr>
            </w:pPr>
            <w:r w:rsidRPr="002C1E2B">
              <w:rPr>
                <w:rFonts w:ascii="Calibri" w:hAnsi="Calibri" w:cs="Arial"/>
                <w:sz w:val="20"/>
                <w:szCs w:val="20"/>
              </w:rPr>
              <w:t>In-going contribution must be refunded within 18 months of leaving the RV.</w:t>
            </w:r>
            <w:r w:rsidRPr="002C1E2B">
              <w:rPr>
                <w:rFonts w:ascii="Calibri" w:hAnsi="Calibri" w:cs="Arial"/>
                <w:sz w:val="20"/>
                <w:szCs w:val="20"/>
              </w:rPr>
              <w:br/>
              <w:t>If the operator is suffering financial hardship and cannot facilitate the payment, they can apply to the SA Civil and Administration Tribunal for extension of time.</w:t>
            </w:r>
          </w:p>
        </w:tc>
        <w:tc>
          <w:tcPr>
            <w:tcW w:w="1189" w:type="pct"/>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hideMark/>
          </w:tcPr>
          <w:p w14:paraId="55CC7D1C" w14:textId="77777777" w:rsidR="002364DA" w:rsidRPr="002C1E2B" w:rsidRDefault="002364DA" w:rsidP="000E3B42">
            <w:pPr>
              <w:pStyle w:val="TableBullet1"/>
              <w:numPr>
                <w:ilvl w:val="0"/>
                <w:numId w:val="0"/>
              </w:numPr>
              <w:spacing w:before="60" w:after="60"/>
              <w:rPr>
                <w:rFonts w:ascii="Calibri" w:hAnsi="Calibri"/>
              </w:rPr>
            </w:pPr>
            <w:r w:rsidRPr="002C1E2B">
              <w:rPr>
                <w:rFonts w:ascii="Calibri" w:hAnsi="Calibri"/>
              </w:rPr>
              <w:t>Operator must:</w:t>
            </w:r>
          </w:p>
          <w:p w14:paraId="20E87769" w14:textId="77777777" w:rsidR="002364DA" w:rsidRPr="002C1E2B" w:rsidRDefault="002364DA" w:rsidP="000E3B42">
            <w:pPr>
              <w:pStyle w:val="TableBullet1"/>
              <w:numPr>
                <w:ilvl w:val="4"/>
                <w:numId w:val="14"/>
              </w:numPr>
              <w:spacing w:before="60" w:after="60"/>
              <w:rPr>
                <w:rFonts w:ascii="Calibri" w:hAnsi="Calibri"/>
              </w:rPr>
            </w:pPr>
            <w:r w:rsidRPr="002C1E2B">
              <w:rPr>
                <w:rFonts w:ascii="Calibri" w:hAnsi="Calibri"/>
              </w:rPr>
              <w:t>Pay the DAP applicable to the resident’s aged care after 30 days of the resident leaving the village; and</w:t>
            </w:r>
          </w:p>
          <w:p w14:paraId="1139C1A0" w14:textId="77777777" w:rsidR="002364DA" w:rsidRPr="002C1E2B" w:rsidRDefault="002364DA" w:rsidP="000E3B42">
            <w:pPr>
              <w:pStyle w:val="TableBullet1"/>
              <w:numPr>
                <w:ilvl w:val="4"/>
                <w:numId w:val="14"/>
              </w:numPr>
              <w:spacing w:before="60" w:after="60"/>
              <w:rPr>
                <w:rFonts w:ascii="Calibri" w:hAnsi="Calibri"/>
              </w:rPr>
            </w:pPr>
            <w:r w:rsidRPr="002C1E2B">
              <w:rPr>
                <w:rFonts w:ascii="Calibri" w:hAnsi="Calibri"/>
              </w:rPr>
              <w:t>Refund the remaining in-going contribution within 60 day of the resident leaving the village.</w:t>
            </w:r>
          </w:p>
        </w:tc>
        <w:tc>
          <w:tcPr>
            <w:tcW w:w="1135" w:type="pct"/>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hideMark/>
          </w:tcPr>
          <w:p w14:paraId="6FC5DFBA" w14:textId="77777777" w:rsidR="002364DA" w:rsidRPr="002C1E2B" w:rsidRDefault="002364DA" w:rsidP="000E3B42">
            <w:pPr>
              <w:pStyle w:val="BodyText"/>
              <w:spacing w:before="60" w:after="60"/>
              <w:rPr>
                <w:rFonts w:ascii="Calibri" w:hAnsi="Calibri" w:cs="Arial"/>
                <w:sz w:val="20"/>
                <w:szCs w:val="20"/>
              </w:rPr>
            </w:pPr>
            <w:r w:rsidRPr="002C1E2B">
              <w:rPr>
                <w:rFonts w:ascii="Calibri" w:hAnsi="Calibri" w:cs="Arial"/>
                <w:sz w:val="20"/>
                <w:szCs w:val="20"/>
              </w:rPr>
              <w:t>The retirement village operator and resident agree to a resale price, and if objectives cannot be resolved, the resident should be given the opportunity to obtain an independent valuation.</w:t>
            </w:r>
          </w:p>
        </w:tc>
      </w:tr>
      <w:tr w:rsidR="002364DA" w:rsidRPr="002C1E2B" w14:paraId="243AEFF0" w14:textId="77777777" w:rsidTr="00780AD9">
        <w:trPr>
          <w:cnfStyle w:val="000000100000" w:firstRow="0" w:lastRow="0" w:firstColumn="0" w:lastColumn="0" w:oddVBand="0" w:evenVBand="0" w:oddHBand="1" w:evenHBand="0" w:firstRowFirstColumn="0" w:firstRowLastColumn="0" w:lastRowFirstColumn="0" w:lastRowLastColumn="0"/>
          <w:trHeight w:val="1860"/>
          <w:jc w:val="center"/>
        </w:trPr>
        <w:tc>
          <w:tcPr>
            <w:tcW w:w="470" w:type="pct"/>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hideMark/>
          </w:tcPr>
          <w:p w14:paraId="432AF6F4" w14:textId="77777777" w:rsidR="002364DA" w:rsidRPr="002C1E2B" w:rsidRDefault="002364DA" w:rsidP="000E3B42">
            <w:pPr>
              <w:pStyle w:val="BodyText"/>
              <w:spacing w:before="60" w:after="60"/>
              <w:rPr>
                <w:rFonts w:ascii="Calibri" w:hAnsi="Calibri" w:cs="Arial"/>
                <w:b/>
                <w:bCs/>
                <w:sz w:val="20"/>
                <w:szCs w:val="20"/>
              </w:rPr>
            </w:pPr>
            <w:r w:rsidRPr="002C1E2B">
              <w:rPr>
                <w:rFonts w:ascii="Calibri" w:hAnsi="Calibri" w:cs="Arial"/>
                <w:b/>
                <w:bCs/>
                <w:sz w:val="20"/>
                <w:szCs w:val="20"/>
              </w:rPr>
              <w:lastRenderedPageBreak/>
              <w:t>Western Australia</w:t>
            </w:r>
          </w:p>
        </w:tc>
        <w:tc>
          <w:tcPr>
            <w:tcW w:w="1018" w:type="pct"/>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6250D9C9" w14:textId="77777777" w:rsidR="002364DA" w:rsidRPr="002C1E2B" w:rsidRDefault="002364DA" w:rsidP="00FC4E47">
            <w:pPr>
              <w:spacing w:before="60" w:after="60"/>
              <w:rPr>
                <w:rFonts w:ascii="Calibri" w:hAnsi="Calibri" w:cs="Arial"/>
                <w:sz w:val="20"/>
                <w:szCs w:val="20"/>
              </w:rPr>
            </w:pPr>
            <w:r w:rsidRPr="002C1E2B">
              <w:rPr>
                <w:rFonts w:ascii="Calibri" w:hAnsi="Calibri" w:cs="Arial"/>
                <w:sz w:val="20"/>
                <w:szCs w:val="20"/>
              </w:rPr>
              <w:t>Contractual requirement on what must and must not be included in contracts.</w:t>
            </w:r>
          </w:p>
        </w:tc>
        <w:tc>
          <w:tcPr>
            <w:tcW w:w="1189" w:type="pct"/>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hideMark/>
          </w:tcPr>
          <w:p w14:paraId="52BFEA7B" w14:textId="77777777" w:rsidR="002364DA" w:rsidRPr="002C1E2B" w:rsidRDefault="002364DA" w:rsidP="000E3B42">
            <w:pPr>
              <w:pStyle w:val="TableBullet1"/>
              <w:numPr>
                <w:ilvl w:val="0"/>
                <w:numId w:val="0"/>
              </w:numPr>
              <w:spacing w:before="60" w:after="60"/>
              <w:rPr>
                <w:rFonts w:ascii="Calibri" w:hAnsi="Calibri"/>
              </w:rPr>
            </w:pPr>
            <w:r w:rsidRPr="002C1E2B">
              <w:rPr>
                <w:rFonts w:ascii="Calibri" w:hAnsi="Calibri"/>
              </w:rPr>
              <w:t>Operator must refund in-going contribution within 45 days of the resident vacating possession if:</w:t>
            </w:r>
          </w:p>
          <w:p w14:paraId="27935131" w14:textId="77777777" w:rsidR="002364DA" w:rsidRPr="002C1E2B" w:rsidRDefault="002364DA" w:rsidP="000E3B42">
            <w:pPr>
              <w:pStyle w:val="TableBullet1"/>
              <w:numPr>
                <w:ilvl w:val="4"/>
                <w:numId w:val="14"/>
              </w:numPr>
              <w:spacing w:before="60" w:after="60"/>
              <w:rPr>
                <w:rFonts w:ascii="Calibri" w:hAnsi="Calibri"/>
              </w:rPr>
            </w:pPr>
            <w:r w:rsidRPr="002C1E2B">
              <w:rPr>
                <w:rFonts w:ascii="Calibri" w:hAnsi="Calibri"/>
              </w:rPr>
              <w:t xml:space="preserve">The residence contract must be terminated in accordance with the terms; and </w:t>
            </w:r>
          </w:p>
          <w:p w14:paraId="599E9CD7" w14:textId="77777777" w:rsidR="002364DA" w:rsidRPr="002C1E2B" w:rsidRDefault="002364DA" w:rsidP="000E3B42">
            <w:pPr>
              <w:pStyle w:val="TableBullet1"/>
              <w:numPr>
                <w:ilvl w:val="4"/>
                <w:numId w:val="14"/>
              </w:numPr>
              <w:spacing w:before="60" w:after="60"/>
              <w:rPr>
                <w:rFonts w:ascii="Calibri" w:hAnsi="Calibri"/>
              </w:rPr>
            </w:pPr>
            <w:r w:rsidRPr="002C1E2B">
              <w:rPr>
                <w:rFonts w:ascii="Calibri" w:hAnsi="Calibri"/>
              </w:rPr>
              <w:t>The resident has no control over the sale.</w:t>
            </w:r>
          </w:p>
        </w:tc>
        <w:tc>
          <w:tcPr>
            <w:tcW w:w="1189" w:type="pct"/>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hideMark/>
          </w:tcPr>
          <w:p w14:paraId="34F3CE5B" w14:textId="77777777" w:rsidR="002364DA" w:rsidRPr="002C1E2B" w:rsidRDefault="002364DA" w:rsidP="000E3B42">
            <w:pPr>
              <w:pStyle w:val="BodyText"/>
              <w:spacing w:before="60" w:after="60"/>
              <w:rPr>
                <w:rFonts w:ascii="Calibri" w:hAnsi="Calibri" w:cs="Arial"/>
                <w:sz w:val="20"/>
                <w:szCs w:val="20"/>
              </w:rPr>
            </w:pPr>
            <w:r w:rsidRPr="002C1E2B">
              <w:rPr>
                <w:rFonts w:ascii="Calibri" w:hAnsi="Calibri" w:cs="Arial"/>
                <w:sz w:val="20"/>
                <w:szCs w:val="20"/>
              </w:rPr>
              <w:t>Nil</w:t>
            </w:r>
          </w:p>
        </w:tc>
        <w:tc>
          <w:tcPr>
            <w:tcW w:w="1135" w:type="pct"/>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hideMark/>
          </w:tcPr>
          <w:p w14:paraId="08404244" w14:textId="77777777" w:rsidR="002364DA" w:rsidRPr="002C1E2B" w:rsidRDefault="002364DA" w:rsidP="000E3B42">
            <w:pPr>
              <w:pStyle w:val="BodyText"/>
              <w:spacing w:before="60" w:after="60"/>
              <w:rPr>
                <w:rFonts w:ascii="Calibri" w:hAnsi="Calibri" w:cs="Arial"/>
                <w:sz w:val="20"/>
                <w:szCs w:val="20"/>
              </w:rPr>
            </w:pPr>
            <w:r w:rsidRPr="002C1E2B">
              <w:rPr>
                <w:rFonts w:ascii="Calibri" w:hAnsi="Calibri" w:cs="Arial"/>
                <w:sz w:val="20"/>
                <w:szCs w:val="20"/>
              </w:rPr>
              <w:t>Nil</w:t>
            </w:r>
          </w:p>
        </w:tc>
      </w:tr>
      <w:tr w:rsidR="002364DA" w:rsidRPr="002C1E2B" w14:paraId="007A693D" w14:textId="77777777" w:rsidTr="00780AD9">
        <w:trPr>
          <w:cnfStyle w:val="000000010000" w:firstRow="0" w:lastRow="0" w:firstColumn="0" w:lastColumn="0" w:oddVBand="0" w:evenVBand="0" w:oddHBand="0" w:evenHBand="1" w:firstRowFirstColumn="0" w:firstRowLastColumn="0" w:lastRowFirstColumn="0" w:lastRowLastColumn="0"/>
          <w:trHeight w:val="1395"/>
          <w:jc w:val="center"/>
        </w:trPr>
        <w:tc>
          <w:tcPr>
            <w:tcW w:w="470" w:type="pct"/>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hideMark/>
          </w:tcPr>
          <w:p w14:paraId="04139DBD" w14:textId="77777777" w:rsidR="002364DA" w:rsidRPr="002C1E2B" w:rsidRDefault="002364DA" w:rsidP="000E3B42">
            <w:pPr>
              <w:pStyle w:val="BodyText"/>
              <w:spacing w:before="60" w:after="60"/>
              <w:rPr>
                <w:rFonts w:ascii="Calibri" w:hAnsi="Calibri" w:cs="Arial"/>
                <w:b/>
                <w:bCs/>
                <w:sz w:val="20"/>
                <w:szCs w:val="20"/>
              </w:rPr>
            </w:pPr>
            <w:r w:rsidRPr="002C1E2B">
              <w:rPr>
                <w:rFonts w:ascii="Calibri" w:hAnsi="Calibri" w:cs="Arial"/>
                <w:b/>
                <w:bCs/>
                <w:sz w:val="20"/>
                <w:szCs w:val="20"/>
              </w:rPr>
              <w:t>Australian Capital Territory</w:t>
            </w:r>
          </w:p>
        </w:tc>
        <w:tc>
          <w:tcPr>
            <w:tcW w:w="1018" w:type="pct"/>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7F96FD13" w14:textId="77777777" w:rsidR="002364DA" w:rsidRPr="002C1E2B" w:rsidRDefault="002364DA" w:rsidP="00FC4E47">
            <w:pPr>
              <w:spacing w:before="60" w:after="60"/>
              <w:rPr>
                <w:rFonts w:ascii="Calibri" w:hAnsi="Calibri" w:cs="Arial"/>
                <w:sz w:val="20"/>
                <w:szCs w:val="20"/>
              </w:rPr>
            </w:pPr>
            <w:r w:rsidRPr="002C1E2B">
              <w:rPr>
                <w:rFonts w:ascii="Calibri" w:hAnsi="Calibri" w:cs="Arial"/>
                <w:sz w:val="20"/>
                <w:szCs w:val="20"/>
              </w:rPr>
              <w:t>Contractual requirement on what must and must not be included in contracts.</w:t>
            </w:r>
          </w:p>
        </w:tc>
        <w:tc>
          <w:tcPr>
            <w:tcW w:w="1189" w:type="pct"/>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hideMark/>
          </w:tcPr>
          <w:p w14:paraId="5E77C28D" w14:textId="77777777" w:rsidR="002364DA" w:rsidRPr="002C1E2B" w:rsidRDefault="002364DA" w:rsidP="000E3B42">
            <w:pPr>
              <w:pStyle w:val="BodyText"/>
              <w:spacing w:before="60" w:after="60"/>
              <w:rPr>
                <w:rFonts w:ascii="Calibri" w:hAnsi="Calibri" w:cs="Arial"/>
                <w:sz w:val="20"/>
                <w:szCs w:val="20"/>
              </w:rPr>
            </w:pPr>
            <w:r w:rsidRPr="002C1E2B">
              <w:rPr>
                <w:rFonts w:ascii="Calibri" w:hAnsi="Calibri" w:cs="Arial"/>
                <w:sz w:val="20"/>
                <w:szCs w:val="20"/>
              </w:rPr>
              <w:t xml:space="preserve">A resident's in-going contribution must be refunded no later than </w:t>
            </w:r>
            <w:r w:rsidR="00880CAA" w:rsidRPr="002C1E2B">
              <w:rPr>
                <w:rFonts w:ascii="Calibri" w:hAnsi="Calibri" w:cs="Arial"/>
                <w:sz w:val="20"/>
                <w:szCs w:val="20"/>
              </w:rPr>
              <w:t>six</w:t>
            </w:r>
            <w:r w:rsidRPr="002C1E2B">
              <w:rPr>
                <w:rFonts w:ascii="Calibri" w:hAnsi="Calibri" w:cs="Arial"/>
                <w:sz w:val="20"/>
                <w:szCs w:val="20"/>
              </w:rPr>
              <w:t xml:space="preserve"> months after the day the resident delivered up vacant possession of the premises to the operator.</w:t>
            </w:r>
          </w:p>
        </w:tc>
        <w:tc>
          <w:tcPr>
            <w:tcW w:w="1189" w:type="pct"/>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hideMark/>
          </w:tcPr>
          <w:p w14:paraId="336F96C8" w14:textId="77777777" w:rsidR="002364DA" w:rsidRPr="002C1E2B" w:rsidRDefault="002364DA" w:rsidP="000E3B42">
            <w:pPr>
              <w:pStyle w:val="BodyText"/>
              <w:spacing w:before="60" w:after="60"/>
              <w:rPr>
                <w:rFonts w:ascii="Calibri" w:hAnsi="Calibri" w:cs="Arial"/>
                <w:sz w:val="20"/>
                <w:szCs w:val="20"/>
              </w:rPr>
            </w:pPr>
            <w:r w:rsidRPr="002C1E2B">
              <w:rPr>
                <w:rFonts w:ascii="Calibri" w:hAnsi="Calibri" w:cs="Arial"/>
                <w:sz w:val="20"/>
                <w:szCs w:val="20"/>
              </w:rPr>
              <w:t>Nil</w:t>
            </w:r>
          </w:p>
        </w:tc>
        <w:tc>
          <w:tcPr>
            <w:tcW w:w="1135" w:type="pct"/>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hideMark/>
          </w:tcPr>
          <w:p w14:paraId="5AF83E49" w14:textId="77777777" w:rsidR="002364DA" w:rsidRPr="002C1E2B" w:rsidRDefault="002364DA" w:rsidP="000E3B42">
            <w:pPr>
              <w:pStyle w:val="BodyText"/>
              <w:spacing w:before="60" w:after="60"/>
              <w:rPr>
                <w:rFonts w:ascii="Calibri" w:hAnsi="Calibri" w:cs="Arial"/>
                <w:sz w:val="20"/>
                <w:szCs w:val="20"/>
              </w:rPr>
            </w:pPr>
            <w:r w:rsidRPr="002C1E2B">
              <w:rPr>
                <w:rFonts w:ascii="Calibri" w:hAnsi="Calibri" w:cs="Arial"/>
                <w:sz w:val="20"/>
                <w:szCs w:val="20"/>
              </w:rPr>
              <w:t>The resident may but need not appoint the operator as a selling agent, and may, but need not appoint the operator to set the sale price.</w:t>
            </w:r>
          </w:p>
        </w:tc>
      </w:tr>
      <w:tr w:rsidR="002364DA" w:rsidRPr="002C1E2B" w14:paraId="4060C389" w14:textId="77777777" w:rsidTr="00780AD9">
        <w:trPr>
          <w:cnfStyle w:val="000000100000" w:firstRow="0" w:lastRow="0" w:firstColumn="0" w:lastColumn="0" w:oddVBand="0" w:evenVBand="0" w:oddHBand="1" w:evenHBand="0" w:firstRowFirstColumn="0" w:firstRowLastColumn="0" w:lastRowFirstColumn="0" w:lastRowLastColumn="0"/>
          <w:trHeight w:val="1845"/>
          <w:jc w:val="center"/>
        </w:trPr>
        <w:tc>
          <w:tcPr>
            <w:tcW w:w="470" w:type="pct"/>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hideMark/>
          </w:tcPr>
          <w:p w14:paraId="73240028" w14:textId="77777777" w:rsidR="002364DA" w:rsidRPr="002C1E2B" w:rsidRDefault="002364DA" w:rsidP="000E3B42">
            <w:pPr>
              <w:pStyle w:val="BodyText"/>
              <w:spacing w:before="60" w:after="60"/>
              <w:rPr>
                <w:rFonts w:ascii="Calibri" w:hAnsi="Calibri" w:cs="Arial"/>
                <w:b/>
                <w:bCs/>
                <w:sz w:val="20"/>
                <w:szCs w:val="20"/>
              </w:rPr>
            </w:pPr>
            <w:r w:rsidRPr="002C1E2B">
              <w:rPr>
                <w:rFonts w:ascii="Calibri" w:hAnsi="Calibri" w:cs="Arial"/>
                <w:b/>
                <w:bCs/>
                <w:sz w:val="20"/>
                <w:szCs w:val="20"/>
              </w:rPr>
              <w:t>Tasmania</w:t>
            </w:r>
          </w:p>
        </w:tc>
        <w:tc>
          <w:tcPr>
            <w:tcW w:w="1018" w:type="pct"/>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4726E4CF" w14:textId="77777777" w:rsidR="002364DA" w:rsidRPr="002C1E2B" w:rsidRDefault="002364DA" w:rsidP="00FC4E47">
            <w:pPr>
              <w:spacing w:before="60" w:after="60"/>
              <w:rPr>
                <w:rFonts w:ascii="Calibri" w:hAnsi="Calibri" w:cs="Arial"/>
                <w:sz w:val="20"/>
                <w:szCs w:val="20"/>
              </w:rPr>
            </w:pPr>
            <w:r w:rsidRPr="002C1E2B">
              <w:rPr>
                <w:rFonts w:ascii="Calibri" w:hAnsi="Calibri" w:cs="Arial"/>
                <w:sz w:val="20"/>
                <w:szCs w:val="20"/>
              </w:rPr>
              <w:t>Contractual requirement on what must be included in contracts.</w:t>
            </w:r>
          </w:p>
        </w:tc>
        <w:tc>
          <w:tcPr>
            <w:tcW w:w="1189" w:type="pct"/>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hideMark/>
          </w:tcPr>
          <w:p w14:paraId="3A24BC2E" w14:textId="77777777" w:rsidR="002364DA" w:rsidRPr="002C1E2B" w:rsidRDefault="002364DA" w:rsidP="000E3B42">
            <w:pPr>
              <w:pStyle w:val="BodyText"/>
              <w:spacing w:before="60" w:after="60"/>
              <w:rPr>
                <w:rFonts w:ascii="Calibri" w:hAnsi="Calibri" w:cs="Arial"/>
                <w:sz w:val="20"/>
                <w:szCs w:val="20"/>
              </w:rPr>
            </w:pPr>
            <w:r w:rsidRPr="002C1E2B">
              <w:rPr>
                <w:rFonts w:ascii="Calibri" w:hAnsi="Calibri" w:cs="Arial"/>
                <w:sz w:val="20"/>
                <w:szCs w:val="20"/>
              </w:rPr>
              <w:t xml:space="preserve">In-going contribution must be refunded to the resident / representative </w:t>
            </w:r>
            <w:r w:rsidR="00880CAA" w:rsidRPr="002C1E2B">
              <w:rPr>
                <w:rFonts w:ascii="Calibri" w:hAnsi="Calibri" w:cs="Arial"/>
                <w:sz w:val="20"/>
                <w:szCs w:val="20"/>
              </w:rPr>
              <w:t>six</w:t>
            </w:r>
            <w:r w:rsidRPr="002C1E2B">
              <w:rPr>
                <w:rFonts w:ascii="Calibri" w:hAnsi="Calibri" w:cs="Arial"/>
                <w:sz w:val="20"/>
                <w:szCs w:val="20"/>
              </w:rPr>
              <w:t xml:space="preserve"> months after a notice of termination was submitted.</w:t>
            </w:r>
            <w:r w:rsidRPr="002C1E2B">
              <w:rPr>
                <w:rFonts w:ascii="Calibri" w:hAnsi="Calibri" w:cs="Arial"/>
                <w:sz w:val="20"/>
                <w:szCs w:val="20"/>
              </w:rPr>
              <w:br/>
              <w:t xml:space="preserve">If the operator suffers from financial hardship, the Director may extend the period further, of no longer than 12 months. </w:t>
            </w:r>
          </w:p>
        </w:tc>
        <w:tc>
          <w:tcPr>
            <w:tcW w:w="1189" w:type="pct"/>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hideMark/>
          </w:tcPr>
          <w:p w14:paraId="2E540887" w14:textId="77777777" w:rsidR="002364DA" w:rsidRPr="002C1E2B" w:rsidRDefault="002364DA" w:rsidP="000E3B42">
            <w:pPr>
              <w:pStyle w:val="BodyText"/>
              <w:spacing w:before="60" w:after="60"/>
              <w:rPr>
                <w:rFonts w:ascii="Calibri" w:hAnsi="Calibri" w:cs="Arial"/>
                <w:sz w:val="20"/>
                <w:szCs w:val="20"/>
              </w:rPr>
            </w:pPr>
            <w:r w:rsidRPr="002C1E2B">
              <w:rPr>
                <w:rFonts w:ascii="Calibri" w:hAnsi="Calibri" w:cs="Arial"/>
                <w:sz w:val="20"/>
                <w:szCs w:val="20"/>
              </w:rPr>
              <w:t xml:space="preserve">If the resident does not have ready access to funds to pay for aged care, or if paying would seriously affect their personal finances, they can apply for their refundable in-going contribution to be refunded within 45 days from the operator. </w:t>
            </w:r>
          </w:p>
        </w:tc>
        <w:tc>
          <w:tcPr>
            <w:tcW w:w="1135" w:type="pct"/>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hideMark/>
          </w:tcPr>
          <w:p w14:paraId="68D7F862" w14:textId="77777777" w:rsidR="002364DA" w:rsidRPr="002C1E2B" w:rsidRDefault="002364DA" w:rsidP="000E3B42">
            <w:pPr>
              <w:pStyle w:val="BodyText"/>
              <w:spacing w:before="60" w:after="60"/>
              <w:rPr>
                <w:rFonts w:ascii="Calibri" w:hAnsi="Calibri" w:cs="Arial"/>
                <w:sz w:val="20"/>
                <w:szCs w:val="20"/>
              </w:rPr>
            </w:pPr>
            <w:r w:rsidRPr="002C1E2B">
              <w:rPr>
                <w:rFonts w:ascii="Calibri" w:hAnsi="Calibri" w:cs="Arial"/>
                <w:sz w:val="20"/>
                <w:szCs w:val="20"/>
              </w:rPr>
              <w:t>Nil</w:t>
            </w:r>
          </w:p>
        </w:tc>
      </w:tr>
    </w:tbl>
    <w:p w14:paraId="5B3A22E1" w14:textId="77777777" w:rsidR="00EF1195" w:rsidRPr="002C1E2B" w:rsidRDefault="00EF1195" w:rsidP="002364DA">
      <w:pPr>
        <w:pStyle w:val="BodyText"/>
        <w:sectPr w:rsidR="00EF1195" w:rsidRPr="002C1E2B" w:rsidSect="002364DA">
          <w:pgSz w:w="16839" w:h="11907" w:orient="landscape" w:code="1"/>
          <w:pgMar w:top="1440" w:right="1915" w:bottom="1440" w:left="1440" w:header="835" w:footer="202" w:gutter="0"/>
          <w:cols w:space="708"/>
          <w:docGrid w:linePitch="360"/>
        </w:sectPr>
      </w:pPr>
    </w:p>
    <w:p w14:paraId="6058EFD9" w14:textId="77777777" w:rsidR="00EF1195" w:rsidRPr="002C1E2B" w:rsidRDefault="00EF1195" w:rsidP="00EF1195">
      <w:pPr>
        <w:pStyle w:val="Heading1"/>
        <w:numPr>
          <w:ilvl w:val="0"/>
          <w:numId w:val="1"/>
        </w:numPr>
        <w:rPr>
          <w:sz w:val="36"/>
          <w:szCs w:val="36"/>
        </w:rPr>
      </w:pPr>
      <w:bookmarkStart w:id="282" w:name="DocumentTitle"/>
      <w:bookmarkStart w:id="283" w:name="Start"/>
      <w:bookmarkStart w:id="284" w:name="_Toc476739304"/>
      <w:bookmarkStart w:id="285" w:name="_Toc476585858"/>
      <w:bookmarkStart w:id="286" w:name="xxBackPage"/>
      <w:bookmarkEnd w:id="47"/>
      <w:bookmarkEnd w:id="282"/>
      <w:bookmarkEnd w:id="283"/>
      <w:r w:rsidRPr="002C1E2B">
        <w:lastRenderedPageBreak/>
        <w:t>Summary of Regulations 8B – 8H</w:t>
      </w:r>
      <w:bookmarkEnd w:id="284"/>
      <w:bookmarkEnd w:id="285"/>
      <w:r w:rsidRPr="002C1E2B">
        <w:t xml:space="preserve"> </w:t>
      </w:r>
    </w:p>
    <w:p w14:paraId="4EF63711" w14:textId="77777777" w:rsidR="00EF1195" w:rsidRPr="002C1E2B" w:rsidRDefault="00EF1195" w:rsidP="00EF1195">
      <w:pPr>
        <w:pStyle w:val="BodyText"/>
      </w:pPr>
      <w:r w:rsidRPr="002C1E2B">
        <w:t>In 2013, a RIS was developed by CAV to amend the Regulations and the Records and Notices Regulations. These amendments addressed concerns around consumer detriment resulting from a lack of information available for residents to make informed choices when considering entering retirement villages. The objectives of these changes were:</w:t>
      </w:r>
    </w:p>
    <w:p w14:paraId="56AB5BD8" w14:textId="77777777" w:rsidR="00EF1195" w:rsidRPr="002C1E2B" w:rsidRDefault="00EF1195" w:rsidP="00EF1195">
      <w:pPr>
        <w:pStyle w:val="ListBullet"/>
      </w:pPr>
      <w:r w:rsidRPr="002C1E2B">
        <w:t xml:space="preserve">To ensure that retirement village contracts are in writing and are comprehensive; </w:t>
      </w:r>
    </w:p>
    <w:p w14:paraId="06EF510D" w14:textId="77777777" w:rsidR="00EF1195" w:rsidRPr="002C1E2B" w:rsidRDefault="00EF1195" w:rsidP="00EF1195">
      <w:pPr>
        <w:pStyle w:val="ListBullet"/>
      </w:pPr>
      <w:r w:rsidRPr="002C1E2B">
        <w:t xml:space="preserve">To facilitate comparison of different villages’ contracts and to enable proposed residents and their advisors to choose an option that best suits the resident; and </w:t>
      </w:r>
    </w:p>
    <w:p w14:paraId="26052290" w14:textId="77777777" w:rsidR="00EF1195" w:rsidRPr="002C1E2B" w:rsidRDefault="00EF1195" w:rsidP="00D57D67">
      <w:pPr>
        <w:pStyle w:val="ListBullet"/>
        <w:spacing w:after="240"/>
      </w:pPr>
      <w:r w:rsidRPr="002C1E2B">
        <w:t>To facilitate the identification of rights and obligations after the resident enters the retirement village.</w:t>
      </w:r>
    </w:p>
    <w:p w14:paraId="2E0BA2B0" w14:textId="77777777" w:rsidR="00EF1195" w:rsidRPr="002C1E2B" w:rsidRDefault="00EF1195" w:rsidP="00EF1195">
      <w:pPr>
        <w:pStyle w:val="BodyText"/>
      </w:pPr>
      <w:r w:rsidRPr="002C1E2B">
        <w:t xml:space="preserve">Following the consultation process, r.8B to r.8H were amended and inserted to the Regulations, setting out a number of contractual requirements and provisions to standardise contracts. These provisions prescribe the matters that must, must not and may be included in residence and management contracts, prescribe a basic set of mandatory rights and obligations of operators and residents, prescribe the layout of residence and management contracts (including the order of matters). These regulations are summarised in the table below. </w:t>
      </w:r>
    </w:p>
    <w:p w14:paraId="0F6D1282" w14:textId="77777777" w:rsidR="00EF1195" w:rsidRPr="002C1E2B" w:rsidRDefault="00EF1195" w:rsidP="00EF1195">
      <w:pPr>
        <w:pStyle w:val="Caption"/>
        <w:spacing w:after="120"/>
      </w:pPr>
      <w:r w:rsidRPr="002C1E2B">
        <w:t xml:space="preserve">Table </w:t>
      </w:r>
      <w:r w:rsidRPr="002C1E2B">
        <w:fldChar w:fldCharType="begin"/>
      </w:r>
      <w:r w:rsidRPr="002C1E2B">
        <w:instrText xml:space="preserve"> STYLEREF 1 \s </w:instrText>
      </w:r>
      <w:r w:rsidRPr="002C1E2B">
        <w:fldChar w:fldCharType="separate"/>
      </w:r>
      <w:r w:rsidR="00BE6CE4">
        <w:rPr>
          <w:noProof/>
        </w:rPr>
        <w:t>C</w:t>
      </w:r>
      <w:r w:rsidRPr="002C1E2B">
        <w:fldChar w:fldCharType="end"/>
      </w:r>
      <w:r w:rsidRPr="002C1E2B">
        <w:t>.</w:t>
      </w:r>
      <w:r w:rsidRPr="002C1E2B">
        <w:fldChar w:fldCharType="begin"/>
      </w:r>
      <w:r w:rsidRPr="002C1E2B">
        <w:instrText xml:space="preserve"> SEQ Table \* ARABIC \s 1 </w:instrText>
      </w:r>
      <w:r w:rsidRPr="002C1E2B">
        <w:fldChar w:fldCharType="separate"/>
      </w:r>
      <w:r w:rsidR="00BE6CE4">
        <w:rPr>
          <w:noProof/>
        </w:rPr>
        <w:t>1</w:t>
      </w:r>
      <w:r w:rsidRPr="002C1E2B">
        <w:fldChar w:fldCharType="end"/>
      </w:r>
      <w:r w:rsidRPr="002C1E2B">
        <w:t xml:space="preserve"> – Summary of r.8B to 8H of the Regulations</w:t>
      </w:r>
    </w:p>
    <w:tbl>
      <w:tblPr>
        <w:tblStyle w:val="NERATable"/>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576"/>
        <w:gridCol w:w="3375"/>
        <w:gridCol w:w="3320"/>
      </w:tblGrid>
      <w:tr w:rsidR="00EF1195" w:rsidRPr="002C1E2B" w14:paraId="2F0837E4" w14:textId="77777777" w:rsidTr="007F5D69">
        <w:trPr>
          <w:cnfStyle w:val="100000000000" w:firstRow="1" w:lastRow="0" w:firstColumn="0" w:lastColumn="0" w:oddVBand="0" w:evenVBand="0" w:oddHBand="0" w:evenHBand="0" w:firstRowFirstColumn="0" w:firstRowLastColumn="0" w:lastRowFirstColumn="0" w:lastRowLastColumn="0"/>
          <w:trHeight w:val="647"/>
          <w:tblHeader/>
        </w:trPr>
        <w:tc>
          <w:tcPr>
            <w:cnfStyle w:val="001000000000" w:firstRow="0" w:lastRow="0" w:firstColumn="1" w:lastColumn="0" w:oddVBand="0" w:evenVBand="0" w:oddHBand="0" w:evenHBand="0" w:firstRowFirstColumn="0" w:firstRowLastColumn="0" w:lastRowFirstColumn="0" w:lastRowLastColumn="0"/>
            <w:tcW w:w="1250" w:type="dxa"/>
            <w:vMerge w:val="restart"/>
            <w:tcBorders>
              <w:top w:val="single" w:sz="4" w:space="0" w:color="auto"/>
              <w:left w:val="single" w:sz="4" w:space="0" w:color="auto"/>
              <w:right w:val="single" w:sz="4" w:space="0" w:color="auto"/>
              <w:tl2br w:val="none" w:sz="0" w:space="0" w:color="auto"/>
              <w:tr2bl w:val="none" w:sz="0" w:space="0" w:color="auto"/>
            </w:tcBorders>
            <w:shd w:val="clear" w:color="auto" w:fill="1F497D" w:themeFill="text2"/>
            <w:vAlign w:val="center"/>
          </w:tcPr>
          <w:p w14:paraId="666BAD29" w14:textId="77777777" w:rsidR="00EF1195" w:rsidRPr="002C1E2B" w:rsidRDefault="00EF1195" w:rsidP="007F5D69">
            <w:pPr>
              <w:pStyle w:val="BodyText"/>
              <w:spacing w:before="60" w:after="60"/>
              <w:jc w:val="center"/>
              <w:rPr>
                <w:rFonts w:ascii="Calibri" w:hAnsi="Calibri" w:cs="Arial"/>
                <w:color w:val="FFFFFF" w:themeColor="background1"/>
                <w:sz w:val="20"/>
                <w:szCs w:val="20"/>
              </w:rPr>
            </w:pPr>
            <w:r w:rsidRPr="002C1E2B">
              <w:rPr>
                <w:rFonts w:ascii="Calibri" w:hAnsi="Calibri" w:cs="Arial"/>
                <w:color w:val="FFFFFF" w:themeColor="background1"/>
                <w:sz w:val="20"/>
                <w:szCs w:val="20"/>
              </w:rPr>
              <w:t>Regulation</w:t>
            </w:r>
          </w:p>
        </w:tc>
        <w:tc>
          <w:tcPr>
            <w:tcW w:w="1576" w:type="dxa"/>
            <w:vMerge w:val="restart"/>
            <w:tcBorders>
              <w:top w:val="single" w:sz="4" w:space="0" w:color="auto"/>
              <w:left w:val="single" w:sz="4" w:space="0" w:color="auto"/>
              <w:right w:val="single" w:sz="4" w:space="0" w:color="auto"/>
            </w:tcBorders>
            <w:shd w:val="clear" w:color="auto" w:fill="1F497D" w:themeFill="text2"/>
            <w:vAlign w:val="center"/>
          </w:tcPr>
          <w:p w14:paraId="4BDEF6FA" w14:textId="77777777" w:rsidR="00EF1195" w:rsidRPr="002C1E2B" w:rsidRDefault="00EF1195" w:rsidP="007F5D69">
            <w:pPr>
              <w:pStyle w:val="BodyText"/>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Arial"/>
                <w:color w:val="FFFFFF" w:themeColor="background1"/>
                <w:sz w:val="20"/>
                <w:szCs w:val="20"/>
              </w:rPr>
            </w:pPr>
            <w:r w:rsidRPr="002C1E2B">
              <w:rPr>
                <w:rFonts w:ascii="Calibri" w:hAnsi="Calibri" w:cs="Arial"/>
                <w:color w:val="FFFFFF" w:themeColor="background1"/>
                <w:sz w:val="20"/>
                <w:szCs w:val="20"/>
              </w:rPr>
              <w:t>Type of contractual requirements</w:t>
            </w:r>
          </w:p>
        </w:tc>
        <w:tc>
          <w:tcPr>
            <w:tcW w:w="6695" w:type="dxa"/>
            <w:gridSpan w:val="2"/>
            <w:tcBorders>
              <w:top w:val="single" w:sz="4" w:space="0" w:color="auto"/>
              <w:left w:val="single" w:sz="4" w:space="0" w:color="auto"/>
              <w:right w:val="single" w:sz="4" w:space="0" w:color="auto"/>
            </w:tcBorders>
            <w:shd w:val="clear" w:color="auto" w:fill="1F497D" w:themeFill="text2"/>
            <w:vAlign w:val="center"/>
          </w:tcPr>
          <w:p w14:paraId="43B5C30A" w14:textId="77777777" w:rsidR="00EF1195" w:rsidRPr="002C1E2B" w:rsidRDefault="00EF1195" w:rsidP="007F5D69">
            <w:pPr>
              <w:pStyle w:val="BodyText"/>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Arial"/>
                <w:color w:val="FFFFFF" w:themeColor="background1"/>
                <w:sz w:val="20"/>
                <w:szCs w:val="20"/>
              </w:rPr>
            </w:pPr>
            <w:r w:rsidRPr="002C1E2B">
              <w:rPr>
                <w:rFonts w:ascii="Calibri" w:hAnsi="Calibri" w:cs="Arial"/>
                <w:color w:val="FFFFFF" w:themeColor="background1"/>
                <w:sz w:val="20"/>
                <w:szCs w:val="20"/>
              </w:rPr>
              <w:t>Description of provision</w:t>
            </w:r>
          </w:p>
        </w:tc>
      </w:tr>
      <w:tr w:rsidR="00EF1195" w:rsidRPr="002C1E2B" w14:paraId="165670A3" w14:textId="77777777" w:rsidTr="007F5D69">
        <w:trPr>
          <w:cnfStyle w:val="100000000000" w:firstRow="1" w:lastRow="0" w:firstColumn="0" w:lastColumn="0" w:oddVBand="0" w:evenVBand="0" w:oddHBand="0" w:evenHBand="0" w:firstRowFirstColumn="0" w:firstRowLastColumn="0" w:lastRowFirstColumn="0" w:lastRowLastColumn="0"/>
          <w:trHeight w:val="647"/>
          <w:tblHeader/>
        </w:trPr>
        <w:tc>
          <w:tcPr>
            <w:cnfStyle w:val="001000000000" w:firstRow="0" w:lastRow="0" w:firstColumn="1" w:lastColumn="0" w:oddVBand="0" w:evenVBand="0" w:oddHBand="0" w:evenHBand="0" w:firstRowFirstColumn="0" w:firstRowLastColumn="0" w:lastRowFirstColumn="0" w:lastRowLastColumn="0"/>
            <w:tcW w:w="1250" w:type="dxa"/>
            <w:vMerge/>
            <w:tcBorders>
              <w:top w:val="single" w:sz="4" w:space="0" w:color="auto"/>
              <w:left w:val="single" w:sz="4" w:space="0" w:color="auto"/>
              <w:right w:val="single" w:sz="4" w:space="0" w:color="auto"/>
              <w:tl2br w:val="none" w:sz="0" w:space="0" w:color="auto"/>
              <w:tr2bl w:val="none" w:sz="0" w:space="0" w:color="auto"/>
            </w:tcBorders>
            <w:vAlign w:val="center"/>
          </w:tcPr>
          <w:p w14:paraId="6954F6D3" w14:textId="77777777" w:rsidR="00EF1195" w:rsidRPr="002C1E2B" w:rsidRDefault="00EF1195" w:rsidP="007F5D69">
            <w:pPr>
              <w:pStyle w:val="BodyText"/>
              <w:spacing w:before="60" w:after="60"/>
              <w:rPr>
                <w:rFonts w:ascii="Calibri" w:hAnsi="Calibri" w:cs="Arial"/>
                <w:sz w:val="20"/>
                <w:szCs w:val="20"/>
              </w:rPr>
            </w:pPr>
          </w:p>
        </w:tc>
        <w:tc>
          <w:tcPr>
            <w:tcW w:w="1576" w:type="dxa"/>
            <w:vMerge/>
            <w:tcBorders>
              <w:top w:val="single" w:sz="4" w:space="0" w:color="auto"/>
              <w:left w:val="single" w:sz="4" w:space="0" w:color="auto"/>
              <w:right w:val="single" w:sz="4" w:space="0" w:color="auto"/>
            </w:tcBorders>
            <w:vAlign w:val="center"/>
          </w:tcPr>
          <w:p w14:paraId="7B8DE40D" w14:textId="77777777" w:rsidR="00EF1195" w:rsidRPr="002C1E2B" w:rsidRDefault="00EF1195" w:rsidP="007F5D69">
            <w:pPr>
              <w:pStyle w:val="BodyText"/>
              <w:spacing w:before="60" w:after="60"/>
              <w:cnfStyle w:val="100000000000" w:firstRow="1" w:lastRow="0" w:firstColumn="0" w:lastColumn="0" w:oddVBand="0" w:evenVBand="0" w:oddHBand="0" w:evenHBand="0" w:firstRowFirstColumn="0" w:firstRowLastColumn="0" w:lastRowFirstColumn="0" w:lastRowLastColumn="0"/>
              <w:rPr>
                <w:rFonts w:ascii="Calibri" w:hAnsi="Calibri" w:cs="Arial"/>
                <w:sz w:val="20"/>
                <w:szCs w:val="20"/>
              </w:rPr>
            </w:pPr>
          </w:p>
        </w:tc>
        <w:tc>
          <w:tcPr>
            <w:tcW w:w="3375" w:type="dxa"/>
            <w:tcBorders>
              <w:top w:val="single" w:sz="4" w:space="0" w:color="auto"/>
              <w:left w:val="single" w:sz="4" w:space="0" w:color="auto"/>
              <w:right w:val="single" w:sz="4" w:space="0" w:color="auto"/>
            </w:tcBorders>
            <w:shd w:val="clear" w:color="auto" w:fill="1F497D" w:themeFill="text2"/>
            <w:vAlign w:val="center"/>
          </w:tcPr>
          <w:p w14:paraId="0D72BA0A" w14:textId="77777777" w:rsidR="00EF1195" w:rsidRPr="002C1E2B" w:rsidRDefault="00EF1195" w:rsidP="007F5D69">
            <w:pPr>
              <w:pStyle w:val="BodyText"/>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Arial"/>
                <w:b w:val="0"/>
                <w:color w:val="FFFFFF" w:themeColor="background1"/>
                <w:sz w:val="20"/>
                <w:szCs w:val="20"/>
              </w:rPr>
            </w:pPr>
            <w:r w:rsidRPr="002C1E2B">
              <w:rPr>
                <w:rFonts w:ascii="Calibri" w:hAnsi="Calibri" w:cs="Arial"/>
                <w:color w:val="FFFFFF" w:themeColor="background1"/>
                <w:sz w:val="20"/>
                <w:szCs w:val="20"/>
              </w:rPr>
              <w:t>Residence contract</w:t>
            </w:r>
          </w:p>
        </w:tc>
        <w:tc>
          <w:tcPr>
            <w:tcW w:w="3320" w:type="dxa"/>
            <w:tcBorders>
              <w:top w:val="single" w:sz="4" w:space="0" w:color="auto"/>
              <w:left w:val="single" w:sz="4" w:space="0" w:color="auto"/>
              <w:right w:val="single" w:sz="4" w:space="0" w:color="auto"/>
            </w:tcBorders>
            <w:shd w:val="clear" w:color="auto" w:fill="1F497D" w:themeFill="text2"/>
            <w:vAlign w:val="center"/>
          </w:tcPr>
          <w:p w14:paraId="0557DA18" w14:textId="77777777" w:rsidR="00EF1195" w:rsidRPr="002C1E2B" w:rsidRDefault="00EF1195" w:rsidP="007F5D69">
            <w:pPr>
              <w:pStyle w:val="BodyText"/>
              <w:spacing w:before="60" w:after="0"/>
              <w:jc w:val="center"/>
              <w:cnfStyle w:val="100000000000" w:firstRow="1" w:lastRow="0" w:firstColumn="0" w:lastColumn="0" w:oddVBand="0" w:evenVBand="0" w:oddHBand="0" w:evenHBand="0" w:firstRowFirstColumn="0" w:firstRowLastColumn="0" w:lastRowFirstColumn="0" w:lastRowLastColumn="0"/>
              <w:rPr>
                <w:rFonts w:ascii="Calibri" w:hAnsi="Calibri" w:cs="Arial"/>
                <w:b w:val="0"/>
                <w:color w:val="FFFFFF" w:themeColor="background1"/>
                <w:sz w:val="20"/>
                <w:szCs w:val="20"/>
              </w:rPr>
            </w:pPr>
            <w:r w:rsidRPr="002C1E2B">
              <w:rPr>
                <w:rFonts w:ascii="Calibri" w:hAnsi="Calibri" w:cs="Arial"/>
                <w:color w:val="FFFFFF" w:themeColor="background1"/>
                <w:sz w:val="20"/>
                <w:szCs w:val="20"/>
              </w:rPr>
              <w:t>Management contract</w:t>
            </w:r>
          </w:p>
        </w:tc>
      </w:tr>
      <w:tr w:rsidR="00EF1195" w:rsidRPr="002C1E2B" w14:paraId="17BB0D88" w14:textId="77777777" w:rsidTr="007F5D69">
        <w:tc>
          <w:tcPr>
            <w:cnfStyle w:val="001000000000" w:firstRow="0" w:lastRow="0" w:firstColumn="1" w:lastColumn="0" w:oddVBand="0" w:evenVBand="0" w:oddHBand="0" w:evenHBand="0" w:firstRowFirstColumn="0" w:firstRowLastColumn="0" w:lastRowFirstColumn="0" w:lastRowLastColumn="0"/>
            <w:tcW w:w="1250" w:type="dxa"/>
            <w:tcBorders>
              <w:top w:val="single" w:sz="4" w:space="0" w:color="auto"/>
              <w:left w:val="none" w:sz="0" w:space="0" w:color="auto"/>
              <w:bottom w:val="none" w:sz="0" w:space="0" w:color="auto"/>
              <w:right w:val="none" w:sz="0" w:space="0" w:color="auto"/>
              <w:tl2br w:val="none" w:sz="0" w:space="0" w:color="auto"/>
              <w:tr2bl w:val="none" w:sz="0" w:space="0" w:color="auto"/>
            </w:tcBorders>
            <w:vAlign w:val="center"/>
          </w:tcPr>
          <w:p w14:paraId="0D2BCD3F" w14:textId="77777777" w:rsidR="00EF1195" w:rsidRPr="002C1E2B" w:rsidRDefault="00EF1195" w:rsidP="007F5D69">
            <w:pPr>
              <w:pStyle w:val="BodyText"/>
              <w:spacing w:before="60" w:after="60"/>
              <w:jc w:val="center"/>
              <w:rPr>
                <w:rFonts w:ascii="Calibri" w:hAnsi="Calibri" w:cs="Arial"/>
                <w:sz w:val="20"/>
                <w:szCs w:val="20"/>
              </w:rPr>
            </w:pPr>
            <w:r w:rsidRPr="002C1E2B">
              <w:rPr>
                <w:rFonts w:ascii="Calibri" w:hAnsi="Calibri" w:cs="Arial"/>
                <w:sz w:val="20"/>
                <w:szCs w:val="20"/>
              </w:rPr>
              <w:t>8B</w:t>
            </w:r>
          </w:p>
        </w:tc>
        <w:tc>
          <w:tcPr>
            <w:tcW w:w="1576" w:type="dxa"/>
            <w:tcBorders>
              <w:top w:val="single" w:sz="4" w:space="0" w:color="auto"/>
            </w:tcBorders>
            <w:vAlign w:val="center"/>
          </w:tcPr>
          <w:p w14:paraId="646DADEB" w14:textId="77777777" w:rsidR="00EF1195" w:rsidRPr="002C1E2B" w:rsidRDefault="00EF1195" w:rsidP="007F5D69">
            <w:pPr>
              <w:pStyle w:val="BodyText"/>
              <w:spacing w:before="60" w:after="60"/>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2C1E2B">
              <w:rPr>
                <w:rFonts w:ascii="Calibri" w:hAnsi="Calibri" w:cs="Arial"/>
                <w:sz w:val="20"/>
                <w:szCs w:val="20"/>
              </w:rPr>
              <w:t xml:space="preserve">Matters that </w:t>
            </w:r>
            <w:r w:rsidRPr="002C1E2B">
              <w:rPr>
                <w:rFonts w:ascii="Calibri" w:hAnsi="Calibri" w:cs="Arial"/>
                <w:b/>
                <w:sz w:val="20"/>
                <w:szCs w:val="20"/>
              </w:rPr>
              <w:t>must not</w:t>
            </w:r>
            <w:r w:rsidRPr="002C1E2B">
              <w:rPr>
                <w:rFonts w:ascii="Calibri" w:hAnsi="Calibri" w:cs="Arial"/>
                <w:sz w:val="20"/>
                <w:szCs w:val="20"/>
              </w:rPr>
              <w:t xml:space="preserve"> be included</w:t>
            </w:r>
          </w:p>
        </w:tc>
        <w:tc>
          <w:tcPr>
            <w:tcW w:w="6695" w:type="dxa"/>
            <w:gridSpan w:val="2"/>
            <w:tcBorders>
              <w:top w:val="single" w:sz="4" w:space="0" w:color="auto"/>
            </w:tcBorders>
            <w:vAlign w:val="center"/>
          </w:tcPr>
          <w:p w14:paraId="5EB60DE0" w14:textId="77777777" w:rsidR="00EF1195" w:rsidRPr="002C1E2B" w:rsidRDefault="00EF1195" w:rsidP="007F5D69">
            <w:pPr>
              <w:pStyle w:val="TableBullet1"/>
              <w:numPr>
                <w:ilvl w:val="4"/>
                <w:numId w:val="14"/>
              </w:numPr>
              <w:spacing w:before="60" w:after="60"/>
              <w:cnfStyle w:val="000000000000" w:firstRow="0" w:lastRow="0" w:firstColumn="0" w:lastColumn="0" w:oddVBand="0" w:evenVBand="0" w:oddHBand="0" w:evenHBand="0" w:firstRowFirstColumn="0" w:firstRowLastColumn="0" w:lastRowFirstColumn="0" w:lastRowLastColumn="0"/>
              <w:rPr>
                <w:rFonts w:ascii="Calibri" w:hAnsi="Calibri"/>
              </w:rPr>
            </w:pPr>
            <w:r w:rsidRPr="002C1E2B">
              <w:rPr>
                <w:rFonts w:ascii="Calibri" w:hAnsi="Calibri"/>
              </w:rPr>
              <w:t>Requirements to have a will</w:t>
            </w:r>
          </w:p>
          <w:p w14:paraId="093F2DBC" w14:textId="77777777" w:rsidR="00EF1195" w:rsidRPr="002C1E2B" w:rsidRDefault="00EF1195" w:rsidP="007F5D69">
            <w:pPr>
              <w:pStyle w:val="TableBullet1"/>
              <w:numPr>
                <w:ilvl w:val="4"/>
                <w:numId w:val="14"/>
              </w:numPr>
              <w:spacing w:before="60" w:after="60"/>
              <w:cnfStyle w:val="000000000000" w:firstRow="0" w:lastRow="0" w:firstColumn="0" w:lastColumn="0" w:oddVBand="0" w:evenVBand="0" w:oddHBand="0" w:evenHBand="0" w:firstRowFirstColumn="0" w:firstRowLastColumn="0" w:lastRowFirstColumn="0" w:lastRowLastColumn="0"/>
              <w:rPr>
                <w:rFonts w:ascii="Calibri" w:hAnsi="Calibri"/>
              </w:rPr>
            </w:pPr>
            <w:r w:rsidRPr="002C1E2B">
              <w:rPr>
                <w:rFonts w:ascii="Calibri" w:hAnsi="Calibri"/>
              </w:rPr>
              <w:t>Requirements to take out insurance policies other than a liability policy for any motorised wheelchairs operated by the resident</w:t>
            </w:r>
          </w:p>
          <w:p w14:paraId="57CA333A" w14:textId="77777777" w:rsidR="00EF1195" w:rsidRPr="002C1E2B" w:rsidRDefault="00EF1195" w:rsidP="007F5D69">
            <w:pPr>
              <w:pStyle w:val="TableBullet1"/>
              <w:numPr>
                <w:ilvl w:val="4"/>
                <w:numId w:val="14"/>
              </w:numPr>
              <w:spacing w:before="60" w:after="60"/>
              <w:cnfStyle w:val="000000000000" w:firstRow="0" w:lastRow="0" w:firstColumn="0" w:lastColumn="0" w:oddVBand="0" w:evenVBand="0" w:oddHBand="0" w:evenHBand="0" w:firstRowFirstColumn="0" w:firstRowLastColumn="0" w:lastRowFirstColumn="0" w:lastRowLastColumn="0"/>
              <w:rPr>
                <w:rFonts w:ascii="Calibri" w:hAnsi="Calibri"/>
              </w:rPr>
            </w:pPr>
            <w:r w:rsidRPr="002C1E2B">
              <w:rPr>
                <w:rFonts w:ascii="Calibri" w:hAnsi="Calibri"/>
              </w:rPr>
              <w:t>Requirements for a resident to pay liquidated damages and any costs of enforcing the contract</w:t>
            </w:r>
          </w:p>
          <w:p w14:paraId="031C1F2D" w14:textId="77777777" w:rsidR="00EF1195" w:rsidRPr="002C1E2B" w:rsidRDefault="00EF1195" w:rsidP="007F5D69">
            <w:pPr>
              <w:pStyle w:val="TableBullet1"/>
              <w:numPr>
                <w:ilvl w:val="4"/>
                <w:numId w:val="14"/>
              </w:numPr>
              <w:spacing w:before="60" w:after="60"/>
              <w:cnfStyle w:val="000000000000" w:firstRow="0" w:lastRow="0" w:firstColumn="0" w:lastColumn="0" w:oddVBand="0" w:evenVBand="0" w:oddHBand="0" w:evenHBand="0" w:firstRowFirstColumn="0" w:firstRowLastColumn="0" w:lastRowFirstColumn="0" w:lastRowLastColumn="0"/>
              <w:rPr>
                <w:rFonts w:ascii="Calibri" w:hAnsi="Calibri"/>
              </w:rPr>
            </w:pPr>
            <w:r w:rsidRPr="002C1E2B">
              <w:rPr>
                <w:rFonts w:ascii="Calibri" w:hAnsi="Calibri"/>
              </w:rPr>
              <w:t>Limits on the operator’s liability for default or breach of duty</w:t>
            </w:r>
          </w:p>
          <w:p w14:paraId="68E4B26C" w14:textId="77777777" w:rsidR="00EF1195" w:rsidRPr="002C1E2B" w:rsidRDefault="00EF1195" w:rsidP="007F5D69">
            <w:pPr>
              <w:pStyle w:val="TableBullet1"/>
              <w:numPr>
                <w:ilvl w:val="4"/>
                <w:numId w:val="14"/>
              </w:numPr>
              <w:spacing w:before="60" w:after="60"/>
              <w:cnfStyle w:val="000000000000" w:firstRow="0" w:lastRow="0" w:firstColumn="0" w:lastColumn="0" w:oddVBand="0" w:evenVBand="0" w:oddHBand="0" w:evenHBand="0" w:firstRowFirstColumn="0" w:firstRowLastColumn="0" w:lastRowFirstColumn="0" w:lastRowLastColumn="0"/>
              <w:rPr>
                <w:rFonts w:ascii="Calibri" w:hAnsi="Calibri"/>
              </w:rPr>
            </w:pPr>
            <w:r w:rsidRPr="002C1E2B">
              <w:rPr>
                <w:rFonts w:ascii="Calibri" w:hAnsi="Calibri"/>
              </w:rPr>
              <w:t>Recovery of administrative and operating costs beyond the term of residency</w:t>
            </w:r>
          </w:p>
          <w:p w14:paraId="289DD877" w14:textId="77777777" w:rsidR="00EF1195" w:rsidRPr="002C1E2B" w:rsidRDefault="00EF1195" w:rsidP="007F5D69">
            <w:pPr>
              <w:pStyle w:val="TableBullet1"/>
              <w:numPr>
                <w:ilvl w:val="4"/>
                <w:numId w:val="14"/>
              </w:numPr>
              <w:spacing w:before="60" w:after="60"/>
              <w:cnfStyle w:val="000000000000" w:firstRow="0" w:lastRow="0" w:firstColumn="0" w:lastColumn="0" w:oddVBand="0" w:evenVBand="0" w:oddHBand="0" w:evenHBand="0" w:firstRowFirstColumn="0" w:firstRowLastColumn="0" w:lastRowFirstColumn="0" w:lastRowLastColumn="0"/>
              <w:rPr>
                <w:rFonts w:ascii="Calibri" w:hAnsi="Calibri"/>
              </w:rPr>
            </w:pPr>
            <w:r w:rsidRPr="002C1E2B">
              <w:rPr>
                <w:rFonts w:ascii="Calibri" w:hAnsi="Calibri"/>
              </w:rPr>
              <w:t>Restrictions on membership of resident agreement</w:t>
            </w:r>
          </w:p>
          <w:p w14:paraId="4A86280B" w14:textId="77777777" w:rsidR="00EF1195" w:rsidRPr="002C1E2B" w:rsidRDefault="00EF1195" w:rsidP="007F5D69">
            <w:pPr>
              <w:pStyle w:val="TableBullet1"/>
              <w:numPr>
                <w:ilvl w:val="4"/>
                <w:numId w:val="14"/>
              </w:numPr>
              <w:spacing w:before="60" w:after="60"/>
              <w:cnfStyle w:val="000000000000" w:firstRow="0" w:lastRow="0" w:firstColumn="0" w:lastColumn="0" w:oddVBand="0" w:evenVBand="0" w:oddHBand="0" w:evenHBand="0" w:firstRowFirstColumn="0" w:firstRowLastColumn="0" w:lastRowFirstColumn="0" w:lastRowLastColumn="0"/>
              <w:rPr>
                <w:rFonts w:ascii="Calibri" w:hAnsi="Calibri"/>
              </w:rPr>
            </w:pPr>
            <w:r w:rsidRPr="002C1E2B">
              <w:rPr>
                <w:rFonts w:ascii="Calibri" w:hAnsi="Calibri"/>
              </w:rPr>
              <w:t>Power to relocate residents without consent</w:t>
            </w:r>
          </w:p>
        </w:tc>
      </w:tr>
      <w:tr w:rsidR="00EF1195" w:rsidRPr="002C1E2B" w14:paraId="2DAF9E53" w14:textId="77777777" w:rsidTr="007F5D69">
        <w:trPr>
          <w:trHeight w:val="567"/>
        </w:trPr>
        <w:tc>
          <w:tcPr>
            <w:cnfStyle w:val="001000000000" w:firstRow="0" w:lastRow="0" w:firstColumn="1" w:lastColumn="0" w:oddVBand="0" w:evenVBand="0" w:oddHBand="0" w:evenHBand="0" w:firstRowFirstColumn="0" w:firstRowLastColumn="0" w:lastRowFirstColumn="0" w:lastRowLastColumn="0"/>
            <w:tcW w:w="1250" w:type="dxa"/>
            <w:vMerge w:val="restart"/>
            <w:tcBorders>
              <w:left w:val="none" w:sz="0" w:space="0" w:color="auto"/>
              <w:bottom w:val="none" w:sz="0" w:space="0" w:color="auto"/>
              <w:right w:val="none" w:sz="0" w:space="0" w:color="auto"/>
              <w:tl2br w:val="none" w:sz="0" w:space="0" w:color="auto"/>
              <w:tr2bl w:val="none" w:sz="0" w:space="0" w:color="auto"/>
            </w:tcBorders>
            <w:vAlign w:val="center"/>
          </w:tcPr>
          <w:p w14:paraId="7E02E495" w14:textId="77777777" w:rsidR="00EF1195" w:rsidRPr="002C1E2B" w:rsidRDefault="00EF1195" w:rsidP="007F5D69">
            <w:pPr>
              <w:pStyle w:val="BodyText"/>
              <w:spacing w:before="60" w:after="60"/>
              <w:jc w:val="center"/>
              <w:rPr>
                <w:rFonts w:ascii="Calibri" w:hAnsi="Calibri" w:cs="Arial"/>
                <w:sz w:val="20"/>
                <w:szCs w:val="20"/>
              </w:rPr>
            </w:pPr>
            <w:r w:rsidRPr="002C1E2B">
              <w:rPr>
                <w:rFonts w:ascii="Calibri" w:hAnsi="Calibri" w:cs="Arial"/>
                <w:sz w:val="20"/>
                <w:szCs w:val="20"/>
              </w:rPr>
              <w:t>8C</w:t>
            </w:r>
          </w:p>
        </w:tc>
        <w:tc>
          <w:tcPr>
            <w:tcW w:w="1576" w:type="dxa"/>
            <w:vMerge w:val="restart"/>
            <w:vAlign w:val="center"/>
          </w:tcPr>
          <w:p w14:paraId="50082196" w14:textId="77777777" w:rsidR="00EF1195" w:rsidRPr="002C1E2B" w:rsidRDefault="00EF1195" w:rsidP="007F5D69">
            <w:pPr>
              <w:pStyle w:val="BodyText"/>
              <w:spacing w:before="60" w:after="60"/>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2C1E2B">
              <w:rPr>
                <w:rFonts w:ascii="Calibri" w:hAnsi="Calibri" w:cs="Arial"/>
                <w:sz w:val="20"/>
                <w:szCs w:val="20"/>
              </w:rPr>
              <w:t xml:space="preserve">Matters that </w:t>
            </w:r>
            <w:r w:rsidRPr="002C1E2B">
              <w:rPr>
                <w:rFonts w:ascii="Calibri" w:hAnsi="Calibri" w:cs="Arial"/>
                <w:b/>
                <w:sz w:val="20"/>
                <w:szCs w:val="20"/>
              </w:rPr>
              <w:t>must</w:t>
            </w:r>
            <w:r w:rsidRPr="002C1E2B">
              <w:rPr>
                <w:rFonts w:ascii="Calibri" w:hAnsi="Calibri" w:cs="Arial"/>
                <w:sz w:val="20"/>
                <w:szCs w:val="20"/>
              </w:rPr>
              <w:t xml:space="preserve"> be included</w:t>
            </w:r>
          </w:p>
        </w:tc>
        <w:tc>
          <w:tcPr>
            <w:tcW w:w="6695" w:type="dxa"/>
            <w:gridSpan w:val="2"/>
            <w:vAlign w:val="center"/>
          </w:tcPr>
          <w:p w14:paraId="62FD6243" w14:textId="77777777" w:rsidR="00EF1195" w:rsidRPr="002C1E2B" w:rsidRDefault="00EF1195" w:rsidP="007F5D69">
            <w:pPr>
              <w:pStyle w:val="TableBullet1"/>
              <w:numPr>
                <w:ilvl w:val="4"/>
                <w:numId w:val="14"/>
              </w:numPr>
              <w:spacing w:before="60" w:after="60"/>
              <w:cnfStyle w:val="000000000000" w:firstRow="0" w:lastRow="0" w:firstColumn="0" w:lastColumn="0" w:oddVBand="0" w:evenVBand="0" w:oddHBand="0" w:evenHBand="0" w:firstRowFirstColumn="0" w:firstRowLastColumn="0" w:lastRowFirstColumn="0" w:lastRowLastColumn="0"/>
              <w:rPr>
                <w:rFonts w:ascii="Calibri" w:hAnsi="Calibri"/>
              </w:rPr>
            </w:pPr>
            <w:r w:rsidRPr="002C1E2B">
              <w:rPr>
                <w:rFonts w:ascii="Calibri" w:hAnsi="Calibri"/>
              </w:rPr>
              <w:t>The date of contract, owner’s details, resident’s details and the duration of contract</w:t>
            </w:r>
          </w:p>
        </w:tc>
      </w:tr>
      <w:tr w:rsidR="00EF1195" w:rsidRPr="002C1E2B" w14:paraId="7C753D1A" w14:textId="77777777" w:rsidTr="007F5D69">
        <w:trPr>
          <w:trHeight w:val="566"/>
        </w:trPr>
        <w:tc>
          <w:tcPr>
            <w:cnfStyle w:val="001000000000" w:firstRow="0" w:lastRow="0" w:firstColumn="1" w:lastColumn="0" w:oddVBand="0" w:evenVBand="0" w:oddHBand="0" w:evenHBand="0" w:firstRowFirstColumn="0" w:firstRowLastColumn="0" w:lastRowFirstColumn="0" w:lastRowLastColumn="0"/>
            <w:tcW w:w="1250" w:type="dxa"/>
            <w:vMerge/>
            <w:tcBorders>
              <w:left w:val="none" w:sz="0" w:space="0" w:color="auto"/>
              <w:bottom w:val="single" w:sz="4" w:space="0" w:color="auto"/>
              <w:right w:val="none" w:sz="0" w:space="0" w:color="auto"/>
              <w:tl2br w:val="none" w:sz="0" w:space="0" w:color="auto"/>
              <w:tr2bl w:val="none" w:sz="0" w:space="0" w:color="auto"/>
            </w:tcBorders>
            <w:vAlign w:val="center"/>
          </w:tcPr>
          <w:p w14:paraId="4559A4E7" w14:textId="77777777" w:rsidR="00EF1195" w:rsidRPr="002C1E2B" w:rsidRDefault="00EF1195" w:rsidP="007F5D69">
            <w:pPr>
              <w:pStyle w:val="BodyText"/>
              <w:spacing w:before="60" w:after="60"/>
              <w:jc w:val="center"/>
              <w:rPr>
                <w:rFonts w:ascii="Calibri" w:hAnsi="Calibri" w:cs="Arial"/>
                <w:sz w:val="20"/>
                <w:szCs w:val="20"/>
              </w:rPr>
            </w:pPr>
          </w:p>
        </w:tc>
        <w:tc>
          <w:tcPr>
            <w:tcW w:w="1576" w:type="dxa"/>
            <w:vMerge/>
            <w:tcBorders>
              <w:bottom w:val="single" w:sz="4" w:space="0" w:color="auto"/>
            </w:tcBorders>
            <w:vAlign w:val="center"/>
          </w:tcPr>
          <w:p w14:paraId="1B180817" w14:textId="77777777" w:rsidR="00EF1195" w:rsidRPr="002C1E2B" w:rsidRDefault="00EF1195" w:rsidP="007F5D69">
            <w:pPr>
              <w:pStyle w:val="BodyText"/>
              <w:spacing w:before="60" w:after="60"/>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p>
        </w:tc>
        <w:tc>
          <w:tcPr>
            <w:tcW w:w="3375" w:type="dxa"/>
            <w:tcBorders>
              <w:bottom w:val="single" w:sz="4" w:space="0" w:color="auto"/>
            </w:tcBorders>
            <w:vAlign w:val="center"/>
          </w:tcPr>
          <w:p w14:paraId="03FB097D" w14:textId="77777777" w:rsidR="00EF1195" w:rsidRPr="002C1E2B" w:rsidRDefault="00EF1195" w:rsidP="007F5D69">
            <w:pPr>
              <w:pStyle w:val="TableBullet1"/>
              <w:numPr>
                <w:ilvl w:val="4"/>
                <w:numId w:val="14"/>
              </w:numPr>
              <w:spacing w:before="60" w:after="60"/>
              <w:cnfStyle w:val="000000000000" w:firstRow="0" w:lastRow="0" w:firstColumn="0" w:lastColumn="0" w:oddVBand="0" w:evenVBand="0" w:oddHBand="0" w:evenHBand="0" w:firstRowFirstColumn="0" w:firstRowLastColumn="0" w:lastRowFirstColumn="0" w:lastRowLastColumn="0"/>
              <w:rPr>
                <w:rFonts w:ascii="Calibri" w:hAnsi="Calibri"/>
              </w:rPr>
            </w:pPr>
            <w:r w:rsidRPr="002C1E2B">
              <w:rPr>
                <w:rFonts w:ascii="Calibri" w:hAnsi="Calibri"/>
              </w:rPr>
              <w:t>The assets provided by the owner as part of the leasehold agreement (e.g. furnishings, fittings)</w:t>
            </w:r>
          </w:p>
          <w:p w14:paraId="50A7BD8D" w14:textId="77777777" w:rsidR="00EF1195" w:rsidRPr="002C1E2B" w:rsidRDefault="00EF1195" w:rsidP="007F5D69">
            <w:pPr>
              <w:pStyle w:val="TableBullet1"/>
              <w:numPr>
                <w:ilvl w:val="4"/>
                <w:numId w:val="14"/>
              </w:numPr>
              <w:spacing w:before="60" w:after="60"/>
              <w:cnfStyle w:val="000000000000" w:firstRow="0" w:lastRow="0" w:firstColumn="0" w:lastColumn="0" w:oddVBand="0" w:evenVBand="0" w:oddHBand="0" w:evenHBand="0" w:firstRowFirstColumn="0" w:firstRowLastColumn="0" w:lastRowFirstColumn="0" w:lastRowLastColumn="0"/>
              <w:rPr>
                <w:rFonts w:ascii="Calibri" w:hAnsi="Calibri"/>
              </w:rPr>
            </w:pPr>
            <w:r w:rsidRPr="002C1E2B">
              <w:rPr>
                <w:rFonts w:ascii="Calibri" w:hAnsi="Calibri"/>
              </w:rPr>
              <w:t>Any restrictions imposed on the resident when living at the village (e.g. restrictions on pets, parking entitlements)</w:t>
            </w:r>
          </w:p>
          <w:p w14:paraId="4E1FAC74" w14:textId="77777777" w:rsidR="00EF1195" w:rsidRPr="002C1E2B" w:rsidRDefault="00EF1195" w:rsidP="007F5D69">
            <w:pPr>
              <w:pStyle w:val="TableBullet1"/>
              <w:numPr>
                <w:ilvl w:val="4"/>
                <w:numId w:val="14"/>
              </w:numPr>
              <w:spacing w:before="60" w:after="60"/>
              <w:cnfStyle w:val="000000000000" w:firstRow="0" w:lastRow="0" w:firstColumn="0" w:lastColumn="0" w:oddVBand="0" w:evenVBand="0" w:oddHBand="0" w:evenHBand="0" w:firstRowFirstColumn="0" w:firstRowLastColumn="0" w:lastRowFirstColumn="0" w:lastRowLastColumn="0"/>
              <w:rPr>
                <w:rFonts w:ascii="Calibri" w:hAnsi="Calibri"/>
              </w:rPr>
            </w:pPr>
            <w:r w:rsidRPr="002C1E2B">
              <w:rPr>
                <w:rFonts w:ascii="Calibri" w:hAnsi="Calibri"/>
              </w:rPr>
              <w:lastRenderedPageBreak/>
              <w:t xml:space="preserve">Specify the costs and charges payable by the resident during and after leaving the village, and the method for calculating these costs (e.g. refund of in-going contribution, ongoing charges, </w:t>
            </w:r>
            <w:proofErr w:type="gramStart"/>
            <w:r w:rsidRPr="002C1E2B">
              <w:rPr>
                <w:rFonts w:ascii="Calibri" w:hAnsi="Calibri"/>
              </w:rPr>
              <w:t>reinstatement</w:t>
            </w:r>
            <w:proofErr w:type="gramEnd"/>
            <w:r w:rsidRPr="002C1E2B">
              <w:rPr>
                <w:rFonts w:ascii="Calibri" w:hAnsi="Calibri"/>
              </w:rPr>
              <w:t xml:space="preserve"> costs).</w:t>
            </w:r>
          </w:p>
          <w:p w14:paraId="3027BD00" w14:textId="77777777" w:rsidR="00EF1195" w:rsidRPr="002C1E2B" w:rsidRDefault="00EF1195" w:rsidP="007F5D69">
            <w:pPr>
              <w:pStyle w:val="TableBullet1"/>
              <w:numPr>
                <w:ilvl w:val="4"/>
                <w:numId w:val="14"/>
              </w:numPr>
              <w:spacing w:before="60" w:after="60"/>
              <w:cnfStyle w:val="000000000000" w:firstRow="0" w:lastRow="0" w:firstColumn="0" w:lastColumn="0" w:oddVBand="0" w:evenVBand="0" w:oddHBand="0" w:evenHBand="0" w:firstRowFirstColumn="0" w:firstRowLastColumn="0" w:lastRowFirstColumn="0" w:lastRowLastColumn="0"/>
              <w:rPr>
                <w:rFonts w:ascii="Calibri" w:hAnsi="Calibri"/>
              </w:rPr>
            </w:pPr>
            <w:r w:rsidRPr="002C1E2B">
              <w:rPr>
                <w:rFonts w:ascii="Calibri" w:hAnsi="Calibri"/>
              </w:rPr>
              <w:t>The rights of the resident to terminate the contract.</w:t>
            </w:r>
          </w:p>
        </w:tc>
        <w:tc>
          <w:tcPr>
            <w:tcW w:w="3320" w:type="dxa"/>
            <w:tcBorders>
              <w:bottom w:val="single" w:sz="4" w:space="0" w:color="auto"/>
            </w:tcBorders>
            <w:vAlign w:val="center"/>
          </w:tcPr>
          <w:p w14:paraId="7F8A8130" w14:textId="77777777" w:rsidR="00EF1195" w:rsidRPr="002C1E2B" w:rsidRDefault="00EF1195" w:rsidP="007F5D69">
            <w:pPr>
              <w:pStyle w:val="TableBullet1"/>
              <w:numPr>
                <w:ilvl w:val="4"/>
                <w:numId w:val="14"/>
              </w:numPr>
              <w:spacing w:before="60" w:after="0"/>
              <w:cnfStyle w:val="000000000000" w:firstRow="0" w:lastRow="0" w:firstColumn="0" w:lastColumn="0" w:oddVBand="0" w:evenVBand="0" w:oddHBand="0" w:evenHBand="0" w:firstRowFirstColumn="0" w:firstRowLastColumn="0" w:lastRowFirstColumn="0" w:lastRowLastColumn="0"/>
              <w:rPr>
                <w:rFonts w:ascii="Calibri" w:hAnsi="Calibri"/>
              </w:rPr>
            </w:pPr>
            <w:r w:rsidRPr="002C1E2B">
              <w:rPr>
                <w:rFonts w:ascii="Calibri" w:hAnsi="Calibri"/>
              </w:rPr>
              <w:lastRenderedPageBreak/>
              <w:t>The details of the service to be provided to the resident</w:t>
            </w:r>
          </w:p>
          <w:p w14:paraId="7F8B069E" w14:textId="77777777" w:rsidR="00EF1195" w:rsidRPr="002C1E2B" w:rsidRDefault="00EF1195" w:rsidP="007F5D69">
            <w:pPr>
              <w:pStyle w:val="TableBullet1"/>
              <w:numPr>
                <w:ilvl w:val="4"/>
                <w:numId w:val="14"/>
              </w:numPr>
              <w:spacing w:before="60" w:after="0"/>
              <w:cnfStyle w:val="000000000000" w:firstRow="0" w:lastRow="0" w:firstColumn="0" w:lastColumn="0" w:oddVBand="0" w:evenVBand="0" w:oddHBand="0" w:evenHBand="0" w:firstRowFirstColumn="0" w:firstRowLastColumn="0" w:lastRowFirstColumn="0" w:lastRowLastColumn="0"/>
              <w:rPr>
                <w:rFonts w:ascii="Calibri" w:hAnsi="Calibri"/>
              </w:rPr>
            </w:pPr>
            <w:r w:rsidRPr="002C1E2B">
              <w:rPr>
                <w:rFonts w:ascii="Calibri" w:hAnsi="Calibri"/>
              </w:rPr>
              <w:t>The matters for which maintenance charges may be used</w:t>
            </w:r>
          </w:p>
          <w:p w14:paraId="1389E917" w14:textId="77777777" w:rsidR="00EF1195" w:rsidRPr="002C1E2B" w:rsidRDefault="00EF1195" w:rsidP="007F5D69">
            <w:pPr>
              <w:pStyle w:val="TableBullet1"/>
              <w:numPr>
                <w:ilvl w:val="4"/>
                <w:numId w:val="14"/>
              </w:numPr>
              <w:spacing w:before="60" w:after="0"/>
              <w:cnfStyle w:val="000000000000" w:firstRow="0" w:lastRow="0" w:firstColumn="0" w:lastColumn="0" w:oddVBand="0" w:evenVBand="0" w:oddHBand="0" w:evenHBand="0" w:firstRowFirstColumn="0" w:firstRowLastColumn="0" w:lastRowFirstColumn="0" w:lastRowLastColumn="0"/>
              <w:rPr>
                <w:rFonts w:ascii="Calibri" w:hAnsi="Calibri"/>
              </w:rPr>
            </w:pPr>
            <w:r w:rsidRPr="002C1E2B">
              <w:rPr>
                <w:rFonts w:ascii="Calibri" w:hAnsi="Calibri"/>
              </w:rPr>
              <w:t>Any legal costs payable by the resident to the manager</w:t>
            </w:r>
          </w:p>
          <w:p w14:paraId="2CBFDD6A" w14:textId="77777777" w:rsidR="00EF1195" w:rsidRPr="002C1E2B" w:rsidRDefault="00EF1195" w:rsidP="007F5D69">
            <w:pPr>
              <w:pStyle w:val="TableBullet1"/>
              <w:numPr>
                <w:ilvl w:val="4"/>
                <w:numId w:val="14"/>
              </w:numPr>
              <w:spacing w:before="60" w:after="0"/>
              <w:cnfStyle w:val="000000000000" w:firstRow="0" w:lastRow="0" w:firstColumn="0" w:lastColumn="0" w:oddVBand="0" w:evenVBand="0" w:oddHBand="0" w:evenHBand="0" w:firstRowFirstColumn="0" w:firstRowLastColumn="0" w:lastRowFirstColumn="0" w:lastRowLastColumn="0"/>
              <w:rPr>
                <w:rFonts w:ascii="Calibri" w:hAnsi="Calibri"/>
              </w:rPr>
            </w:pPr>
            <w:r w:rsidRPr="002C1E2B">
              <w:rPr>
                <w:rFonts w:ascii="Calibri" w:hAnsi="Calibri"/>
              </w:rPr>
              <w:lastRenderedPageBreak/>
              <w:t>Details of insurance policies taken out by the manager for the resident</w:t>
            </w:r>
          </w:p>
          <w:p w14:paraId="579DFEFA" w14:textId="77777777" w:rsidR="00EF1195" w:rsidRPr="002C1E2B" w:rsidRDefault="00EF1195" w:rsidP="007F5D69">
            <w:pPr>
              <w:pStyle w:val="TableBullet1"/>
              <w:numPr>
                <w:ilvl w:val="4"/>
                <w:numId w:val="14"/>
              </w:numPr>
              <w:spacing w:before="60" w:after="0"/>
              <w:cnfStyle w:val="000000000000" w:firstRow="0" w:lastRow="0" w:firstColumn="0" w:lastColumn="0" w:oddVBand="0" w:evenVBand="0" w:oddHBand="0" w:evenHBand="0" w:firstRowFirstColumn="0" w:firstRowLastColumn="0" w:lastRowFirstColumn="0" w:lastRowLastColumn="0"/>
              <w:rPr>
                <w:rFonts w:ascii="Calibri" w:hAnsi="Calibri"/>
              </w:rPr>
            </w:pPr>
            <w:r w:rsidRPr="002C1E2B">
              <w:rPr>
                <w:rFonts w:ascii="Calibri" w:hAnsi="Calibri"/>
              </w:rPr>
              <w:t>The rights and method for the resident to exit this contract</w:t>
            </w:r>
          </w:p>
          <w:p w14:paraId="634BA3FF" w14:textId="77777777" w:rsidR="00EF1195" w:rsidRPr="002C1E2B" w:rsidRDefault="00EF1195" w:rsidP="007F5D69">
            <w:pPr>
              <w:pStyle w:val="TableBullet1"/>
              <w:numPr>
                <w:ilvl w:val="4"/>
                <w:numId w:val="14"/>
              </w:numPr>
              <w:spacing w:before="60" w:after="0"/>
              <w:cnfStyle w:val="000000000000" w:firstRow="0" w:lastRow="0" w:firstColumn="0" w:lastColumn="0" w:oddVBand="0" w:evenVBand="0" w:oddHBand="0" w:evenHBand="0" w:firstRowFirstColumn="0" w:firstRowLastColumn="0" w:lastRowFirstColumn="0" w:lastRowLastColumn="0"/>
              <w:rPr>
                <w:rFonts w:ascii="Calibri" w:hAnsi="Calibri"/>
              </w:rPr>
            </w:pPr>
            <w:r w:rsidRPr="002C1E2B">
              <w:rPr>
                <w:rFonts w:ascii="Calibri" w:hAnsi="Calibri"/>
              </w:rPr>
              <w:t>The dispute resolution procedures under the RV Act</w:t>
            </w:r>
          </w:p>
          <w:p w14:paraId="67DF4C0B" w14:textId="77777777" w:rsidR="00EF1195" w:rsidRPr="002C1E2B" w:rsidRDefault="00EF1195" w:rsidP="007F5D69">
            <w:pPr>
              <w:pStyle w:val="TableBullet1"/>
              <w:numPr>
                <w:ilvl w:val="4"/>
                <w:numId w:val="14"/>
              </w:numPr>
              <w:spacing w:before="60" w:after="0"/>
              <w:cnfStyle w:val="000000000000" w:firstRow="0" w:lastRow="0" w:firstColumn="0" w:lastColumn="0" w:oddVBand="0" w:evenVBand="0" w:oddHBand="0" w:evenHBand="0" w:firstRowFirstColumn="0" w:firstRowLastColumn="0" w:lastRowFirstColumn="0" w:lastRowLastColumn="0"/>
              <w:rPr>
                <w:rFonts w:ascii="Calibri" w:hAnsi="Calibri"/>
              </w:rPr>
            </w:pPr>
            <w:r w:rsidRPr="002C1E2B">
              <w:rPr>
                <w:rFonts w:ascii="Calibri" w:hAnsi="Calibri"/>
              </w:rPr>
              <w:t>The process for consulting with residents on proposals to change services provided by the manager.</w:t>
            </w:r>
          </w:p>
        </w:tc>
      </w:tr>
      <w:tr w:rsidR="00EF1195" w:rsidRPr="002C1E2B" w14:paraId="4ED8AA3E" w14:textId="77777777" w:rsidTr="007F5D69">
        <w:tc>
          <w:tcPr>
            <w:cnfStyle w:val="001000000000" w:firstRow="0" w:lastRow="0" w:firstColumn="1" w:lastColumn="0" w:oddVBand="0" w:evenVBand="0" w:oddHBand="0" w:evenHBand="0" w:firstRowFirstColumn="0" w:firstRowLastColumn="0" w:lastRowFirstColumn="0" w:lastRowLastColumn="0"/>
            <w:tcW w:w="1250" w:type="dxa"/>
            <w:tcBorders>
              <w:left w:val="single" w:sz="4" w:space="0" w:color="auto"/>
              <w:bottom w:val="single" w:sz="4" w:space="0" w:color="auto"/>
            </w:tcBorders>
            <w:vAlign w:val="center"/>
          </w:tcPr>
          <w:p w14:paraId="38B5F8FE" w14:textId="77777777" w:rsidR="00EF1195" w:rsidRPr="002C1E2B" w:rsidRDefault="00EF1195" w:rsidP="007F5D69">
            <w:pPr>
              <w:pStyle w:val="BodyText"/>
              <w:spacing w:before="60" w:after="60"/>
              <w:jc w:val="center"/>
              <w:rPr>
                <w:rFonts w:ascii="Calibri" w:hAnsi="Calibri" w:cs="Arial"/>
                <w:sz w:val="20"/>
                <w:szCs w:val="20"/>
              </w:rPr>
            </w:pPr>
            <w:r w:rsidRPr="002C1E2B">
              <w:rPr>
                <w:rFonts w:ascii="Calibri" w:hAnsi="Calibri" w:cs="Arial"/>
                <w:sz w:val="20"/>
                <w:szCs w:val="20"/>
              </w:rPr>
              <w:lastRenderedPageBreak/>
              <w:t>8D</w:t>
            </w:r>
          </w:p>
        </w:tc>
        <w:tc>
          <w:tcPr>
            <w:tcW w:w="1576" w:type="dxa"/>
            <w:tcBorders>
              <w:bottom w:val="single" w:sz="4" w:space="0" w:color="auto"/>
            </w:tcBorders>
            <w:vAlign w:val="center"/>
          </w:tcPr>
          <w:p w14:paraId="381E0D5A" w14:textId="516FEC8B" w:rsidR="00EF1195" w:rsidRPr="002C1E2B" w:rsidRDefault="00EF1195" w:rsidP="007F5D69">
            <w:pPr>
              <w:pStyle w:val="BodyText"/>
              <w:spacing w:before="60" w:after="60"/>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2C1E2B">
              <w:rPr>
                <w:rFonts w:ascii="Calibri" w:hAnsi="Calibri" w:cs="Arial"/>
                <w:sz w:val="20"/>
                <w:szCs w:val="20"/>
              </w:rPr>
              <w:t>Matters that may</w:t>
            </w:r>
            <w:r w:rsidR="00AE22B6">
              <w:rPr>
                <w:rFonts w:ascii="Calibri" w:hAnsi="Calibri" w:cs="Arial"/>
                <w:sz w:val="20"/>
                <w:szCs w:val="20"/>
              </w:rPr>
              <w:t xml:space="preserve"> </w:t>
            </w:r>
            <w:r w:rsidRPr="002C1E2B">
              <w:rPr>
                <w:rFonts w:ascii="Calibri" w:hAnsi="Calibri" w:cs="Arial"/>
                <w:sz w:val="20"/>
                <w:szCs w:val="20"/>
              </w:rPr>
              <w:t>be included</w:t>
            </w:r>
          </w:p>
        </w:tc>
        <w:tc>
          <w:tcPr>
            <w:tcW w:w="6695" w:type="dxa"/>
            <w:gridSpan w:val="2"/>
            <w:tcBorders>
              <w:bottom w:val="single" w:sz="4" w:space="0" w:color="auto"/>
            </w:tcBorders>
          </w:tcPr>
          <w:p w14:paraId="73F310CE" w14:textId="77777777" w:rsidR="00EF1195" w:rsidRPr="002C1E2B" w:rsidRDefault="00EF1195" w:rsidP="007F5D69">
            <w:pPr>
              <w:pStyle w:val="BodyText"/>
              <w:spacing w:before="60" w:after="60"/>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2C1E2B">
              <w:rPr>
                <w:rFonts w:ascii="Calibri" w:hAnsi="Calibri" w:cs="Arial"/>
                <w:sz w:val="20"/>
                <w:szCs w:val="20"/>
              </w:rPr>
              <w:t>Without limiting the matters that may be included a residence or management contract, they may include a warning that the resident should take out a house contents insurance policy or a public liability insurance policy.</w:t>
            </w:r>
          </w:p>
        </w:tc>
      </w:tr>
      <w:tr w:rsidR="00EF1195" w:rsidRPr="002C1E2B" w14:paraId="0B07A438" w14:textId="77777777" w:rsidTr="007F5D69">
        <w:tc>
          <w:tcPr>
            <w:cnfStyle w:val="001000000000" w:firstRow="0" w:lastRow="0" w:firstColumn="1" w:lastColumn="0" w:oddVBand="0" w:evenVBand="0" w:oddHBand="0" w:evenHBand="0" w:firstRowFirstColumn="0" w:firstRowLastColumn="0" w:lastRowFirstColumn="0" w:lastRowLastColumn="0"/>
            <w:tcW w:w="1250" w:type="dxa"/>
            <w:tcBorders>
              <w:left w:val="single" w:sz="4" w:space="0" w:color="auto"/>
              <w:bottom w:val="single" w:sz="4" w:space="0" w:color="auto"/>
            </w:tcBorders>
            <w:vAlign w:val="center"/>
          </w:tcPr>
          <w:p w14:paraId="6907ECA7" w14:textId="77777777" w:rsidR="00EF1195" w:rsidRPr="002C1E2B" w:rsidRDefault="00EF1195" w:rsidP="007F5D69">
            <w:pPr>
              <w:pStyle w:val="BodyText"/>
              <w:spacing w:before="60" w:after="60"/>
              <w:jc w:val="center"/>
              <w:rPr>
                <w:rFonts w:ascii="Calibri" w:hAnsi="Calibri" w:cs="Arial"/>
                <w:sz w:val="20"/>
                <w:szCs w:val="20"/>
              </w:rPr>
            </w:pPr>
            <w:r w:rsidRPr="002C1E2B">
              <w:rPr>
                <w:rFonts w:ascii="Calibri" w:hAnsi="Calibri" w:cs="Arial"/>
                <w:sz w:val="20"/>
                <w:szCs w:val="20"/>
              </w:rPr>
              <w:t>8E</w:t>
            </w:r>
          </w:p>
        </w:tc>
        <w:tc>
          <w:tcPr>
            <w:tcW w:w="1576" w:type="dxa"/>
            <w:tcBorders>
              <w:bottom w:val="single" w:sz="4" w:space="0" w:color="auto"/>
            </w:tcBorders>
            <w:vAlign w:val="center"/>
          </w:tcPr>
          <w:p w14:paraId="700EC497" w14:textId="77777777" w:rsidR="00EF1195" w:rsidRPr="002C1E2B" w:rsidRDefault="00EF1195" w:rsidP="007F5D69">
            <w:pPr>
              <w:pStyle w:val="BodyText"/>
              <w:spacing w:before="60" w:after="60"/>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2C1E2B">
              <w:rPr>
                <w:rFonts w:ascii="Calibri" w:hAnsi="Calibri" w:cs="Arial"/>
                <w:sz w:val="20"/>
                <w:szCs w:val="20"/>
              </w:rPr>
              <w:t>Prescribed terms</w:t>
            </w:r>
          </w:p>
        </w:tc>
        <w:tc>
          <w:tcPr>
            <w:tcW w:w="6695" w:type="dxa"/>
            <w:gridSpan w:val="2"/>
            <w:tcBorders>
              <w:bottom w:val="single" w:sz="4" w:space="0" w:color="auto"/>
            </w:tcBorders>
            <w:vAlign w:val="center"/>
          </w:tcPr>
          <w:p w14:paraId="0198D3B7" w14:textId="77777777" w:rsidR="00EF1195" w:rsidRPr="002C1E2B" w:rsidRDefault="00EF1195" w:rsidP="007F5D69">
            <w:pPr>
              <w:pStyle w:val="TableBullet1"/>
              <w:numPr>
                <w:ilvl w:val="4"/>
                <w:numId w:val="14"/>
              </w:numPr>
              <w:spacing w:before="60" w:after="60"/>
              <w:cnfStyle w:val="000000000000" w:firstRow="0" w:lastRow="0" w:firstColumn="0" w:lastColumn="0" w:oddVBand="0" w:evenVBand="0" w:oddHBand="0" w:evenHBand="0" w:firstRowFirstColumn="0" w:firstRowLastColumn="0" w:lastRowFirstColumn="0" w:lastRowLastColumn="0"/>
              <w:rPr>
                <w:rFonts w:ascii="Calibri" w:hAnsi="Calibri"/>
              </w:rPr>
            </w:pPr>
            <w:r w:rsidRPr="002C1E2B">
              <w:rPr>
                <w:rFonts w:ascii="Calibri" w:hAnsi="Calibri"/>
              </w:rPr>
              <w:t>The primacy of the RV Act</w:t>
            </w:r>
          </w:p>
          <w:p w14:paraId="5EFEB486" w14:textId="77777777" w:rsidR="00EF1195" w:rsidRPr="002C1E2B" w:rsidRDefault="00EF1195" w:rsidP="007F5D69">
            <w:pPr>
              <w:pStyle w:val="TableBullet1"/>
              <w:numPr>
                <w:ilvl w:val="4"/>
                <w:numId w:val="14"/>
              </w:numPr>
              <w:spacing w:before="60" w:after="60"/>
              <w:cnfStyle w:val="000000000000" w:firstRow="0" w:lastRow="0" w:firstColumn="0" w:lastColumn="0" w:oddVBand="0" w:evenVBand="0" w:oddHBand="0" w:evenHBand="0" w:firstRowFirstColumn="0" w:firstRowLastColumn="0" w:lastRowFirstColumn="0" w:lastRowLastColumn="0"/>
              <w:rPr>
                <w:rFonts w:ascii="Calibri" w:hAnsi="Calibri"/>
              </w:rPr>
            </w:pPr>
            <w:r w:rsidRPr="002C1E2B">
              <w:rPr>
                <w:rFonts w:ascii="Calibri" w:hAnsi="Calibri"/>
              </w:rPr>
              <w:t>The basic obligations of the owner or manager, and resident</w:t>
            </w:r>
          </w:p>
          <w:p w14:paraId="6C60567D" w14:textId="77777777" w:rsidR="00EF1195" w:rsidRPr="002C1E2B" w:rsidRDefault="00EF1195" w:rsidP="007F5D69">
            <w:pPr>
              <w:pStyle w:val="TableBullet1"/>
              <w:numPr>
                <w:ilvl w:val="4"/>
                <w:numId w:val="14"/>
              </w:numPr>
              <w:spacing w:before="60" w:after="60"/>
              <w:cnfStyle w:val="000000000000" w:firstRow="0" w:lastRow="0" w:firstColumn="0" w:lastColumn="0" w:oddVBand="0" w:evenVBand="0" w:oddHBand="0" w:evenHBand="0" w:firstRowFirstColumn="0" w:firstRowLastColumn="0" w:lastRowFirstColumn="0" w:lastRowLastColumn="0"/>
              <w:rPr>
                <w:rFonts w:ascii="Calibri" w:hAnsi="Calibri"/>
              </w:rPr>
            </w:pPr>
            <w:r w:rsidRPr="002C1E2B">
              <w:rPr>
                <w:rFonts w:ascii="Calibri" w:hAnsi="Calibri"/>
              </w:rPr>
              <w:t>The basic rights of the resident</w:t>
            </w:r>
          </w:p>
          <w:p w14:paraId="46E2EE99" w14:textId="77777777" w:rsidR="00EF1195" w:rsidRPr="002C1E2B" w:rsidRDefault="00EF1195" w:rsidP="007F5D69">
            <w:pPr>
              <w:pStyle w:val="TableBullet1"/>
              <w:numPr>
                <w:ilvl w:val="4"/>
                <w:numId w:val="14"/>
              </w:numPr>
              <w:spacing w:before="60" w:after="60"/>
              <w:cnfStyle w:val="000000000000" w:firstRow="0" w:lastRow="0" w:firstColumn="0" w:lastColumn="0" w:oddVBand="0" w:evenVBand="0" w:oddHBand="0" w:evenHBand="0" w:firstRowFirstColumn="0" w:firstRowLastColumn="0" w:lastRowFirstColumn="0" w:lastRowLastColumn="0"/>
              <w:rPr>
                <w:rFonts w:ascii="Calibri" w:hAnsi="Calibri"/>
              </w:rPr>
            </w:pPr>
            <w:r w:rsidRPr="002C1E2B">
              <w:rPr>
                <w:rFonts w:ascii="Calibri" w:hAnsi="Calibri"/>
              </w:rPr>
              <w:t>General terms requiring the owner, the manager and the resident to deal with each other in good faith</w:t>
            </w:r>
          </w:p>
          <w:p w14:paraId="0AE840B9" w14:textId="77777777" w:rsidR="00EF1195" w:rsidRPr="002C1E2B" w:rsidRDefault="00EF1195" w:rsidP="007F5D69">
            <w:pPr>
              <w:pStyle w:val="TableBullet1"/>
              <w:numPr>
                <w:ilvl w:val="4"/>
                <w:numId w:val="14"/>
              </w:numPr>
              <w:spacing w:before="60" w:after="60"/>
              <w:cnfStyle w:val="000000000000" w:firstRow="0" w:lastRow="0" w:firstColumn="0" w:lastColumn="0" w:oddVBand="0" w:evenVBand="0" w:oddHBand="0" w:evenHBand="0" w:firstRowFirstColumn="0" w:firstRowLastColumn="0" w:lastRowFirstColumn="0" w:lastRowLastColumn="0"/>
              <w:rPr>
                <w:rFonts w:ascii="Calibri" w:hAnsi="Calibri"/>
              </w:rPr>
            </w:pPr>
            <w:r w:rsidRPr="002C1E2B">
              <w:rPr>
                <w:rFonts w:ascii="Calibri" w:hAnsi="Calibri"/>
              </w:rPr>
              <w:t>The precedence of the prescribed terms of the Retirement Villages Act over any inconsistent contract terms or village by</w:t>
            </w:r>
            <w:r w:rsidRPr="002C1E2B">
              <w:rPr>
                <w:rFonts w:ascii="Calibri" w:hAnsi="Calibri" w:cs="Cambria Math"/>
              </w:rPr>
              <w:t>‐</w:t>
            </w:r>
            <w:r w:rsidRPr="002C1E2B">
              <w:rPr>
                <w:rFonts w:ascii="Calibri" w:hAnsi="Calibri"/>
              </w:rPr>
              <w:t>laws.</w:t>
            </w:r>
          </w:p>
        </w:tc>
      </w:tr>
      <w:tr w:rsidR="00EF1195" w:rsidRPr="002C1E2B" w14:paraId="50679754" w14:textId="77777777" w:rsidTr="007F5D69">
        <w:tc>
          <w:tcPr>
            <w:cnfStyle w:val="001000000000" w:firstRow="0" w:lastRow="0" w:firstColumn="1" w:lastColumn="0" w:oddVBand="0" w:evenVBand="0" w:oddHBand="0" w:evenHBand="0" w:firstRowFirstColumn="0" w:firstRowLastColumn="0" w:lastRowFirstColumn="0" w:lastRowLastColumn="0"/>
            <w:tcW w:w="1250" w:type="dxa"/>
            <w:tcBorders>
              <w:left w:val="single" w:sz="4" w:space="0" w:color="auto"/>
              <w:bottom w:val="single" w:sz="4" w:space="0" w:color="auto"/>
            </w:tcBorders>
            <w:vAlign w:val="center"/>
          </w:tcPr>
          <w:p w14:paraId="3F33B5DC" w14:textId="77777777" w:rsidR="00EF1195" w:rsidRPr="002C1E2B" w:rsidRDefault="00EF1195" w:rsidP="007F5D69">
            <w:pPr>
              <w:pStyle w:val="BodyText"/>
              <w:spacing w:before="60" w:after="60"/>
              <w:jc w:val="center"/>
              <w:rPr>
                <w:rFonts w:ascii="Calibri" w:hAnsi="Calibri" w:cs="Arial"/>
                <w:sz w:val="20"/>
                <w:szCs w:val="20"/>
              </w:rPr>
            </w:pPr>
            <w:r w:rsidRPr="002C1E2B">
              <w:rPr>
                <w:rFonts w:ascii="Calibri" w:hAnsi="Calibri" w:cs="Arial"/>
                <w:sz w:val="20"/>
                <w:szCs w:val="20"/>
              </w:rPr>
              <w:t>8F</w:t>
            </w:r>
          </w:p>
        </w:tc>
        <w:tc>
          <w:tcPr>
            <w:tcW w:w="1576" w:type="dxa"/>
            <w:tcBorders>
              <w:bottom w:val="single" w:sz="4" w:space="0" w:color="auto"/>
            </w:tcBorders>
            <w:vAlign w:val="center"/>
          </w:tcPr>
          <w:p w14:paraId="3DD497A2" w14:textId="77777777" w:rsidR="00EF1195" w:rsidRPr="002C1E2B" w:rsidRDefault="00EF1195" w:rsidP="007F5D69">
            <w:pPr>
              <w:pStyle w:val="BodyText"/>
              <w:spacing w:before="60" w:after="60"/>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2C1E2B">
              <w:rPr>
                <w:rFonts w:ascii="Calibri" w:hAnsi="Calibri" w:cs="Arial"/>
                <w:sz w:val="20"/>
                <w:szCs w:val="20"/>
              </w:rPr>
              <w:t>Layout of contracts</w:t>
            </w:r>
          </w:p>
        </w:tc>
        <w:tc>
          <w:tcPr>
            <w:tcW w:w="6695" w:type="dxa"/>
            <w:gridSpan w:val="2"/>
            <w:tcBorders>
              <w:bottom w:val="single" w:sz="4" w:space="0" w:color="auto"/>
            </w:tcBorders>
            <w:vAlign w:val="center"/>
          </w:tcPr>
          <w:p w14:paraId="1FC9EC1C" w14:textId="77777777" w:rsidR="00EF1195" w:rsidRPr="002C1E2B" w:rsidRDefault="00EF1195" w:rsidP="007F5D69">
            <w:pPr>
              <w:pStyle w:val="TableBullet1"/>
              <w:numPr>
                <w:ilvl w:val="4"/>
                <w:numId w:val="14"/>
              </w:numPr>
              <w:spacing w:before="60" w:after="60"/>
              <w:cnfStyle w:val="000000000000" w:firstRow="0" w:lastRow="0" w:firstColumn="0" w:lastColumn="0" w:oddVBand="0" w:evenVBand="0" w:oddHBand="0" w:evenHBand="0" w:firstRowFirstColumn="0" w:firstRowLastColumn="0" w:lastRowFirstColumn="0" w:lastRowLastColumn="0"/>
              <w:rPr>
                <w:rFonts w:ascii="Calibri" w:hAnsi="Calibri"/>
              </w:rPr>
            </w:pPr>
            <w:r w:rsidRPr="002C1E2B">
              <w:rPr>
                <w:rFonts w:ascii="Calibri" w:hAnsi="Calibri"/>
              </w:rPr>
              <w:t>Introductory maters – dates, details of the owner and resident, address, term, resident’s entitlements at the village (e.g. parking)</w:t>
            </w:r>
          </w:p>
          <w:p w14:paraId="2073A1E0" w14:textId="77777777" w:rsidR="00EF1195" w:rsidRPr="002C1E2B" w:rsidRDefault="00EF1195" w:rsidP="007F5D69">
            <w:pPr>
              <w:pStyle w:val="TableBullet1"/>
              <w:numPr>
                <w:ilvl w:val="4"/>
                <w:numId w:val="14"/>
              </w:numPr>
              <w:spacing w:before="60" w:after="60"/>
              <w:cnfStyle w:val="000000000000" w:firstRow="0" w:lastRow="0" w:firstColumn="0" w:lastColumn="0" w:oddVBand="0" w:evenVBand="0" w:oddHBand="0" w:evenHBand="0" w:firstRowFirstColumn="0" w:firstRowLastColumn="0" w:lastRowFirstColumn="0" w:lastRowLastColumn="0"/>
              <w:rPr>
                <w:rFonts w:ascii="Calibri" w:hAnsi="Calibri"/>
              </w:rPr>
            </w:pPr>
            <w:r w:rsidRPr="002C1E2B">
              <w:rPr>
                <w:rFonts w:ascii="Calibri" w:hAnsi="Calibri"/>
              </w:rPr>
              <w:t>Cooling-off notice (if applicable)</w:t>
            </w:r>
          </w:p>
          <w:p w14:paraId="0F15CE98" w14:textId="77777777" w:rsidR="00EF1195" w:rsidRPr="002C1E2B" w:rsidRDefault="00EF1195" w:rsidP="007F5D69">
            <w:pPr>
              <w:pStyle w:val="TableBullet1"/>
              <w:numPr>
                <w:ilvl w:val="4"/>
                <w:numId w:val="14"/>
              </w:numPr>
              <w:spacing w:before="60" w:after="60"/>
              <w:cnfStyle w:val="000000000000" w:firstRow="0" w:lastRow="0" w:firstColumn="0" w:lastColumn="0" w:oddVBand="0" w:evenVBand="0" w:oddHBand="0" w:evenHBand="0" w:firstRowFirstColumn="0" w:firstRowLastColumn="0" w:lastRowFirstColumn="0" w:lastRowLastColumn="0"/>
              <w:rPr>
                <w:rFonts w:ascii="Calibri" w:hAnsi="Calibri"/>
              </w:rPr>
            </w:pPr>
            <w:r w:rsidRPr="002C1E2B">
              <w:rPr>
                <w:rFonts w:ascii="Calibri" w:hAnsi="Calibri"/>
              </w:rPr>
              <w:t>Operative words</w:t>
            </w:r>
          </w:p>
          <w:p w14:paraId="52A343E2" w14:textId="77777777" w:rsidR="00EF1195" w:rsidRPr="002C1E2B" w:rsidRDefault="00EF1195" w:rsidP="007F5D69">
            <w:pPr>
              <w:pStyle w:val="TableBullet1"/>
              <w:numPr>
                <w:ilvl w:val="4"/>
                <w:numId w:val="14"/>
              </w:numPr>
              <w:spacing w:before="60" w:after="60"/>
              <w:cnfStyle w:val="000000000000" w:firstRow="0" w:lastRow="0" w:firstColumn="0" w:lastColumn="0" w:oddVBand="0" w:evenVBand="0" w:oddHBand="0" w:evenHBand="0" w:firstRowFirstColumn="0" w:firstRowLastColumn="0" w:lastRowFirstColumn="0" w:lastRowLastColumn="0"/>
              <w:rPr>
                <w:rFonts w:ascii="Calibri" w:hAnsi="Calibri"/>
              </w:rPr>
            </w:pPr>
            <w:r w:rsidRPr="002C1E2B">
              <w:rPr>
                <w:rFonts w:ascii="Calibri" w:hAnsi="Calibri"/>
              </w:rPr>
              <w:t>Prescribe terms</w:t>
            </w:r>
          </w:p>
          <w:p w14:paraId="5C700473" w14:textId="77777777" w:rsidR="00EF1195" w:rsidRPr="002C1E2B" w:rsidRDefault="00EF1195" w:rsidP="007F5D69">
            <w:pPr>
              <w:pStyle w:val="TableBullet1"/>
              <w:numPr>
                <w:ilvl w:val="4"/>
                <w:numId w:val="14"/>
              </w:numPr>
              <w:spacing w:before="60" w:after="60"/>
              <w:cnfStyle w:val="000000000000" w:firstRow="0" w:lastRow="0" w:firstColumn="0" w:lastColumn="0" w:oddVBand="0" w:evenVBand="0" w:oddHBand="0" w:evenHBand="0" w:firstRowFirstColumn="0" w:firstRowLastColumn="0" w:lastRowFirstColumn="0" w:lastRowLastColumn="0"/>
              <w:rPr>
                <w:rFonts w:ascii="Calibri" w:hAnsi="Calibri"/>
              </w:rPr>
            </w:pPr>
            <w:r w:rsidRPr="002C1E2B">
              <w:rPr>
                <w:rFonts w:ascii="Calibri" w:hAnsi="Calibri"/>
              </w:rPr>
              <w:t>Prescribed matters – Cost payable on entry, during residency and on departure, cost of reinstatement, exit entitlements, maintenance, village insurance, termination and amendment of contracts</w:t>
            </w:r>
          </w:p>
        </w:tc>
      </w:tr>
      <w:tr w:rsidR="00EF1195" w:rsidRPr="002C1E2B" w14:paraId="7CF42F4A" w14:textId="77777777" w:rsidTr="007F5D69">
        <w:tc>
          <w:tcPr>
            <w:cnfStyle w:val="001000000000" w:firstRow="0" w:lastRow="0" w:firstColumn="1" w:lastColumn="0" w:oddVBand="0" w:evenVBand="0" w:oddHBand="0" w:evenHBand="0" w:firstRowFirstColumn="0" w:firstRowLastColumn="0" w:lastRowFirstColumn="0" w:lastRowLastColumn="0"/>
            <w:tcW w:w="1250" w:type="dxa"/>
            <w:tcBorders>
              <w:left w:val="single" w:sz="4" w:space="0" w:color="auto"/>
              <w:bottom w:val="single" w:sz="4" w:space="0" w:color="auto"/>
            </w:tcBorders>
            <w:vAlign w:val="center"/>
          </w:tcPr>
          <w:p w14:paraId="31254C68" w14:textId="77777777" w:rsidR="00EF1195" w:rsidRPr="002C1E2B" w:rsidRDefault="00EF1195" w:rsidP="007F5D69">
            <w:pPr>
              <w:pStyle w:val="BodyText"/>
              <w:spacing w:before="60" w:after="60"/>
              <w:jc w:val="center"/>
              <w:rPr>
                <w:rFonts w:ascii="Calibri" w:hAnsi="Calibri" w:cs="Arial"/>
                <w:sz w:val="20"/>
                <w:szCs w:val="20"/>
              </w:rPr>
            </w:pPr>
            <w:r w:rsidRPr="002C1E2B">
              <w:rPr>
                <w:rFonts w:ascii="Calibri" w:hAnsi="Calibri" w:cs="Arial"/>
                <w:sz w:val="20"/>
                <w:szCs w:val="20"/>
              </w:rPr>
              <w:t>8G</w:t>
            </w:r>
          </w:p>
        </w:tc>
        <w:tc>
          <w:tcPr>
            <w:tcW w:w="1576" w:type="dxa"/>
            <w:tcBorders>
              <w:bottom w:val="single" w:sz="4" w:space="0" w:color="auto"/>
            </w:tcBorders>
            <w:vAlign w:val="center"/>
          </w:tcPr>
          <w:p w14:paraId="7EF0F1EB" w14:textId="77777777" w:rsidR="00EF1195" w:rsidRPr="002C1E2B" w:rsidRDefault="00EF1195" w:rsidP="007F5D69">
            <w:pPr>
              <w:pStyle w:val="BodyText"/>
              <w:spacing w:before="60" w:after="60"/>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2C1E2B">
              <w:rPr>
                <w:rFonts w:ascii="Calibri" w:hAnsi="Calibri" w:cs="Arial"/>
                <w:sz w:val="20"/>
                <w:szCs w:val="20"/>
              </w:rPr>
              <w:t>r. 8B, 8C, 8E, 8F do not apply to agreement to lease or contract of sale</w:t>
            </w:r>
          </w:p>
        </w:tc>
        <w:tc>
          <w:tcPr>
            <w:tcW w:w="6695" w:type="dxa"/>
            <w:gridSpan w:val="2"/>
            <w:tcBorders>
              <w:bottom w:val="single" w:sz="4" w:space="0" w:color="auto"/>
            </w:tcBorders>
          </w:tcPr>
          <w:p w14:paraId="7C7DB0CA" w14:textId="77777777" w:rsidR="00EF1195" w:rsidRPr="002C1E2B" w:rsidRDefault="00EF1195" w:rsidP="007F5D69">
            <w:pPr>
              <w:pStyle w:val="BodyText"/>
              <w:spacing w:before="60" w:after="60"/>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2C1E2B">
              <w:rPr>
                <w:rFonts w:ascii="Calibri" w:hAnsi="Calibri" w:cs="Arial"/>
                <w:sz w:val="20"/>
                <w:szCs w:val="20"/>
              </w:rPr>
              <w:t xml:space="preserve">If a residence or management contract is annexed to a contract of sale of land, or a contract of sale of unit in a unit trust or share in a corporation, </w:t>
            </w:r>
            <w:r w:rsidRPr="002C1E2B">
              <w:rPr>
                <w:rFonts w:ascii="Calibri" w:hAnsi="Calibri" w:cs="Arial"/>
                <w:b/>
                <w:sz w:val="20"/>
                <w:szCs w:val="20"/>
              </w:rPr>
              <w:t>then r. 8B, 8C, 8E and 8F only applies to the residence or management contracts</w:t>
            </w:r>
            <w:r w:rsidRPr="002C1E2B">
              <w:rPr>
                <w:rFonts w:ascii="Calibri" w:hAnsi="Calibri" w:cs="Arial"/>
                <w:sz w:val="20"/>
                <w:szCs w:val="20"/>
              </w:rPr>
              <w:t xml:space="preserve"> but not to the agreement to lease of contract of sale. </w:t>
            </w:r>
          </w:p>
        </w:tc>
      </w:tr>
      <w:tr w:rsidR="00EF1195" w:rsidRPr="002C1E2B" w14:paraId="37CF7742" w14:textId="77777777" w:rsidTr="007F5D69">
        <w:tc>
          <w:tcPr>
            <w:cnfStyle w:val="001000000000" w:firstRow="0" w:lastRow="0" w:firstColumn="1" w:lastColumn="0" w:oddVBand="0" w:evenVBand="0" w:oddHBand="0" w:evenHBand="0" w:firstRowFirstColumn="0" w:firstRowLastColumn="0" w:lastRowFirstColumn="0" w:lastRowLastColumn="0"/>
            <w:tcW w:w="1250" w:type="dxa"/>
            <w:tcBorders>
              <w:left w:val="single" w:sz="4" w:space="0" w:color="auto"/>
              <w:bottom w:val="single" w:sz="4" w:space="0" w:color="auto"/>
            </w:tcBorders>
            <w:vAlign w:val="center"/>
          </w:tcPr>
          <w:p w14:paraId="3EC7181A" w14:textId="77777777" w:rsidR="00EF1195" w:rsidRPr="002C1E2B" w:rsidRDefault="00EF1195" w:rsidP="007F5D69">
            <w:pPr>
              <w:pStyle w:val="BodyText"/>
              <w:spacing w:before="60" w:after="60"/>
              <w:jc w:val="center"/>
              <w:rPr>
                <w:rFonts w:ascii="Calibri" w:hAnsi="Calibri" w:cs="Arial"/>
                <w:sz w:val="20"/>
                <w:szCs w:val="20"/>
              </w:rPr>
            </w:pPr>
            <w:r w:rsidRPr="002C1E2B">
              <w:rPr>
                <w:rFonts w:ascii="Calibri" w:hAnsi="Calibri" w:cs="Arial"/>
                <w:sz w:val="20"/>
                <w:szCs w:val="20"/>
              </w:rPr>
              <w:t>8H</w:t>
            </w:r>
          </w:p>
        </w:tc>
        <w:tc>
          <w:tcPr>
            <w:tcW w:w="1576" w:type="dxa"/>
            <w:tcBorders>
              <w:bottom w:val="single" w:sz="4" w:space="0" w:color="auto"/>
            </w:tcBorders>
            <w:vAlign w:val="center"/>
          </w:tcPr>
          <w:p w14:paraId="76F47EC6" w14:textId="77777777" w:rsidR="00EF1195" w:rsidRPr="002C1E2B" w:rsidRDefault="00EF1195" w:rsidP="007F5D69">
            <w:pPr>
              <w:pStyle w:val="BodyText"/>
              <w:spacing w:before="60" w:after="60"/>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2C1E2B">
              <w:rPr>
                <w:rFonts w:ascii="Calibri" w:hAnsi="Calibri" w:cs="Arial"/>
                <w:sz w:val="20"/>
                <w:szCs w:val="20"/>
              </w:rPr>
              <w:t>Contracting out</w:t>
            </w:r>
          </w:p>
        </w:tc>
        <w:tc>
          <w:tcPr>
            <w:tcW w:w="6695" w:type="dxa"/>
            <w:gridSpan w:val="2"/>
            <w:tcBorders>
              <w:bottom w:val="single" w:sz="4" w:space="0" w:color="auto"/>
            </w:tcBorders>
          </w:tcPr>
          <w:p w14:paraId="1CB07043" w14:textId="77777777" w:rsidR="00EF1195" w:rsidRPr="002C1E2B" w:rsidRDefault="00EF1195" w:rsidP="007F5D69">
            <w:pPr>
              <w:pStyle w:val="BodyText"/>
              <w:spacing w:before="60" w:after="60"/>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2C1E2B">
              <w:rPr>
                <w:rFonts w:ascii="Calibri" w:hAnsi="Calibri" w:cs="Arial"/>
                <w:sz w:val="20"/>
                <w:szCs w:val="20"/>
              </w:rPr>
              <w:t xml:space="preserve">A provision in a contract or a document concerning a retirement village which purports to exclude, modify or restrict the operation of r. 8B, 8C, 8E and 8F is void. </w:t>
            </w:r>
          </w:p>
        </w:tc>
      </w:tr>
    </w:tbl>
    <w:p w14:paraId="2D1EEC4E" w14:textId="77777777" w:rsidR="007B2C64" w:rsidRPr="002C1E2B" w:rsidRDefault="007B2C64">
      <w:pPr>
        <w:spacing w:after="200" w:line="276" w:lineRule="auto"/>
        <w:rPr>
          <w:rFonts w:asciiTheme="majorHAnsi" w:eastAsiaTheme="majorEastAsia" w:hAnsiTheme="majorHAnsi" w:cstheme="majorBidi"/>
          <w:b/>
          <w:bCs/>
          <w:sz w:val="28"/>
          <w:szCs w:val="28"/>
        </w:rPr>
      </w:pPr>
      <w:r w:rsidRPr="002C1E2B">
        <w:br w:type="page"/>
      </w:r>
    </w:p>
    <w:p w14:paraId="165C3133" w14:textId="77777777" w:rsidR="007B2C64" w:rsidRPr="002C1E2B" w:rsidRDefault="00297B2E" w:rsidP="007B2C64">
      <w:pPr>
        <w:pStyle w:val="Heading1"/>
        <w:numPr>
          <w:ilvl w:val="0"/>
          <w:numId w:val="1"/>
        </w:numPr>
      </w:pPr>
      <w:bookmarkStart w:id="287" w:name="_Toc476739305"/>
      <w:bookmarkStart w:id="288" w:name="_Toc476585859"/>
      <w:r w:rsidRPr="002C1E2B">
        <w:lastRenderedPageBreak/>
        <w:t>Impact analysis assumptions</w:t>
      </w:r>
      <w:bookmarkEnd w:id="287"/>
      <w:bookmarkEnd w:id="288"/>
    </w:p>
    <w:p w14:paraId="69D8223A" w14:textId="77777777" w:rsidR="00297B2E" w:rsidRPr="002C1E2B" w:rsidRDefault="00297B2E" w:rsidP="00297B2E">
      <w:pPr>
        <w:pStyle w:val="Heading2"/>
        <w:numPr>
          <w:ilvl w:val="1"/>
          <w:numId w:val="1"/>
        </w:numPr>
      </w:pPr>
      <w:bookmarkStart w:id="289" w:name="_Toc476578609"/>
      <w:bookmarkStart w:id="290" w:name="_Toc476579104"/>
      <w:bookmarkStart w:id="291" w:name="_Toc476579680"/>
      <w:bookmarkStart w:id="292" w:name="_Toc476585860"/>
      <w:bookmarkStart w:id="293" w:name="_Toc476739306"/>
      <w:r w:rsidRPr="002C1E2B">
        <w:t>Population groups</w:t>
      </w:r>
      <w:bookmarkEnd w:id="289"/>
      <w:bookmarkEnd w:id="290"/>
      <w:bookmarkEnd w:id="291"/>
      <w:bookmarkEnd w:id="292"/>
      <w:bookmarkEnd w:id="293"/>
    </w:p>
    <w:p w14:paraId="23A60DD2" w14:textId="77777777" w:rsidR="008C7486" w:rsidRPr="002C1E2B" w:rsidRDefault="008C7486" w:rsidP="008C7486">
      <w:pPr>
        <w:pStyle w:val="BodyText"/>
        <w:rPr>
          <w:rFonts w:eastAsiaTheme="minorHAnsi"/>
        </w:rPr>
      </w:pPr>
      <w:r w:rsidRPr="002C1E2B">
        <w:t>It has been necessary to consider the financial impacts on different cohorts of residents based on when they entered the retirement village, as different regulatory requirements and obligations have applied over time:</w:t>
      </w:r>
    </w:p>
    <w:p w14:paraId="346D09B5" w14:textId="77777777" w:rsidR="008C7486" w:rsidRPr="002C1E2B" w:rsidRDefault="008C7486" w:rsidP="008C7486">
      <w:pPr>
        <w:pStyle w:val="ListBullet"/>
        <w:outlineLvl w:val="9"/>
        <w:rPr>
          <w:rFonts w:eastAsia="Times New Roman"/>
        </w:rPr>
      </w:pPr>
      <w:r w:rsidRPr="002C1E2B">
        <w:rPr>
          <w:b/>
          <w:bCs/>
        </w:rPr>
        <w:t>Non-owner residents who entered retirement villages prior to 1 August 2006</w:t>
      </w:r>
      <w:r w:rsidRPr="002C1E2B">
        <w:t>: the aged care rule and the Regulations do not apply to contracts that were entered into before 1 August 2006. Hence, for these residents, neither the aged care rule or the six month rule are assumed to apply and not included in the RIS analysis;</w:t>
      </w:r>
    </w:p>
    <w:p w14:paraId="561A251E" w14:textId="77777777" w:rsidR="008C7486" w:rsidRPr="002C1E2B" w:rsidRDefault="008C7486" w:rsidP="008C7486">
      <w:pPr>
        <w:pStyle w:val="ListBullet"/>
        <w:outlineLvl w:val="9"/>
      </w:pPr>
      <w:r w:rsidRPr="002C1E2B">
        <w:rPr>
          <w:b/>
          <w:bCs/>
        </w:rPr>
        <w:t>Non-owner residents who entered retirement villages between 1 August 2006 and 1 August 2017</w:t>
      </w:r>
      <w:r w:rsidRPr="002C1E2B">
        <w:t xml:space="preserve">: the base case assumes the six month rule will continue to apply to these residents, but the aged care rule will not be remade and therefore will cease to apply. Option 1 and 2 will give these residents the choice or a RAD or DAP based aged care rule. Under Option 3, they will only have access to a DAP based rule; and </w:t>
      </w:r>
    </w:p>
    <w:p w14:paraId="440ECADD" w14:textId="77777777" w:rsidR="008C7486" w:rsidRPr="002C1E2B" w:rsidRDefault="008C7486" w:rsidP="008C7486">
      <w:pPr>
        <w:pStyle w:val="ListBullet"/>
        <w:spacing w:after="240"/>
        <w:ind w:left="357" w:hanging="357"/>
        <w:outlineLvl w:val="9"/>
      </w:pPr>
      <w:r w:rsidRPr="002C1E2B">
        <w:rPr>
          <w:b/>
          <w:bCs/>
        </w:rPr>
        <w:t>Non-owner residents who entered retirement villages after 1 August 2017</w:t>
      </w:r>
      <w:r w:rsidRPr="002C1E2B">
        <w:t xml:space="preserve">: the base case assumes the six month rule will continue to apply to these residents, but the aged care rule will not be remade and therefore will cease to apply. Under Option 1 residents who entered a retirement village after 1 August 2017 will have the choice of a RAD or DAP based aged care rule, but under Options 2 and 3, these residents will only have access to a DAP based rule. </w:t>
      </w:r>
    </w:p>
    <w:p w14:paraId="06894765" w14:textId="77777777" w:rsidR="008C7486" w:rsidRPr="002C1E2B" w:rsidRDefault="008C7486" w:rsidP="00297B2E">
      <w:pPr>
        <w:pStyle w:val="Heading2"/>
        <w:numPr>
          <w:ilvl w:val="1"/>
          <w:numId w:val="1"/>
        </w:numPr>
      </w:pPr>
      <w:bookmarkStart w:id="294" w:name="_Toc476578610"/>
      <w:bookmarkStart w:id="295" w:name="_Toc476579105"/>
      <w:bookmarkStart w:id="296" w:name="_Toc476579681"/>
      <w:bookmarkStart w:id="297" w:name="_Toc476585861"/>
      <w:bookmarkStart w:id="298" w:name="_Toc476739307"/>
      <w:r w:rsidRPr="002C1E2B">
        <w:t>Frequency of impacts</w:t>
      </w:r>
      <w:bookmarkEnd w:id="294"/>
      <w:bookmarkEnd w:id="295"/>
      <w:bookmarkEnd w:id="296"/>
      <w:bookmarkEnd w:id="297"/>
      <w:bookmarkEnd w:id="298"/>
      <w:r w:rsidRPr="002C1E2B">
        <w:t xml:space="preserve"> </w:t>
      </w:r>
    </w:p>
    <w:p w14:paraId="5B84AFA0" w14:textId="77777777" w:rsidR="008C7486" w:rsidRPr="002C1E2B" w:rsidRDefault="008C7486" w:rsidP="008C7486">
      <w:pPr>
        <w:pStyle w:val="BodyText"/>
        <w:rPr>
          <w:rFonts w:eastAsiaTheme="minorHAnsi"/>
        </w:rPr>
      </w:pPr>
      <w:r w:rsidRPr="002C1E2B">
        <w:t>The frequency of the impacts refers to the number of non-owner residents exiting retirement villages per annum and whether the six month rule or the aged care rule applies to them. This has been determined based on the assumptions about:</w:t>
      </w:r>
    </w:p>
    <w:p w14:paraId="0C528756" w14:textId="77777777" w:rsidR="008C7486" w:rsidRPr="002C1E2B" w:rsidRDefault="008C7486" w:rsidP="008C7486">
      <w:pPr>
        <w:pStyle w:val="ListBullet"/>
        <w:outlineLvl w:val="9"/>
        <w:rPr>
          <w:rFonts w:eastAsia="Times New Roman"/>
        </w:rPr>
      </w:pPr>
      <w:r w:rsidRPr="002C1E2B">
        <w:t xml:space="preserve">The total number of residents leaving retirement villages; </w:t>
      </w:r>
    </w:p>
    <w:p w14:paraId="551EAB88" w14:textId="77777777" w:rsidR="008C7486" w:rsidRPr="002C1E2B" w:rsidRDefault="008C7486" w:rsidP="008C7486">
      <w:pPr>
        <w:pStyle w:val="ListBullet"/>
        <w:outlineLvl w:val="9"/>
      </w:pPr>
      <w:r w:rsidRPr="002C1E2B">
        <w:t>The number of departing residents who enter aged care:</w:t>
      </w:r>
    </w:p>
    <w:p w14:paraId="14A77094" w14:textId="77777777" w:rsidR="008C7486" w:rsidRPr="002C1E2B" w:rsidRDefault="008C7486" w:rsidP="008C7486">
      <w:pPr>
        <w:pStyle w:val="ListBullet"/>
        <w:outlineLvl w:val="9"/>
      </w:pPr>
      <w:r w:rsidRPr="002C1E2B">
        <w:t>The proportion of these residents to whom the six month rule and aged care rule apply to; and</w:t>
      </w:r>
    </w:p>
    <w:p w14:paraId="76968E04" w14:textId="77777777" w:rsidR="008C7486" w:rsidRPr="002C1E2B" w:rsidRDefault="008C7486" w:rsidP="008C7486">
      <w:pPr>
        <w:pStyle w:val="ListBullet"/>
        <w:spacing w:after="240"/>
        <w:ind w:left="357" w:hanging="357"/>
        <w:outlineLvl w:val="9"/>
      </w:pPr>
      <w:r w:rsidRPr="002C1E2B">
        <w:t>The proportion of resident who will choose a DAP or RAD based payment under the aged care rule.</w:t>
      </w:r>
    </w:p>
    <w:p w14:paraId="08D32EC3" w14:textId="77777777" w:rsidR="008C7486" w:rsidRPr="002C1E2B" w:rsidRDefault="00610577" w:rsidP="008C7486">
      <w:pPr>
        <w:pStyle w:val="Caption"/>
        <w:spacing w:after="120"/>
      </w:pPr>
      <w:r w:rsidRPr="002C1E2B">
        <w:lastRenderedPageBreak/>
        <w:t xml:space="preserve">Figure </w:t>
      </w:r>
      <w:r w:rsidR="00C11D17">
        <w:fldChar w:fldCharType="begin"/>
      </w:r>
      <w:r w:rsidR="00C11D17">
        <w:instrText xml:space="preserve"> STYLEREF 1 \s </w:instrText>
      </w:r>
      <w:r w:rsidR="00C11D17">
        <w:fldChar w:fldCharType="separate"/>
      </w:r>
      <w:r w:rsidR="00BE6CE4">
        <w:rPr>
          <w:noProof/>
        </w:rPr>
        <w:t>D</w:t>
      </w:r>
      <w:r w:rsidR="00C11D17">
        <w:fldChar w:fldCharType="end"/>
      </w:r>
      <w:r w:rsidR="00C11D17">
        <w:t>.</w:t>
      </w:r>
      <w:r w:rsidR="00C11D17">
        <w:fldChar w:fldCharType="begin"/>
      </w:r>
      <w:r w:rsidR="00C11D17">
        <w:instrText xml:space="preserve"> SEQ Figure \* ARABIC \s 1 </w:instrText>
      </w:r>
      <w:r w:rsidR="00C11D17">
        <w:fldChar w:fldCharType="separate"/>
      </w:r>
      <w:r w:rsidR="00BE6CE4">
        <w:rPr>
          <w:noProof/>
        </w:rPr>
        <w:t>1</w:t>
      </w:r>
      <w:r w:rsidR="00C11D17">
        <w:fldChar w:fldCharType="end"/>
      </w:r>
      <w:r w:rsidR="00775A8B">
        <w:t xml:space="preserve"> </w:t>
      </w:r>
      <w:r w:rsidR="008C7486" w:rsidRPr="002C1E2B">
        <w:t>– Assumptions made to estimate the frequency of the financial impacts</w:t>
      </w:r>
    </w:p>
    <w:p w14:paraId="28B59355" w14:textId="77777777" w:rsidR="008C7486" w:rsidRPr="002C1E2B" w:rsidRDefault="008C7486" w:rsidP="008C7486">
      <w:pPr>
        <w:pStyle w:val="BodyText"/>
        <w:jc w:val="center"/>
      </w:pPr>
      <w:r w:rsidRPr="002C1E2B">
        <w:rPr>
          <w:noProof/>
          <w:lang w:eastAsia="en-AU"/>
        </w:rPr>
        <w:drawing>
          <wp:inline distT="0" distB="0" distL="0" distR="0" wp14:anchorId="1B573DFE" wp14:editId="7CF209F8">
            <wp:extent cx="2552065" cy="4572000"/>
            <wp:effectExtent l="0" t="0" r="635" b="0"/>
            <wp:docPr id="481" name="Picture 481" descr="cid:image005.png@01D2968E.EAAEEA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png@01D2968E.EAAEEAA0"/>
                    <pic:cNvPicPr>
                      <a:picLocks noChangeAspect="1" noChangeArrowheads="1"/>
                    </pic:cNvPicPr>
                  </pic:nvPicPr>
                  <pic:blipFill>
                    <a:blip r:embed="rId43" r:link="rId44">
                      <a:extLst>
                        <a:ext uri="{28A0092B-C50C-407E-A947-70E740481C1C}">
                          <a14:useLocalDpi xmlns:a14="http://schemas.microsoft.com/office/drawing/2010/main" val="0"/>
                        </a:ext>
                      </a:extLst>
                    </a:blip>
                    <a:srcRect/>
                    <a:stretch>
                      <a:fillRect/>
                    </a:stretch>
                  </pic:blipFill>
                  <pic:spPr bwMode="auto">
                    <a:xfrm>
                      <a:off x="0" y="0"/>
                      <a:ext cx="2552065" cy="4572000"/>
                    </a:xfrm>
                    <a:prstGeom prst="rect">
                      <a:avLst/>
                    </a:prstGeom>
                    <a:noFill/>
                    <a:ln>
                      <a:noFill/>
                    </a:ln>
                  </pic:spPr>
                </pic:pic>
              </a:graphicData>
            </a:graphic>
          </wp:inline>
        </w:drawing>
      </w:r>
    </w:p>
    <w:p w14:paraId="58E1E8F6" w14:textId="77777777" w:rsidR="008C7486" w:rsidRPr="002C1E2B" w:rsidRDefault="008C7486" w:rsidP="008C7486">
      <w:pPr>
        <w:pStyle w:val="BodyText"/>
      </w:pPr>
      <w:r w:rsidRPr="002C1E2B">
        <w:t>The first three of these assumptions are the same for all three options, but the final two assumptions define each option and as a result differ between options.</w:t>
      </w:r>
    </w:p>
    <w:p w14:paraId="6DB31156" w14:textId="77777777" w:rsidR="008C7486" w:rsidRPr="002C1E2B" w:rsidRDefault="008C7486" w:rsidP="008C7486">
      <w:pPr>
        <w:pStyle w:val="BodyText"/>
        <w:keepNext/>
        <w:rPr>
          <w:b/>
          <w:bCs/>
          <w:i/>
          <w:iCs/>
        </w:rPr>
      </w:pPr>
      <w:r w:rsidRPr="002C1E2B">
        <w:rPr>
          <w:b/>
          <w:bCs/>
          <w:i/>
          <w:iCs/>
        </w:rPr>
        <w:t xml:space="preserve">The number of residents leaving retirement villages </w:t>
      </w:r>
    </w:p>
    <w:p w14:paraId="09AD06A2" w14:textId="77777777" w:rsidR="008C7486" w:rsidRPr="002C1E2B" w:rsidRDefault="008C7486" w:rsidP="008C7486">
      <w:r w:rsidRPr="002C1E2B">
        <w:t>The number of residents exiting retirement villages each year is estimated based on assumptions provided in a report by the PCA around the proportion of people exiting retirement villages who move to aged care (60 per cent), and the number of people who moved from retirement villages to aged care each year (on average 2,480 per annum). Over the 20 year period of the analysis, it is estimated that an average of</w:t>
      </w:r>
      <w:r w:rsidRPr="002C1E2B">
        <w:rPr>
          <w:b/>
          <w:bCs/>
        </w:rPr>
        <w:t xml:space="preserve"> 4,133 residents exit retirement villages per annum</w:t>
      </w:r>
      <w:r w:rsidRPr="002C1E2B">
        <w:t>.</w:t>
      </w:r>
    </w:p>
    <w:p w14:paraId="4DE42807" w14:textId="77777777" w:rsidR="008C7486" w:rsidRPr="002C1E2B" w:rsidRDefault="008C7486" w:rsidP="008C7486">
      <w:pPr>
        <w:pStyle w:val="BodyText"/>
        <w:rPr>
          <w:b/>
          <w:bCs/>
          <w:i/>
          <w:iCs/>
        </w:rPr>
      </w:pPr>
      <w:r w:rsidRPr="002C1E2B">
        <w:rPr>
          <w:b/>
          <w:bCs/>
          <w:i/>
          <w:iCs/>
        </w:rPr>
        <w:t xml:space="preserve">The number of departing residents who enter aged care </w:t>
      </w:r>
    </w:p>
    <w:p w14:paraId="44E070B4" w14:textId="77777777" w:rsidR="00297B2E" w:rsidRPr="002C1E2B" w:rsidRDefault="008C7486" w:rsidP="008C7486">
      <w:pPr>
        <w:pStyle w:val="BodyText"/>
      </w:pPr>
      <w:r w:rsidRPr="002C1E2B">
        <w:t xml:space="preserve">The total number of residents </w:t>
      </w:r>
      <w:r w:rsidRPr="002C1E2B">
        <w:rPr>
          <w:b/>
          <w:bCs/>
        </w:rPr>
        <w:t>moving from retirement villages to aged care</w:t>
      </w:r>
      <w:r w:rsidRPr="002C1E2B">
        <w:t xml:space="preserve"> over the 20 year period of the analysis is estimated to be an average of </w:t>
      </w:r>
      <w:r w:rsidRPr="002C1E2B">
        <w:rPr>
          <w:b/>
          <w:bCs/>
        </w:rPr>
        <w:t>2,480 per annum</w:t>
      </w:r>
      <w:r w:rsidRPr="002C1E2B">
        <w:t>. This estimate is extrapolated from data provided by the PCA in a 2014 report that estimated the number of residents moving to aged care in 2014 and in 2021.</w:t>
      </w:r>
    </w:p>
    <w:p w14:paraId="71509343" w14:textId="77777777" w:rsidR="00297B2E" w:rsidRPr="002C1E2B" w:rsidRDefault="00297B2E">
      <w:pPr>
        <w:spacing w:after="200" w:line="276" w:lineRule="auto"/>
      </w:pPr>
      <w:r w:rsidRPr="002C1E2B">
        <w:br w:type="page"/>
      </w:r>
    </w:p>
    <w:p w14:paraId="3B2E646E" w14:textId="77777777" w:rsidR="008C7486" w:rsidRPr="002C1E2B" w:rsidRDefault="008C7486" w:rsidP="008C7486">
      <w:pPr>
        <w:pStyle w:val="BodyText"/>
        <w:rPr>
          <w:b/>
          <w:bCs/>
          <w:i/>
          <w:iCs/>
        </w:rPr>
      </w:pPr>
      <w:r w:rsidRPr="002C1E2B">
        <w:rPr>
          <w:b/>
          <w:bCs/>
          <w:i/>
          <w:iCs/>
        </w:rPr>
        <w:lastRenderedPageBreak/>
        <w:t xml:space="preserve">The proportion of residents who the six month rule and aged care rule apply to </w:t>
      </w:r>
    </w:p>
    <w:p w14:paraId="7DCFA9CC" w14:textId="77777777" w:rsidR="008C7486" w:rsidRPr="002C1E2B" w:rsidRDefault="008C7486" w:rsidP="008C7486">
      <w:pPr>
        <w:pStyle w:val="BodyText"/>
      </w:pPr>
      <w:r w:rsidRPr="002C1E2B">
        <w:t xml:space="preserve">As noted above, different rules apply to retirement village residents, depending on when they entered their retirement village. As a result, the number of departing residents that the six month rule and the aged care rule applies to </w:t>
      </w:r>
      <w:proofErr w:type="gramStart"/>
      <w:r w:rsidRPr="002C1E2B">
        <w:t>is</w:t>
      </w:r>
      <w:proofErr w:type="gramEnd"/>
      <w:r w:rsidRPr="002C1E2B">
        <w:t xml:space="preserve"> changing over time. </w:t>
      </w:r>
    </w:p>
    <w:p w14:paraId="22B1EF26" w14:textId="77777777" w:rsidR="008C7486" w:rsidRPr="002C1E2B" w:rsidRDefault="008C7486" w:rsidP="008C7486">
      <w:pPr>
        <w:pStyle w:val="BodyText"/>
      </w:pPr>
      <w:r w:rsidRPr="002C1E2B">
        <w:rPr>
          <w:lang w:eastAsia="zh-MO"/>
        </w:rPr>
        <w:t>The total length of tenure for most residents has been estimated to be between 8 and 15 years</w:t>
      </w:r>
      <w:r w:rsidR="00C044E6">
        <w:rPr>
          <w:rStyle w:val="FootnoteReference"/>
        </w:rPr>
        <w:footnoteReference w:id="47"/>
      </w:r>
      <w:r w:rsidRPr="002C1E2B">
        <w:rPr>
          <w:lang w:eastAsia="zh-MO"/>
        </w:rPr>
        <w:t xml:space="preserve"> and the </w:t>
      </w:r>
      <w:r w:rsidRPr="002C1E2B">
        <w:t>average tenure of a resident in a retirement village is 12 years.</w:t>
      </w:r>
      <w:r w:rsidR="00C044E6">
        <w:rPr>
          <w:rStyle w:val="FootnoteReference"/>
        </w:rPr>
        <w:footnoteReference w:id="48"/>
      </w:r>
      <w:r w:rsidRPr="002C1E2B">
        <w:t xml:space="preserve"> Based on this, it is expected that by 2021 all of the pre-2006 cohort will have left retirement villages.</w:t>
      </w:r>
      <w:r w:rsidR="00C044E6">
        <w:rPr>
          <w:rStyle w:val="FootnoteReference"/>
        </w:rPr>
        <w:footnoteReference w:id="49"/>
      </w:r>
      <w:r w:rsidRPr="002C1E2B">
        <w:t xml:space="preserve"> It is assumed that residents who entered retirement villages between 1 August 2006 and 1 August 2017 will have the same average tenure. These residents will progressively exit villages from 2018 to 2030. </w:t>
      </w:r>
    </w:p>
    <w:p w14:paraId="1F3037D5" w14:textId="77777777" w:rsidR="008C7486" w:rsidRPr="002C1E2B" w:rsidRDefault="008C7486" w:rsidP="008C7486">
      <w:pPr>
        <w:pStyle w:val="BodyText"/>
      </w:pPr>
      <w:r w:rsidRPr="002C1E2B">
        <w:t>For the base case, it is assumed that the six month rule exemption is not remade. Therefore, the six month rule will apply to all residents who entered retirement villages after 2006. The exemption is very widely used in the industry</w:t>
      </w:r>
      <w:r w:rsidR="00C044E6">
        <w:rPr>
          <w:rStyle w:val="FootnoteReference"/>
        </w:rPr>
        <w:footnoteReference w:id="50"/>
      </w:r>
      <w:r w:rsidRPr="002C1E2B">
        <w:t xml:space="preserve"> and for all other options, it is assumed to apply to all contracts between retirement village operators and residents. </w:t>
      </w:r>
    </w:p>
    <w:p w14:paraId="17DAB49B" w14:textId="77777777" w:rsidR="008C7486" w:rsidRPr="002C1E2B" w:rsidRDefault="008C7486" w:rsidP="008C7486">
      <w:pPr>
        <w:pStyle w:val="BodyText"/>
      </w:pPr>
      <w:r w:rsidRPr="002C1E2B">
        <w:t>The aged care and the six month rules only apply to non-owner/leasehold residents. The vast majority of retirement village residents are leasehold residents – assumed to be 85 per cent.</w:t>
      </w:r>
      <w:r w:rsidR="00C044E6">
        <w:rPr>
          <w:rStyle w:val="FootnoteReference"/>
        </w:rPr>
        <w:footnoteReference w:id="51"/>
      </w:r>
      <w:r w:rsidRPr="002C1E2B">
        <w:t xml:space="preserve"> </w:t>
      </w:r>
    </w:p>
    <w:p w14:paraId="3C4F6A10" w14:textId="77777777" w:rsidR="008C7486" w:rsidRPr="002C1E2B" w:rsidRDefault="008C7486" w:rsidP="008C7486">
      <w:pPr>
        <w:pStyle w:val="BodyText"/>
        <w:rPr>
          <w:b/>
          <w:bCs/>
          <w:i/>
          <w:iCs/>
        </w:rPr>
      </w:pPr>
      <w:r w:rsidRPr="002C1E2B">
        <w:rPr>
          <w:b/>
          <w:bCs/>
          <w:i/>
          <w:iCs/>
        </w:rPr>
        <w:t>Resulting assumptions about the three resident cohorts</w:t>
      </w:r>
    </w:p>
    <w:p w14:paraId="4DA4B3CA" w14:textId="77777777" w:rsidR="008C7486" w:rsidRPr="002C1E2B" w:rsidRDefault="008C7486" w:rsidP="008C7486">
      <w:pPr>
        <w:pStyle w:val="BodyText"/>
      </w:pPr>
      <w:r w:rsidRPr="002C1E2B">
        <w:t xml:space="preserve">The three assumptions above have been used to estimate who the aged care rule will apply to under each option. This is shown in the figure below. </w:t>
      </w:r>
    </w:p>
    <w:p w14:paraId="42922D44" w14:textId="77777777" w:rsidR="008C7486" w:rsidRPr="002C1E2B" w:rsidRDefault="00610577" w:rsidP="00610577">
      <w:pPr>
        <w:pStyle w:val="Caption"/>
        <w:spacing w:after="120"/>
      </w:pPr>
      <w:r w:rsidRPr="002C1E2B">
        <w:lastRenderedPageBreak/>
        <w:t xml:space="preserve">Figure </w:t>
      </w:r>
      <w:r w:rsidR="00C11D17">
        <w:fldChar w:fldCharType="begin"/>
      </w:r>
      <w:r w:rsidR="00C11D17">
        <w:instrText xml:space="preserve"> STYLEREF 1 \s </w:instrText>
      </w:r>
      <w:r w:rsidR="00C11D17">
        <w:fldChar w:fldCharType="separate"/>
      </w:r>
      <w:r w:rsidR="00BE6CE4">
        <w:rPr>
          <w:noProof/>
        </w:rPr>
        <w:t>D</w:t>
      </w:r>
      <w:r w:rsidR="00C11D17">
        <w:fldChar w:fldCharType="end"/>
      </w:r>
      <w:r w:rsidR="00C11D17">
        <w:t>.</w:t>
      </w:r>
      <w:r w:rsidR="00C11D17">
        <w:fldChar w:fldCharType="begin"/>
      </w:r>
      <w:r w:rsidR="00C11D17">
        <w:instrText xml:space="preserve"> SEQ Figure \* ARABIC \s 1 </w:instrText>
      </w:r>
      <w:r w:rsidR="00C11D17">
        <w:fldChar w:fldCharType="separate"/>
      </w:r>
      <w:r w:rsidR="00BE6CE4">
        <w:rPr>
          <w:noProof/>
        </w:rPr>
        <w:t>2</w:t>
      </w:r>
      <w:r w:rsidR="00C11D17">
        <w:fldChar w:fldCharType="end"/>
      </w:r>
      <w:r w:rsidRPr="002C1E2B">
        <w:t xml:space="preserve"> – </w:t>
      </w:r>
      <w:r w:rsidR="008C7486" w:rsidRPr="002C1E2B">
        <w:t>Retirement village residents entering aged care, by year of entry into retirement village</w:t>
      </w:r>
    </w:p>
    <w:p w14:paraId="7CDF5E38" w14:textId="77777777" w:rsidR="008C7486" w:rsidRPr="002C1E2B" w:rsidRDefault="00BF06F1" w:rsidP="008C7486">
      <w:pPr>
        <w:pStyle w:val="BodyText"/>
      </w:pPr>
      <w:r>
        <w:rPr>
          <w:noProof/>
          <w:lang w:eastAsia="en-AU"/>
        </w:rPr>
        <w:drawing>
          <wp:inline distT="0" distB="0" distL="0" distR="0" wp14:anchorId="6C7560FB" wp14:editId="6E1680FB">
            <wp:extent cx="5732145" cy="2543333"/>
            <wp:effectExtent l="0" t="0" r="0" b="0"/>
            <wp:docPr id="16" name="Picture 16" descr="cid:image006.png@01D296A0.1FD98A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3" descr="cid:image006.png@01D296A0.1FD98AD0"/>
                    <pic:cNvPicPr>
                      <a:picLocks noChangeAspect="1" noChangeArrowheads="1"/>
                    </pic:cNvPicPr>
                  </pic:nvPicPr>
                  <pic:blipFill>
                    <a:blip r:embed="rId45" r:link="rId46">
                      <a:extLst>
                        <a:ext uri="{28A0092B-C50C-407E-A947-70E740481C1C}">
                          <a14:useLocalDpi xmlns:a14="http://schemas.microsoft.com/office/drawing/2010/main" val="0"/>
                        </a:ext>
                      </a:extLst>
                    </a:blip>
                    <a:srcRect/>
                    <a:stretch>
                      <a:fillRect/>
                    </a:stretch>
                  </pic:blipFill>
                  <pic:spPr bwMode="auto">
                    <a:xfrm>
                      <a:off x="0" y="0"/>
                      <a:ext cx="5732145" cy="2543333"/>
                    </a:xfrm>
                    <a:prstGeom prst="rect">
                      <a:avLst/>
                    </a:prstGeom>
                    <a:noFill/>
                    <a:ln>
                      <a:noFill/>
                    </a:ln>
                  </pic:spPr>
                </pic:pic>
              </a:graphicData>
            </a:graphic>
          </wp:inline>
        </w:drawing>
      </w:r>
    </w:p>
    <w:p w14:paraId="202E865A" w14:textId="77777777" w:rsidR="008C7486" w:rsidRPr="002C1E2B" w:rsidRDefault="008C7486" w:rsidP="008C7486">
      <w:pPr>
        <w:pStyle w:val="BodyText"/>
        <w:keepNext/>
        <w:rPr>
          <w:b/>
          <w:bCs/>
          <w:i/>
          <w:iCs/>
        </w:rPr>
      </w:pPr>
      <w:r w:rsidRPr="002C1E2B">
        <w:rPr>
          <w:b/>
          <w:bCs/>
          <w:i/>
          <w:iCs/>
        </w:rPr>
        <w:t>Proportion of residents choosing a DAP or a RAD based payment</w:t>
      </w:r>
    </w:p>
    <w:p w14:paraId="33E4F5D9" w14:textId="77777777" w:rsidR="008C7486" w:rsidRPr="002C1E2B" w:rsidRDefault="008C7486" w:rsidP="008C7486">
      <w:pPr>
        <w:pStyle w:val="BodyText"/>
      </w:pPr>
      <w:r w:rsidRPr="002C1E2B">
        <w:t xml:space="preserve">A resident’s choice between a DAP or RAD based payment has different financial impacts for the resident and their retirement village operator. Data available on residents’ choice of payment method when entering aged care indicates that 40 per cent of residents choose to pay for aged care accommodation using a RAD, 35 per cent choose a DAP and the remaining 25 per cent use a mix of the two. </w:t>
      </w:r>
    </w:p>
    <w:p w14:paraId="71B866C9" w14:textId="77777777" w:rsidR="008C7486" w:rsidRPr="002C1E2B" w:rsidRDefault="008C7486" w:rsidP="008C7486">
      <w:pPr>
        <w:pStyle w:val="BodyText"/>
      </w:pPr>
      <w:r w:rsidRPr="002C1E2B">
        <w:t xml:space="preserve">For the purposes of the modelling, residents who choose a combination of DAP and RAD, are assumed to pay a RAD equivalent to their exit entitlement. Therefore, if they are given the choice, it is assumed that </w:t>
      </w:r>
      <w:r w:rsidRPr="002C1E2B">
        <w:rPr>
          <w:b/>
          <w:bCs/>
        </w:rPr>
        <w:t>65 per cent</w:t>
      </w:r>
      <w:r w:rsidRPr="002C1E2B">
        <w:t xml:space="preserve"> of residents will choose a RAD based payment and </w:t>
      </w:r>
      <w:r w:rsidRPr="002C1E2B">
        <w:rPr>
          <w:b/>
          <w:bCs/>
        </w:rPr>
        <w:t>35 per cent</w:t>
      </w:r>
      <w:r w:rsidRPr="002C1E2B">
        <w:t xml:space="preserve"> will choose a DAP based payment.</w:t>
      </w:r>
    </w:p>
    <w:p w14:paraId="4A4C2EDF" w14:textId="77777777" w:rsidR="008C7486" w:rsidRPr="002C1E2B" w:rsidRDefault="008C7486" w:rsidP="00610577">
      <w:pPr>
        <w:pStyle w:val="Heading3"/>
        <w:numPr>
          <w:ilvl w:val="2"/>
          <w:numId w:val="1"/>
        </w:numPr>
      </w:pPr>
      <w:r w:rsidRPr="002C1E2B">
        <w:t>Timeframe of the analysis</w:t>
      </w:r>
    </w:p>
    <w:p w14:paraId="67AEF29B" w14:textId="77777777" w:rsidR="008C7486" w:rsidRPr="002C1E2B" w:rsidRDefault="008C7486" w:rsidP="00610577">
      <w:pPr>
        <w:spacing w:after="0"/>
        <w:rPr>
          <w:rFonts w:ascii="Times New Roman" w:eastAsia="Times New Roman" w:hAnsi="Times New Roman"/>
          <w:lang w:eastAsia="en-US"/>
        </w:rPr>
      </w:pPr>
      <w:r w:rsidRPr="002C1E2B">
        <w:t>Typically, a 10 year timeframe is required for conducting analysis in a RIS. However, due to the lagged nature of the operation of the aged care rule and the six month rule, changes to the Regulations may not have any meaningful impact until at least 2027. As such the analysis is conducted over a 20 year time period to capture the full extent impact of the options.</w:t>
      </w:r>
      <w:r w:rsidRPr="002C1E2B">
        <w:rPr>
          <w:rFonts w:ascii="Times New Roman" w:eastAsia="Times New Roman" w:hAnsi="Times New Roman"/>
          <w:lang w:eastAsia="en-US"/>
        </w:rPr>
        <w:t xml:space="preserve"> </w:t>
      </w:r>
    </w:p>
    <w:p w14:paraId="3D9E1D18" w14:textId="77777777" w:rsidR="00610577" w:rsidRPr="002C1E2B" w:rsidRDefault="00610577" w:rsidP="00610577">
      <w:pPr>
        <w:spacing w:after="0"/>
        <w:rPr>
          <w:rFonts w:ascii="Times New Roman" w:eastAsia="Times New Roman" w:hAnsi="Times New Roman"/>
          <w:lang w:eastAsia="en-US"/>
        </w:rPr>
      </w:pPr>
    </w:p>
    <w:p w14:paraId="75CEF410" w14:textId="77777777" w:rsidR="008C7486" w:rsidRPr="002C1E2B" w:rsidRDefault="00297B2E" w:rsidP="00297B2E">
      <w:pPr>
        <w:pStyle w:val="Heading2"/>
        <w:numPr>
          <w:ilvl w:val="1"/>
          <w:numId w:val="1"/>
        </w:numPr>
      </w:pPr>
      <w:bookmarkStart w:id="299" w:name="_Toc476578611"/>
      <w:bookmarkStart w:id="300" w:name="_Toc476579106"/>
      <w:bookmarkStart w:id="301" w:name="_Toc476579682"/>
      <w:bookmarkStart w:id="302" w:name="_Toc476585862"/>
      <w:bookmarkStart w:id="303" w:name="_Toc476739308"/>
      <w:r w:rsidRPr="002C1E2B">
        <w:t>Key financial assumptions</w:t>
      </w:r>
      <w:bookmarkEnd w:id="299"/>
      <w:bookmarkEnd w:id="300"/>
      <w:bookmarkEnd w:id="301"/>
      <w:bookmarkEnd w:id="302"/>
      <w:bookmarkEnd w:id="303"/>
    </w:p>
    <w:p w14:paraId="1F75FB8E" w14:textId="77777777" w:rsidR="007B2C64" w:rsidRPr="002C1E2B" w:rsidRDefault="007B2C64" w:rsidP="007B2C64">
      <w:pPr>
        <w:pStyle w:val="BodyText"/>
      </w:pPr>
      <w:r w:rsidRPr="002C1E2B">
        <w:t>The key assumptions used to estimate the financial impact of the options are:</w:t>
      </w:r>
    </w:p>
    <w:p w14:paraId="0C404617" w14:textId="77777777" w:rsidR="007B2C64" w:rsidRPr="002C1E2B" w:rsidRDefault="007B2C64" w:rsidP="007B2C64">
      <w:pPr>
        <w:pStyle w:val="ListBullet"/>
      </w:pPr>
      <w:r w:rsidRPr="002C1E2B">
        <w:rPr>
          <w:b/>
          <w:i/>
        </w:rPr>
        <w:t xml:space="preserve">Retirement village borrowing costs </w:t>
      </w:r>
      <w:r w:rsidRPr="002C1E2B">
        <w:t xml:space="preserve">– when a retirement village operator is required to pay a resident’s exit entitlement before the unit is sold, it is assumed they have to borrow funds and pay interest on the borrowings until the unit is sold. The analysis assumes an </w:t>
      </w:r>
      <w:r w:rsidRPr="002C1E2B">
        <w:lastRenderedPageBreak/>
        <w:t xml:space="preserve">interest rate of </w:t>
      </w:r>
      <w:r w:rsidRPr="002C1E2B">
        <w:rPr>
          <w:b/>
        </w:rPr>
        <w:t>5 per cent</w:t>
      </w:r>
      <w:r w:rsidRPr="002C1E2B">
        <w:t xml:space="preserve"> per annum on these borrowings.</w:t>
      </w:r>
      <w:r w:rsidRPr="002C1E2B">
        <w:rPr>
          <w:rStyle w:val="FootnoteReference"/>
          <w:lang w:val="en-AU"/>
        </w:rPr>
        <w:footnoteReference w:id="52"/>
      </w:r>
      <w:r w:rsidRPr="002C1E2B">
        <w:t xml:space="preserve"> Sensitivity analysis has also been conducted using rates of </w:t>
      </w:r>
      <w:r w:rsidRPr="002C1E2B">
        <w:rPr>
          <w:b/>
        </w:rPr>
        <w:t>4 per cent</w:t>
      </w:r>
      <w:r w:rsidRPr="002C1E2B">
        <w:t xml:space="preserve"> and </w:t>
      </w:r>
      <w:r w:rsidRPr="002C1E2B">
        <w:rPr>
          <w:b/>
        </w:rPr>
        <w:t>8 per cent</w:t>
      </w:r>
      <w:r w:rsidRPr="002C1E2B">
        <w:t>.</w:t>
      </w:r>
    </w:p>
    <w:p w14:paraId="18CD891F" w14:textId="77777777" w:rsidR="007B2C64" w:rsidRPr="002C1E2B" w:rsidRDefault="007B2C64" w:rsidP="007B2C64">
      <w:pPr>
        <w:pStyle w:val="ListBullet"/>
      </w:pPr>
      <w:r w:rsidRPr="002C1E2B">
        <w:rPr>
          <w:b/>
          <w:i/>
        </w:rPr>
        <w:t xml:space="preserve">Residents’ forgone interest </w:t>
      </w:r>
      <w:r w:rsidRPr="002C1E2B">
        <w:t xml:space="preserve">– a resident who moves into aged care accommodation and pays for their accommodation using a RAD is forgoing the potential to earn a return on the amount of the RAD. The forgone return is estimated to be </w:t>
      </w:r>
      <w:r w:rsidRPr="002C1E2B">
        <w:rPr>
          <w:b/>
        </w:rPr>
        <w:t xml:space="preserve">3.25 per cent </w:t>
      </w:r>
      <w:r w:rsidRPr="002C1E2B">
        <w:t>per annum, which is about what they could currently earn in a term deposit – it is also equal to the current deeming rate used by Centrelink to assess the earning potential for retirees’ savings.</w:t>
      </w:r>
      <w:r w:rsidRPr="002C1E2B">
        <w:rPr>
          <w:rStyle w:val="FootnoteReference"/>
          <w:lang w:val="en-AU"/>
        </w:rPr>
        <w:footnoteReference w:id="53"/>
      </w:r>
    </w:p>
    <w:p w14:paraId="2012168C" w14:textId="77777777" w:rsidR="007B2C64" w:rsidRPr="002C1E2B" w:rsidRDefault="007B2C64" w:rsidP="007B2C64">
      <w:pPr>
        <w:pStyle w:val="ListBullet"/>
      </w:pPr>
      <w:r w:rsidRPr="002C1E2B">
        <w:rPr>
          <w:b/>
          <w:i/>
        </w:rPr>
        <w:t xml:space="preserve">Cost of DAPs </w:t>
      </w:r>
      <w:r w:rsidRPr="002C1E2B">
        <w:t xml:space="preserve">– the alternative method of paying for aged care accommodation is a DAP. It is calculated daily using the MPIR as published by the Department of Social Services. The exact amount of the DAP depends on the equivalent RAD payment required for an accommodation place.  It is assumed in this analysis that the MPIR is </w:t>
      </w:r>
      <w:r w:rsidRPr="002C1E2B">
        <w:rPr>
          <w:b/>
        </w:rPr>
        <w:t>5.76 per cent</w:t>
      </w:r>
      <w:r w:rsidRPr="002C1E2B">
        <w:t>, equal to the current published rates.</w:t>
      </w:r>
    </w:p>
    <w:p w14:paraId="70F7B9BF" w14:textId="77777777" w:rsidR="007B2C64" w:rsidRPr="002C1E2B" w:rsidRDefault="007B2C64" w:rsidP="007B2C64">
      <w:pPr>
        <w:pStyle w:val="ListBullet"/>
        <w:spacing w:after="240"/>
      </w:pPr>
      <w:r w:rsidRPr="002C1E2B">
        <w:rPr>
          <w:b/>
          <w:i/>
        </w:rPr>
        <w:t xml:space="preserve">The average time to sell a unit – </w:t>
      </w:r>
      <w:r w:rsidRPr="002C1E2B">
        <w:t>it is assumed that the average time to sell a retirement village unit is 10.5 months. This assumption is based on data provided by the PCA. Reflecting the uncertainty involved in the time to sell a retirement village unit, sensitivity analysis has been conducted on this assumption (see chapter 6).</w:t>
      </w:r>
    </w:p>
    <w:p w14:paraId="6A9DB9C3" w14:textId="77777777" w:rsidR="007B2C64" w:rsidRPr="002C1E2B" w:rsidRDefault="007B2C64" w:rsidP="007B2C64">
      <w:pPr>
        <w:pStyle w:val="ListBullet"/>
      </w:pPr>
      <w:r w:rsidRPr="002C1E2B">
        <w:rPr>
          <w:b/>
          <w:i/>
        </w:rPr>
        <w:t>Value of exit entitlements</w:t>
      </w:r>
      <w:r w:rsidRPr="002C1E2B">
        <w:t xml:space="preserve"> – the average exit entitlement is assumed to be $258,700. This is calculated by assuming an average in-going contribution of $398,000</w:t>
      </w:r>
      <w:r w:rsidRPr="002C1E2B">
        <w:rPr>
          <w:rStyle w:val="FootnoteReference"/>
          <w:lang w:val="en-AU"/>
        </w:rPr>
        <w:footnoteReference w:id="54"/>
      </w:r>
      <w:r w:rsidRPr="002C1E2B">
        <w:t>, and subtracting total exit fees (including DMFs and any contribution to long term maintenance funds) of 35 per cent</w:t>
      </w:r>
      <w:r w:rsidRPr="002C1E2B">
        <w:rPr>
          <w:rStyle w:val="FootnoteReference"/>
          <w:lang w:val="en-AU"/>
        </w:rPr>
        <w:footnoteReference w:id="55"/>
      </w:r>
      <w:r w:rsidRPr="002C1E2B">
        <w:t>.</w:t>
      </w:r>
    </w:p>
    <w:p w14:paraId="3FEC64E7" w14:textId="77777777" w:rsidR="007B2C64" w:rsidRPr="002C1E2B" w:rsidRDefault="007B2C64" w:rsidP="007B2C64">
      <w:pPr>
        <w:pStyle w:val="ListBullet"/>
        <w:ind w:left="357" w:hanging="357"/>
      </w:pPr>
      <w:r w:rsidRPr="002C1E2B">
        <w:rPr>
          <w:b/>
          <w:i/>
        </w:rPr>
        <w:t xml:space="preserve">Value of RAD </w:t>
      </w:r>
      <w:r w:rsidRPr="002C1E2B">
        <w:t>– the average cost of a RAD is assumed to be $361,000.</w:t>
      </w:r>
      <w:r w:rsidRPr="002C1E2B">
        <w:rPr>
          <w:rStyle w:val="FootnoteReference"/>
          <w:lang w:val="en-AU"/>
        </w:rPr>
        <w:footnoteReference w:id="56"/>
      </w:r>
      <w:r w:rsidRPr="002C1E2B">
        <w:t xml:space="preserve"> As this exceeds the total value of an exit entitlement, it is assumed that</w:t>
      </w:r>
      <w:r w:rsidRPr="002C1E2B">
        <w:rPr>
          <w:b/>
        </w:rPr>
        <w:t xml:space="preserve"> the RAD value to which the aged care rule applies is the same as the average exit entitlement ($258,700)</w:t>
      </w:r>
      <w:r w:rsidRPr="002C1E2B">
        <w:t xml:space="preserve">. </w:t>
      </w:r>
    </w:p>
    <w:p w14:paraId="6AE7BD72" w14:textId="77777777" w:rsidR="007B2C64" w:rsidRPr="002C1E2B" w:rsidRDefault="007B2C64" w:rsidP="007B2C64">
      <w:pPr>
        <w:pStyle w:val="ListBullet"/>
        <w:spacing w:after="240"/>
      </w:pPr>
      <w:r w:rsidRPr="002C1E2B">
        <w:rPr>
          <w:b/>
          <w:i/>
        </w:rPr>
        <w:t xml:space="preserve">Cap on payments – </w:t>
      </w:r>
      <w:r w:rsidRPr="002C1E2B">
        <w:t xml:space="preserve">Under the options, there is a cap on the aged payments a retirement village can make of both the RAD and the DAPs of up to </w:t>
      </w:r>
      <w:r w:rsidRPr="002C1E2B">
        <w:rPr>
          <w:b/>
        </w:rPr>
        <w:t>85 per cent of the estimated exit entitlement for options 2 and 3 and up to the estimated exit entitlement for option 1</w:t>
      </w:r>
      <w:r w:rsidRPr="002C1E2B">
        <w:t>.</w:t>
      </w:r>
    </w:p>
    <w:p w14:paraId="575B9BD9" w14:textId="77777777" w:rsidR="007B2C64" w:rsidRPr="002C1E2B" w:rsidRDefault="007B2C64" w:rsidP="007B2C64">
      <w:pPr>
        <w:pStyle w:val="Heading2"/>
        <w:numPr>
          <w:ilvl w:val="1"/>
          <w:numId w:val="1"/>
        </w:numPr>
      </w:pPr>
      <w:bookmarkStart w:id="304" w:name="_Toc476572499"/>
      <w:bookmarkStart w:id="305" w:name="_Toc476572595"/>
      <w:bookmarkStart w:id="306" w:name="_Toc476572596"/>
      <w:bookmarkStart w:id="307" w:name="_Toc476578612"/>
      <w:bookmarkStart w:id="308" w:name="_Toc476579107"/>
      <w:bookmarkStart w:id="309" w:name="_Toc476579683"/>
      <w:bookmarkStart w:id="310" w:name="_Toc476585863"/>
      <w:bookmarkStart w:id="311" w:name="_Toc476739309"/>
      <w:bookmarkEnd w:id="304"/>
      <w:bookmarkEnd w:id="305"/>
      <w:r w:rsidRPr="002C1E2B">
        <w:t>Average impacts of the six month rule (under the base case)</w:t>
      </w:r>
      <w:bookmarkEnd w:id="306"/>
      <w:bookmarkEnd w:id="307"/>
      <w:bookmarkEnd w:id="308"/>
      <w:bookmarkEnd w:id="309"/>
      <w:bookmarkEnd w:id="310"/>
      <w:bookmarkEnd w:id="311"/>
    </w:p>
    <w:p w14:paraId="7076C126" w14:textId="77777777" w:rsidR="007B2C64" w:rsidRPr="002C1E2B" w:rsidRDefault="007B2C64" w:rsidP="007B2C64">
      <w:pPr>
        <w:pStyle w:val="BodyText"/>
      </w:pPr>
      <w:r w:rsidRPr="002C1E2B">
        <w:t xml:space="preserve">Under the six month rule retirement village operators are required to refund non-owner residents their exit entitlement after six months. Given the average sale time of a unit is 10.5 months; the six month rule requires a retirement village operator to borrow the amount of the </w:t>
      </w:r>
      <w:r w:rsidRPr="002C1E2B">
        <w:lastRenderedPageBreak/>
        <w:t xml:space="preserve">exit entitlement for 4.5 months until they receive the next in-going contribution. The cost of the interest on these borrowings is estimated to be $4,866. </w:t>
      </w:r>
    </w:p>
    <w:p w14:paraId="16DCCF89" w14:textId="77777777" w:rsidR="007B2C64" w:rsidRPr="002C1E2B" w:rsidRDefault="007B2C64" w:rsidP="007B2C64">
      <w:pPr>
        <w:pStyle w:val="BodyText"/>
      </w:pPr>
      <w:r w:rsidRPr="002C1E2B">
        <w:t>Under the base case, there is no requirement for a retirement village operator to pay residents’ aged care costs. Thus on average, a resident must pay their own DAPs for the first six months at a total cost of $7,451, plus interest of $162. The resident will receive their full exit entitlement after six months, regardless of whether the unit has been sold. After this time, 65 per cent of residents will use their entitlement as a RAD, which reduces their ongoing DAPs. The remaining 35 per cent will invest the funds and continue to pay DAPs.</w:t>
      </w:r>
    </w:p>
    <w:p w14:paraId="3012707F" w14:textId="77777777" w:rsidR="007B2C64" w:rsidRPr="002C1E2B" w:rsidRDefault="007B2C64" w:rsidP="007B2C64">
      <w:pPr>
        <w:pStyle w:val="BodyText"/>
      </w:pPr>
      <w:r w:rsidRPr="002C1E2B">
        <w:t>The cash flow implications and financial implications of this are shown below.</w:t>
      </w:r>
    </w:p>
    <w:p w14:paraId="4E7274AE" w14:textId="77777777" w:rsidR="007B2C64" w:rsidRPr="002C1E2B" w:rsidRDefault="007B2C64" w:rsidP="00610577">
      <w:pPr>
        <w:pStyle w:val="Caption"/>
        <w:spacing w:after="120"/>
      </w:pPr>
      <w:r w:rsidRPr="002C1E2B">
        <w:t xml:space="preserve">Figure </w:t>
      </w:r>
      <w:r w:rsidR="00C11D17">
        <w:fldChar w:fldCharType="begin"/>
      </w:r>
      <w:r w:rsidR="00C11D17">
        <w:instrText xml:space="preserve"> STYLEREF 1 \s </w:instrText>
      </w:r>
      <w:r w:rsidR="00C11D17">
        <w:fldChar w:fldCharType="separate"/>
      </w:r>
      <w:r w:rsidR="00BE6CE4">
        <w:rPr>
          <w:noProof/>
        </w:rPr>
        <w:t>D</w:t>
      </w:r>
      <w:r w:rsidR="00C11D17">
        <w:fldChar w:fldCharType="end"/>
      </w:r>
      <w:r w:rsidR="00C11D17">
        <w:t>.</w:t>
      </w:r>
      <w:r w:rsidR="00C11D17">
        <w:fldChar w:fldCharType="begin"/>
      </w:r>
      <w:r w:rsidR="00C11D17">
        <w:instrText xml:space="preserve"> SEQ Figure \* ARABIC \s 1 </w:instrText>
      </w:r>
      <w:r w:rsidR="00C11D17">
        <w:fldChar w:fldCharType="separate"/>
      </w:r>
      <w:r w:rsidR="00BE6CE4">
        <w:rPr>
          <w:noProof/>
        </w:rPr>
        <w:t>3</w:t>
      </w:r>
      <w:r w:rsidR="00C11D17">
        <w:fldChar w:fldCharType="end"/>
      </w:r>
      <w:r w:rsidRPr="002C1E2B">
        <w:t xml:space="preserve"> </w:t>
      </w:r>
      <w:r w:rsidR="00610577" w:rsidRPr="002C1E2B">
        <w:t>–</w:t>
      </w:r>
      <w:r w:rsidRPr="002C1E2B">
        <w:t xml:space="preserve"> Financial implications of the six month rule</w:t>
      </w:r>
    </w:p>
    <w:p w14:paraId="17F30810" w14:textId="77777777" w:rsidR="007B2C64" w:rsidRPr="002C1E2B" w:rsidRDefault="007B2C64" w:rsidP="007B2C64">
      <w:pPr>
        <w:pStyle w:val="BodyText"/>
        <w:jc w:val="center"/>
      </w:pPr>
      <w:r w:rsidRPr="002C1E2B">
        <w:rPr>
          <w:noProof/>
          <w:lang w:eastAsia="en-AU"/>
        </w:rPr>
        <w:drawing>
          <wp:inline distT="0" distB="0" distL="0" distR="0" wp14:anchorId="705F0A80" wp14:editId="0922D14E">
            <wp:extent cx="2840133" cy="2103681"/>
            <wp:effectExtent l="0" t="0" r="0" b="0"/>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843784" cy="2106385"/>
                    </a:xfrm>
                    <a:prstGeom prst="rect">
                      <a:avLst/>
                    </a:prstGeom>
                    <a:noFill/>
                    <a:ln>
                      <a:noFill/>
                    </a:ln>
                  </pic:spPr>
                </pic:pic>
              </a:graphicData>
            </a:graphic>
          </wp:inline>
        </w:drawing>
      </w:r>
      <w:r w:rsidRPr="002C1E2B">
        <w:t xml:space="preserve"> </w:t>
      </w:r>
      <w:r w:rsidRPr="002C1E2B">
        <w:rPr>
          <w:noProof/>
          <w:lang w:eastAsia="en-AU"/>
        </w:rPr>
        <w:drawing>
          <wp:inline distT="0" distB="0" distL="0" distR="0" wp14:anchorId="17C45A1B" wp14:editId="62C17D32">
            <wp:extent cx="2838567" cy="2086852"/>
            <wp:effectExtent l="0" t="0" r="0" b="8890"/>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843784" cy="2090688"/>
                    </a:xfrm>
                    <a:prstGeom prst="rect">
                      <a:avLst/>
                    </a:prstGeom>
                    <a:noFill/>
                    <a:ln>
                      <a:noFill/>
                    </a:ln>
                  </pic:spPr>
                </pic:pic>
              </a:graphicData>
            </a:graphic>
          </wp:inline>
        </w:drawing>
      </w:r>
    </w:p>
    <w:p w14:paraId="618900E9" w14:textId="77777777" w:rsidR="007B2C64" w:rsidRPr="002C1E2B" w:rsidRDefault="007B2C64" w:rsidP="007B2C64">
      <w:pPr>
        <w:pStyle w:val="Heading2"/>
        <w:numPr>
          <w:ilvl w:val="1"/>
          <w:numId w:val="1"/>
        </w:numPr>
      </w:pPr>
      <w:bookmarkStart w:id="312" w:name="_Toc476572597"/>
      <w:bookmarkStart w:id="313" w:name="_Toc476578613"/>
      <w:bookmarkStart w:id="314" w:name="_Toc476579108"/>
      <w:bookmarkStart w:id="315" w:name="_Toc476579684"/>
      <w:bookmarkStart w:id="316" w:name="_Toc476585864"/>
      <w:bookmarkStart w:id="317" w:name="_Toc476739310"/>
      <w:r w:rsidRPr="002C1E2B">
        <w:t>Average impacts of a RAD-based aged care rule</w:t>
      </w:r>
      <w:bookmarkEnd w:id="312"/>
      <w:bookmarkEnd w:id="313"/>
      <w:bookmarkEnd w:id="314"/>
      <w:bookmarkEnd w:id="315"/>
      <w:bookmarkEnd w:id="316"/>
      <w:bookmarkEnd w:id="317"/>
    </w:p>
    <w:p w14:paraId="5FF4E633" w14:textId="77777777" w:rsidR="007B2C64" w:rsidRPr="002C1E2B" w:rsidRDefault="007B2C64" w:rsidP="007B2C64">
      <w:pPr>
        <w:pStyle w:val="BodyText"/>
      </w:pPr>
      <w:r w:rsidRPr="002C1E2B">
        <w:t xml:space="preserve">Under a RAD-based aged care rule, retirement village operators are required to pay a </w:t>
      </w:r>
      <w:r w:rsidRPr="002C1E2B">
        <w:rPr>
          <w:rFonts w:ascii="Times New Roman" w:eastAsia="MS PMincho" w:hAnsi="Times New Roman"/>
        </w:rPr>
        <w:t xml:space="preserve">non-owner </w:t>
      </w:r>
      <w:r w:rsidRPr="002C1E2B">
        <w:t xml:space="preserve">resident’s DAPs for the first six months after they enter aged care at a total cost of $7,451 on average, plus interest of $109. After six months they are required to refund residents the amount they need for their RAD, with the total of DAPs and RAD up to 85 per cent of the resident’s estimated exit entitlement for option 2 and up to the estimated exit entitlement for option 1. The average RAD ($361,000) is higher than the average exit entitlement ($258,700), so it is assumed that most residents will request the full 85 per cent of their estimated exit entitlement ($213,562). </w:t>
      </w:r>
    </w:p>
    <w:p w14:paraId="51302085" w14:textId="77777777" w:rsidR="007B2C64" w:rsidRPr="002C1E2B" w:rsidRDefault="007B2C64" w:rsidP="007B2C64">
      <w:pPr>
        <w:pStyle w:val="BodyText"/>
      </w:pPr>
      <w:r w:rsidRPr="002C1E2B">
        <w:t xml:space="preserve">Given an average sale time of 10.5 months, under a RAD rule, a retirement village on average will need to borrow and pay interest on $213,562 for 4.5 months, until the unit is sold and the operator receives the next in-going contribution. The cost of the interest on these borrowings is estimated to be $4,158 on average. The retirement village operator deducts the DAPs they have paid from the resident’s estimated exit entitlement. </w:t>
      </w:r>
    </w:p>
    <w:p w14:paraId="3E5C8108" w14:textId="77777777" w:rsidR="007B2C64" w:rsidRPr="002C1E2B" w:rsidRDefault="007B2C64" w:rsidP="007B2C64">
      <w:pPr>
        <w:pStyle w:val="BodyText"/>
      </w:pPr>
      <w:r w:rsidRPr="002C1E2B">
        <w:t xml:space="preserve">When compared to the base case, the resident benefits from the rule as a result of not having to make DAP payments to the aged care provider in the first six months. However, the resident will receive a lower exit entitlement after six months because the payments made by the village operators are deducted from the exit entitlement and they only have access to 85 per cent of their estimated exit entitlement. The resident will receive 85 per cent of their estimated exit entitlement after six months, if their unit has not been sold. As with the base </w:t>
      </w:r>
      <w:r w:rsidRPr="002C1E2B">
        <w:lastRenderedPageBreak/>
        <w:t xml:space="preserve">case, it is assumed that 65 per cent of residents will use their entitlement as a RAD, which will reduce their ongoing DAPs. The remaining 35 per cent will invest the funds and continue to pay DAPs. </w:t>
      </w:r>
    </w:p>
    <w:p w14:paraId="7DCEED43" w14:textId="77777777" w:rsidR="007B2C64" w:rsidRPr="002C1E2B" w:rsidRDefault="007B2C64" w:rsidP="007B2C64">
      <w:pPr>
        <w:pStyle w:val="BodyText"/>
      </w:pPr>
      <w:r w:rsidRPr="002C1E2B">
        <w:t>The cash flow implications and financial implications of this are shown below.</w:t>
      </w:r>
    </w:p>
    <w:p w14:paraId="06712FFC" w14:textId="77777777" w:rsidR="007B2C64" w:rsidRPr="002C1E2B" w:rsidRDefault="007B2C64" w:rsidP="00610577">
      <w:pPr>
        <w:pStyle w:val="Caption"/>
        <w:spacing w:after="120"/>
      </w:pPr>
      <w:r w:rsidRPr="002C1E2B">
        <w:t xml:space="preserve">Figure </w:t>
      </w:r>
      <w:r w:rsidR="00C11D17">
        <w:fldChar w:fldCharType="begin"/>
      </w:r>
      <w:r w:rsidR="00C11D17">
        <w:instrText xml:space="preserve"> STYLEREF 1 \s </w:instrText>
      </w:r>
      <w:r w:rsidR="00C11D17">
        <w:fldChar w:fldCharType="separate"/>
      </w:r>
      <w:r w:rsidR="00BE6CE4">
        <w:rPr>
          <w:noProof/>
        </w:rPr>
        <w:t>D</w:t>
      </w:r>
      <w:r w:rsidR="00C11D17">
        <w:fldChar w:fldCharType="end"/>
      </w:r>
      <w:r w:rsidR="00C11D17">
        <w:t>.</w:t>
      </w:r>
      <w:r w:rsidR="00C11D17">
        <w:fldChar w:fldCharType="begin"/>
      </w:r>
      <w:r w:rsidR="00C11D17">
        <w:instrText xml:space="preserve"> SEQ Figure \* ARABIC \s 1 </w:instrText>
      </w:r>
      <w:r w:rsidR="00C11D17">
        <w:fldChar w:fldCharType="separate"/>
      </w:r>
      <w:r w:rsidR="00BE6CE4">
        <w:rPr>
          <w:noProof/>
        </w:rPr>
        <w:t>4</w:t>
      </w:r>
      <w:r w:rsidR="00C11D17">
        <w:fldChar w:fldCharType="end"/>
      </w:r>
      <w:r w:rsidRPr="002C1E2B">
        <w:t xml:space="preserve"> </w:t>
      </w:r>
      <w:r w:rsidR="00610577" w:rsidRPr="002C1E2B">
        <w:t>–</w:t>
      </w:r>
      <w:r w:rsidRPr="002C1E2B">
        <w:t xml:space="preserve"> Financial implications of a RAD-based aged care rule</w:t>
      </w:r>
    </w:p>
    <w:p w14:paraId="3F4A87C6" w14:textId="77777777" w:rsidR="007B2C64" w:rsidRPr="002C1E2B" w:rsidRDefault="007B2C64" w:rsidP="007B2C64">
      <w:pPr>
        <w:pStyle w:val="BodyText"/>
      </w:pPr>
      <w:r w:rsidRPr="002C1E2B">
        <w:rPr>
          <w:noProof/>
          <w:lang w:eastAsia="en-AU"/>
        </w:rPr>
        <w:drawing>
          <wp:inline distT="0" distB="0" distL="0" distR="0" wp14:anchorId="33ECDAA1" wp14:editId="208C28CF">
            <wp:extent cx="2844177" cy="1985875"/>
            <wp:effectExtent l="0" t="0" r="0" b="0"/>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845558" cy="1986839"/>
                    </a:xfrm>
                    <a:prstGeom prst="rect">
                      <a:avLst/>
                    </a:prstGeom>
                    <a:noFill/>
                    <a:ln>
                      <a:noFill/>
                    </a:ln>
                  </pic:spPr>
                </pic:pic>
              </a:graphicData>
            </a:graphic>
          </wp:inline>
        </w:drawing>
      </w:r>
      <w:r w:rsidRPr="002C1E2B">
        <w:rPr>
          <w:noProof/>
          <w:lang w:eastAsia="en-AU"/>
        </w:rPr>
        <w:drawing>
          <wp:inline distT="0" distB="0" distL="0" distR="0" wp14:anchorId="3C064A44" wp14:editId="585BEDF7">
            <wp:extent cx="2844176" cy="2002705"/>
            <wp:effectExtent l="0" t="0" r="0" b="0"/>
            <wp:docPr id="28"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843784" cy="2002429"/>
                    </a:xfrm>
                    <a:prstGeom prst="rect">
                      <a:avLst/>
                    </a:prstGeom>
                    <a:noFill/>
                    <a:ln>
                      <a:noFill/>
                    </a:ln>
                  </pic:spPr>
                </pic:pic>
              </a:graphicData>
            </a:graphic>
          </wp:inline>
        </w:drawing>
      </w:r>
    </w:p>
    <w:p w14:paraId="29479DBC" w14:textId="77777777" w:rsidR="007B2C64" w:rsidRPr="002C1E2B" w:rsidRDefault="007B2C64" w:rsidP="007B2C64">
      <w:pPr>
        <w:pStyle w:val="Heading2"/>
        <w:numPr>
          <w:ilvl w:val="1"/>
          <w:numId w:val="1"/>
        </w:numPr>
      </w:pPr>
      <w:bookmarkStart w:id="318" w:name="_Toc476572598"/>
      <w:bookmarkStart w:id="319" w:name="_Toc476578614"/>
      <w:bookmarkStart w:id="320" w:name="_Toc476579109"/>
      <w:bookmarkStart w:id="321" w:name="_Toc476579685"/>
      <w:bookmarkStart w:id="322" w:name="_Toc476585865"/>
      <w:bookmarkStart w:id="323" w:name="_Toc476739311"/>
      <w:r w:rsidRPr="002C1E2B">
        <w:t>Average impacts of a DAP-based aged care rule</w:t>
      </w:r>
      <w:bookmarkEnd w:id="318"/>
      <w:bookmarkEnd w:id="319"/>
      <w:bookmarkEnd w:id="320"/>
      <w:bookmarkEnd w:id="321"/>
      <w:bookmarkEnd w:id="322"/>
      <w:bookmarkEnd w:id="323"/>
    </w:p>
    <w:p w14:paraId="3B7AF0DE" w14:textId="77777777" w:rsidR="007B2C64" w:rsidRPr="002C1E2B" w:rsidRDefault="007B2C64" w:rsidP="007B2C64">
      <w:pPr>
        <w:pStyle w:val="BodyText"/>
      </w:pPr>
      <w:r w:rsidRPr="002C1E2B">
        <w:t xml:space="preserve">Under a DAP-based aged care rule, retirement village operators are required to pay a non-owner resident’s DAP payments until the resident’s unit is sold up to 85 per cent of the estimated exit entitlement for options 2 and 3 and up to the estimated exit entitlement for Option 1. Given an average sale time of 10.5 months, this means that the retirement village will need to make DAP payments for 10.5 months, totalling $13,038 on average. The cost of interest to fund these payments will be an additional $313. Once the unit is sold, the retirement village operator pays the resident their exit entitlement, minus the DAPs it has paid. On average, this will reduce residents’ exit entitlements from $258,700 to $245,662. </w:t>
      </w:r>
    </w:p>
    <w:p w14:paraId="767737A2" w14:textId="77777777" w:rsidR="007B2C64" w:rsidRPr="002C1E2B" w:rsidRDefault="007B2C64" w:rsidP="007B2C64">
      <w:pPr>
        <w:pStyle w:val="BodyText"/>
      </w:pPr>
      <w:r w:rsidRPr="002C1E2B">
        <w:t xml:space="preserve">When compared to the base case, the resident benefits from the rule as a result of not having to pay DAPs to the aged care provider prior to receiving their exit entitlement. However, the resident will wait longer to receive their exit entitlement – on average 4.5 months longer. Their exit entitlement will also be less because any DAP payments made by the village operators are deducted from the exit entitlement. </w:t>
      </w:r>
    </w:p>
    <w:p w14:paraId="569E2A86" w14:textId="77777777" w:rsidR="007B2C64" w:rsidRPr="002C1E2B" w:rsidRDefault="007B2C64" w:rsidP="007B2C64">
      <w:pPr>
        <w:pStyle w:val="BodyText"/>
      </w:pPr>
      <w:r w:rsidRPr="002C1E2B">
        <w:t>The cash flow implications and financial implications of this are shown below.</w:t>
      </w:r>
    </w:p>
    <w:p w14:paraId="0CD24D72" w14:textId="77777777" w:rsidR="007B2C64" w:rsidRPr="002C1E2B" w:rsidRDefault="007B2C64" w:rsidP="007B2C64">
      <w:pPr>
        <w:pStyle w:val="Caption"/>
        <w:spacing w:after="120"/>
      </w:pPr>
      <w:r w:rsidRPr="002C1E2B">
        <w:lastRenderedPageBreak/>
        <w:t xml:space="preserve">Figure </w:t>
      </w:r>
      <w:r w:rsidR="00C11D17">
        <w:fldChar w:fldCharType="begin"/>
      </w:r>
      <w:r w:rsidR="00C11D17">
        <w:instrText xml:space="preserve"> STYLEREF 1 \s </w:instrText>
      </w:r>
      <w:r w:rsidR="00C11D17">
        <w:fldChar w:fldCharType="separate"/>
      </w:r>
      <w:r w:rsidR="00BE6CE4">
        <w:rPr>
          <w:noProof/>
        </w:rPr>
        <w:t>D</w:t>
      </w:r>
      <w:r w:rsidR="00C11D17">
        <w:fldChar w:fldCharType="end"/>
      </w:r>
      <w:r w:rsidR="00C11D17">
        <w:t>.</w:t>
      </w:r>
      <w:r w:rsidR="00C11D17">
        <w:fldChar w:fldCharType="begin"/>
      </w:r>
      <w:r w:rsidR="00C11D17">
        <w:instrText xml:space="preserve"> SEQ Figure \* ARABIC \s 1 </w:instrText>
      </w:r>
      <w:r w:rsidR="00C11D17">
        <w:fldChar w:fldCharType="separate"/>
      </w:r>
      <w:r w:rsidR="00BE6CE4">
        <w:rPr>
          <w:noProof/>
        </w:rPr>
        <w:t>5</w:t>
      </w:r>
      <w:r w:rsidR="00C11D17">
        <w:fldChar w:fldCharType="end"/>
      </w:r>
      <w:r w:rsidRPr="002C1E2B">
        <w:t xml:space="preserve"> – Financial implications of a DAP-based aged care rule</w:t>
      </w:r>
    </w:p>
    <w:p w14:paraId="7AF1BE11" w14:textId="77777777" w:rsidR="007B2C64" w:rsidRPr="002C1E2B" w:rsidRDefault="007B2C64" w:rsidP="007B2C64">
      <w:pPr>
        <w:pStyle w:val="BodyText"/>
        <w:jc w:val="center"/>
      </w:pPr>
      <w:r w:rsidRPr="002C1E2B">
        <w:rPr>
          <w:noProof/>
          <w:lang w:eastAsia="en-AU"/>
        </w:rPr>
        <w:drawing>
          <wp:inline distT="0" distB="0" distL="0" distR="0" wp14:anchorId="59C4FFB6" wp14:editId="7592C0EE">
            <wp:extent cx="2843784" cy="2052000"/>
            <wp:effectExtent l="0" t="0" r="0" b="0"/>
            <wp:docPr id="29"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843784" cy="2052000"/>
                    </a:xfrm>
                    <a:prstGeom prst="rect">
                      <a:avLst/>
                    </a:prstGeom>
                    <a:noFill/>
                    <a:ln>
                      <a:noFill/>
                    </a:ln>
                  </pic:spPr>
                </pic:pic>
              </a:graphicData>
            </a:graphic>
          </wp:inline>
        </w:drawing>
      </w:r>
      <w:r w:rsidRPr="002C1E2B">
        <w:rPr>
          <w:noProof/>
          <w:lang w:eastAsia="en-AU"/>
        </w:rPr>
        <w:drawing>
          <wp:inline distT="0" distB="0" distL="0" distR="0" wp14:anchorId="1A00662C" wp14:editId="1C5C5544">
            <wp:extent cx="2843784" cy="2052000"/>
            <wp:effectExtent l="0" t="0" r="0" b="0"/>
            <wp:docPr id="30"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843784" cy="2052000"/>
                    </a:xfrm>
                    <a:prstGeom prst="rect">
                      <a:avLst/>
                    </a:prstGeom>
                    <a:noFill/>
                    <a:ln>
                      <a:noFill/>
                    </a:ln>
                  </pic:spPr>
                </pic:pic>
              </a:graphicData>
            </a:graphic>
          </wp:inline>
        </w:drawing>
      </w:r>
    </w:p>
    <w:p w14:paraId="27158019" w14:textId="77777777" w:rsidR="007B2C64" w:rsidRPr="002C1E2B" w:rsidRDefault="007B2C64" w:rsidP="007B2C64">
      <w:pPr>
        <w:pStyle w:val="BodyText"/>
        <w:jc w:val="center"/>
        <w:sectPr w:rsidR="007B2C64" w:rsidRPr="002C1E2B" w:rsidSect="00166B4D">
          <w:pgSz w:w="11907" w:h="16839" w:code="1"/>
          <w:pgMar w:top="1915" w:right="1440" w:bottom="1440" w:left="1440" w:header="835" w:footer="202" w:gutter="0"/>
          <w:cols w:space="708"/>
          <w:docGrid w:linePitch="360"/>
        </w:sectPr>
      </w:pPr>
    </w:p>
    <w:p w14:paraId="7EE00489" w14:textId="77777777" w:rsidR="007B5BAF" w:rsidRPr="002C1E2B" w:rsidRDefault="007B5BAF" w:rsidP="007B5BAF">
      <w:pPr>
        <w:pStyle w:val="Heading1"/>
        <w:numPr>
          <w:ilvl w:val="0"/>
          <w:numId w:val="1"/>
        </w:numPr>
      </w:pPr>
      <w:bookmarkStart w:id="324" w:name="_Toc476572599"/>
      <w:bookmarkStart w:id="325" w:name="_Toc476739312"/>
      <w:bookmarkStart w:id="326" w:name="_Toc476585866"/>
      <w:r w:rsidRPr="002C1E2B">
        <w:lastRenderedPageBreak/>
        <w:t>Financial impacts on retirement village residents and operators</w:t>
      </w:r>
      <w:bookmarkEnd w:id="324"/>
      <w:bookmarkEnd w:id="325"/>
      <w:bookmarkEnd w:id="326"/>
    </w:p>
    <w:p w14:paraId="731B0A94" w14:textId="77777777" w:rsidR="007B5BAF" w:rsidRPr="002C1E2B" w:rsidRDefault="007B5BAF" w:rsidP="007B5BAF">
      <w:pPr>
        <w:pStyle w:val="Caption"/>
      </w:pPr>
      <w:r w:rsidRPr="002C1E2B">
        <w:t xml:space="preserve">Figure </w:t>
      </w:r>
      <w:r w:rsidR="00C11D17">
        <w:fldChar w:fldCharType="begin"/>
      </w:r>
      <w:r w:rsidR="00C11D17">
        <w:instrText xml:space="preserve"> STYLEREF 1 \s </w:instrText>
      </w:r>
      <w:r w:rsidR="00C11D17">
        <w:fldChar w:fldCharType="separate"/>
      </w:r>
      <w:r w:rsidR="00BE6CE4">
        <w:rPr>
          <w:noProof/>
        </w:rPr>
        <w:t>E</w:t>
      </w:r>
      <w:r w:rsidR="00C11D17">
        <w:fldChar w:fldCharType="end"/>
      </w:r>
      <w:r w:rsidR="00C11D17">
        <w:t>.</w:t>
      </w:r>
      <w:r w:rsidR="00C11D17">
        <w:fldChar w:fldCharType="begin"/>
      </w:r>
      <w:r w:rsidR="00C11D17">
        <w:instrText xml:space="preserve"> SEQ Figure \* ARABIC \s 1 </w:instrText>
      </w:r>
      <w:r w:rsidR="00C11D17">
        <w:fldChar w:fldCharType="separate"/>
      </w:r>
      <w:r w:rsidR="00BE6CE4">
        <w:rPr>
          <w:noProof/>
        </w:rPr>
        <w:t>1</w:t>
      </w:r>
      <w:r w:rsidR="00C11D17">
        <w:fldChar w:fldCharType="end"/>
      </w:r>
      <w:r w:rsidRPr="002C1E2B">
        <w:t xml:space="preserve"> – Option 2 financial impacts relative to base case</w:t>
      </w:r>
    </w:p>
    <w:p w14:paraId="6F71D7E8" w14:textId="77777777" w:rsidR="007B5BAF" w:rsidRPr="002C1E2B" w:rsidRDefault="007B5BAF" w:rsidP="00775A8B">
      <w:pPr>
        <w:pStyle w:val="BodyText"/>
        <w:spacing w:after="0"/>
        <w:jc w:val="center"/>
      </w:pPr>
      <w:bookmarkStart w:id="327" w:name="_Toc476572600"/>
      <w:r w:rsidRPr="002C1E2B">
        <w:rPr>
          <w:noProof/>
          <w:lang w:eastAsia="en-AU"/>
        </w:rPr>
        <w:drawing>
          <wp:inline distT="0" distB="0" distL="0" distR="0" wp14:anchorId="1D3FDCC9" wp14:editId="3605BEA5">
            <wp:extent cx="7791450" cy="3579142"/>
            <wp:effectExtent l="0" t="0" r="0" b="254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791450" cy="3579142"/>
                    </a:xfrm>
                    <a:prstGeom prst="rect">
                      <a:avLst/>
                    </a:prstGeom>
                    <a:noFill/>
                    <a:ln>
                      <a:noFill/>
                    </a:ln>
                  </pic:spPr>
                </pic:pic>
              </a:graphicData>
            </a:graphic>
          </wp:inline>
        </w:drawing>
      </w:r>
      <w:bookmarkEnd w:id="327"/>
    </w:p>
    <w:p w14:paraId="7D74E121" w14:textId="77777777" w:rsidR="007B5BAF" w:rsidRPr="00775A8B" w:rsidRDefault="007B5BAF" w:rsidP="007B5BAF">
      <w:pPr>
        <w:pStyle w:val="BodyText"/>
        <w:spacing w:after="120"/>
        <w:rPr>
          <w:sz w:val="20"/>
        </w:rPr>
      </w:pPr>
      <w:r w:rsidRPr="00775A8B">
        <w:rPr>
          <w:sz w:val="20"/>
        </w:rPr>
        <w:t xml:space="preserve">Note: values shown above are present values that have been discounted by 4 per cent annually. Positive values represent a benefit and negative values represent a cost relative to the base case. </w:t>
      </w:r>
    </w:p>
    <w:p w14:paraId="07EDA6F4" w14:textId="77777777" w:rsidR="007B5BAF" w:rsidRPr="002C1E2B" w:rsidRDefault="007B5BAF" w:rsidP="007B5BAF">
      <w:pPr>
        <w:pStyle w:val="BodyText"/>
        <w:spacing w:after="120"/>
      </w:pPr>
      <w:r w:rsidRPr="002C1E2B">
        <w:t>Up until 2027, most residents exiting retirement villages for aged care have access to a RAD rule under grandfathering arrangements. These residents do not have access to the six month rule or the aged care rule under the base case so the benefit to them and the cost to operators is large. From 2027 onwards, new residents begin to exit retirement villages. These residents only have access to a DAP based rule (which is more costly for residents and less costly for operators) compared to the base case where they have access to a six month rule payment (more costly for operators and less costly for residents). This means that in the latter years the financial impact for residents becomes negative, and the financial impact for operators becomes positive. These impacts are also shown in Figure B.2 relative to the status quo.</w:t>
      </w:r>
    </w:p>
    <w:p w14:paraId="432A8AC6" w14:textId="77777777" w:rsidR="007B5BAF" w:rsidRPr="002C1E2B" w:rsidRDefault="007B5BAF" w:rsidP="007B5BAF">
      <w:pPr>
        <w:pStyle w:val="Caption"/>
      </w:pPr>
      <w:r w:rsidRPr="002C1E2B">
        <w:lastRenderedPageBreak/>
        <w:t xml:space="preserve">Figure </w:t>
      </w:r>
      <w:r w:rsidR="00C11D17">
        <w:fldChar w:fldCharType="begin"/>
      </w:r>
      <w:r w:rsidR="00C11D17">
        <w:instrText xml:space="preserve"> STYLEREF 1 \s </w:instrText>
      </w:r>
      <w:r w:rsidR="00C11D17">
        <w:fldChar w:fldCharType="separate"/>
      </w:r>
      <w:r w:rsidR="00BE6CE4">
        <w:rPr>
          <w:noProof/>
        </w:rPr>
        <w:t>E</w:t>
      </w:r>
      <w:r w:rsidR="00C11D17">
        <w:fldChar w:fldCharType="end"/>
      </w:r>
      <w:r w:rsidR="00C11D17">
        <w:t>.</w:t>
      </w:r>
      <w:r w:rsidR="00C11D17">
        <w:fldChar w:fldCharType="begin"/>
      </w:r>
      <w:r w:rsidR="00C11D17">
        <w:instrText xml:space="preserve"> SEQ Figure \* ARABIC \s 1 </w:instrText>
      </w:r>
      <w:r w:rsidR="00C11D17">
        <w:fldChar w:fldCharType="separate"/>
      </w:r>
      <w:r w:rsidR="00BE6CE4">
        <w:rPr>
          <w:noProof/>
        </w:rPr>
        <w:t>2</w:t>
      </w:r>
      <w:r w:rsidR="00C11D17">
        <w:fldChar w:fldCharType="end"/>
      </w:r>
      <w:r w:rsidRPr="002C1E2B">
        <w:t xml:space="preserve"> – Option 2 financial impacts relative to status quo</w:t>
      </w:r>
    </w:p>
    <w:p w14:paraId="521AA73E" w14:textId="77777777" w:rsidR="007B5BAF" w:rsidRPr="002C1E2B" w:rsidRDefault="007B5BAF" w:rsidP="007B5BAF">
      <w:pPr>
        <w:pStyle w:val="Caption"/>
        <w:spacing w:after="240"/>
        <w:jc w:val="left"/>
        <w:sectPr w:rsidR="007B5BAF" w:rsidRPr="002C1E2B" w:rsidSect="007B5BAF">
          <w:headerReference w:type="default" r:id="rId53"/>
          <w:pgSz w:w="16839" w:h="11907" w:orient="landscape" w:code="1"/>
          <w:pgMar w:top="1440" w:right="1915" w:bottom="1440" w:left="1440" w:header="835" w:footer="202" w:gutter="0"/>
          <w:cols w:space="708"/>
          <w:docGrid w:linePitch="360"/>
        </w:sectPr>
      </w:pPr>
      <w:r w:rsidRPr="002C1E2B">
        <w:rPr>
          <w:noProof/>
          <w:lang w:eastAsia="en-AU"/>
        </w:rPr>
        <w:drawing>
          <wp:inline distT="0" distB="0" distL="0" distR="0" wp14:anchorId="156F9F8E" wp14:editId="7648B55E">
            <wp:extent cx="7790688" cy="3575304"/>
            <wp:effectExtent l="0" t="0" r="1270" b="6350"/>
            <wp:docPr id="480" name="Picture 4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790688" cy="3575304"/>
                    </a:xfrm>
                    <a:prstGeom prst="rect">
                      <a:avLst/>
                    </a:prstGeom>
                    <a:noFill/>
                    <a:ln>
                      <a:noFill/>
                    </a:ln>
                  </pic:spPr>
                </pic:pic>
              </a:graphicData>
            </a:graphic>
          </wp:inline>
        </w:drawing>
      </w:r>
    </w:p>
    <w:p w14:paraId="638EE324" w14:textId="77777777" w:rsidR="007B5BAF" w:rsidRPr="002C1E2B" w:rsidRDefault="007B5BAF" w:rsidP="00EF1195">
      <w:pPr>
        <w:pStyle w:val="Heading1"/>
        <w:numPr>
          <w:ilvl w:val="0"/>
          <w:numId w:val="1"/>
        </w:numPr>
      </w:pPr>
      <w:bookmarkStart w:id="328" w:name="_Toc476739313"/>
      <w:bookmarkStart w:id="329" w:name="_Toc476585867"/>
      <w:r w:rsidRPr="002C1E2B">
        <w:lastRenderedPageBreak/>
        <w:t>Summary of individual impacts</w:t>
      </w:r>
      <w:bookmarkEnd w:id="328"/>
      <w:bookmarkEnd w:id="329"/>
    </w:p>
    <w:p w14:paraId="7BACD250" w14:textId="77777777" w:rsidR="007B5BAF" w:rsidRPr="002C1E2B" w:rsidRDefault="007B5BAF" w:rsidP="007B5BAF">
      <w:pPr>
        <w:pStyle w:val="BodyText"/>
      </w:pPr>
      <w:r w:rsidRPr="002C1E2B">
        <w:t>The individual impacts to residents and retirement village operators increase as the sale time increases and the value of residents’ exit entitlement increases. Tables below show the range of costs to residents and retirement villages of moving into aged care from retirement villages under the aged care rule. It is assumed for these costs that the value of the RAD/DAP scales with the value of the exit entitlement that the resident is owed.</w:t>
      </w:r>
    </w:p>
    <w:p w14:paraId="300D3908" w14:textId="77777777" w:rsidR="007B5BAF" w:rsidRPr="002C1E2B" w:rsidRDefault="007B5BAF" w:rsidP="00775A8B">
      <w:pPr>
        <w:pStyle w:val="Caption"/>
        <w:spacing w:after="120"/>
      </w:pPr>
      <w:r w:rsidRPr="002C1E2B">
        <w:t xml:space="preserve">Table </w:t>
      </w:r>
      <w:r w:rsidRPr="002C1E2B">
        <w:fldChar w:fldCharType="begin"/>
      </w:r>
      <w:r w:rsidRPr="002C1E2B">
        <w:instrText xml:space="preserve"> STYLEREF 1 \s </w:instrText>
      </w:r>
      <w:r w:rsidRPr="002C1E2B">
        <w:fldChar w:fldCharType="separate"/>
      </w:r>
      <w:r w:rsidR="00BE6CE4">
        <w:rPr>
          <w:noProof/>
        </w:rPr>
        <w:t>F</w:t>
      </w:r>
      <w:r w:rsidRPr="002C1E2B">
        <w:fldChar w:fldCharType="end"/>
      </w:r>
      <w:r w:rsidRPr="002C1E2B">
        <w:t>.</w:t>
      </w:r>
      <w:r w:rsidRPr="002C1E2B">
        <w:fldChar w:fldCharType="begin"/>
      </w:r>
      <w:r w:rsidRPr="002C1E2B">
        <w:instrText xml:space="preserve"> SEQ Table \* ARABIC \s 1 </w:instrText>
      </w:r>
      <w:r w:rsidRPr="002C1E2B">
        <w:fldChar w:fldCharType="separate"/>
      </w:r>
      <w:r w:rsidR="00BE6CE4">
        <w:rPr>
          <w:noProof/>
        </w:rPr>
        <w:t>1</w:t>
      </w:r>
      <w:r w:rsidRPr="002C1E2B">
        <w:fldChar w:fldCharType="end"/>
      </w:r>
      <w:r w:rsidR="00775A8B">
        <w:t xml:space="preserve"> –</w:t>
      </w:r>
      <w:r w:rsidRPr="002C1E2B">
        <w:t xml:space="preserve"> Total cost to residents – RAD payment (by sale time and value of exit entitlement)</w:t>
      </w:r>
    </w:p>
    <w:tbl>
      <w:tblPr>
        <w:tblW w:w="5269" w:type="pct"/>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527"/>
        <w:gridCol w:w="885"/>
        <w:gridCol w:w="885"/>
        <w:gridCol w:w="886"/>
        <w:gridCol w:w="886"/>
        <w:gridCol w:w="886"/>
        <w:gridCol w:w="886"/>
        <w:gridCol w:w="886"/>
        <w:gridCol w:w="886"/>
        <w:gridCol w:w="889"/>
      </w:tblGrid>
      <w:tr w:rsidR="007B5BAF" w:rsidRPr="002C1E2B" w14:paraId="0ECBA34C" w14:textId="77777777" w:rsidTr="007B5BAF">
        <w:trPr>
          <w:trHeight w:val="315"/>
        </w:trPr>
        <w:tc>
          <w:tcPr>
            <w:tcW w:w="804" w:type="pct"/>
            <w:shd w:val="clear" w:color="auto" w:fill="auto"/>
            <w:noWrap/>
            <w:vAlign w:val="bottom"/>
            <w:hideMark/>
          </w:tcPr>
          <w:p w14:paraId="0651A607" w14:textId="77777777" w:rsidR="007B5BAF" w:rsidRPr="002C1E2B" w:rsidRDefault="007B5BAF" w:rsidP="007B5BAF">
            <w:pPr>
              <w:spacing w:before="60" w:after="60"/>
              <w:rPr>
                <w:rFonts w:ascii="Calibri" w:eastAsia="Times New Roman" w:hAnsi="Calibri" w:cs="Times New Roman"/>
                <w:color w:val="002E63"/>
                <w:sz w:val="20"/>
                <w:szCs w:val="20"/>
                <w:lang w:eastAsia="en-AU"/>
              </w:rPr>
            </w:pPr>
          </w:p>
        </w:tc>
        <w:tc>
          <w:tcPr>
            <w:tcW w:w="4196" w:type="pct"/>
            <w:gridSpan w:val="9"/>
            <w:shd w:val="clear" w:color="000000" w:fill="1F497D"/>
            <w:noWrap/>
            <w:vAlign w:val="center"/>
            <w:hideMark/>
          </w:tcPr>
          <w:p w14:paraId="055AFDEA" w14:textId="77777777" w:rsidR="007B5BAF" w:rsidRPr="002C1E2B" w:rsidRDefault="007B5BAF" w:rsidP="007B5BAF">
            <w:pPr>
              <w:spacing w:before="60" w:after="60"/>
              <w:rPr>
                <w:rFonts w:ascii="Calibri" w:eastAsia="Times New Roman" w:hAnsi="Calibri" w:cs="Times New Roman"/>
                <w:b/>
                <w:bCs/>
                <w:color w:val="002E63"/>
                <w:sz w:val="20"/>
                <w:szCs w:val="20"/>
                <w:lang w:eastAsia="en-AU"/>
              </w:rPr>
            </w:pPr>
            <w:r w:rsidRPr="002C1E2B">
              <w:rPr>
                <w:rFonts w:ascii="Calibri" w:eastAsia="Times New Roman" w:hAnsi="Calibri" w:cs="Times New Roman"/>
                <w:b/>
                <w:bCs/>
                <w:color w:val="FFFFFF"/>
                <w:sz w:val="20"/>
                <w:szCs w:val="20"/>
                <w:lang w:eastAsia="en-AU"/>
              </w:rPr>
              <w:t>Sale time (months)</w:t>
            </w:r>
          </w:p>
        </w:tc>
      </w:tr>
      <w:tr w:rsidR="007B5BAF" w:rsidRPr="002C1E2B" w14:paraId="38762733" w14:textId="77777777" w:rsidTr="007B5BAF">
        <w:trPr>
          <w:trHeight w:val="315"/>
        </w:trPr>
        <w:tc>
          <w:tcPr>
            <w:tcW w:w="804" w:type="pct"/>
            <w:shd w:val="clear" w:color="000000" w:fill="1F497D"/>
            <w:noWrap/>
            <w:vAlign w:val="center"/>
            <w:hideMark/>
          </w:tcPr>
          <w:p w14:paraId="3544514F" w14:textId="77777777" w:rsidR="007B5BAF" w:rsidRPr="002C1E2B" w:rsidRDefault="007B5BAF" w:rsidP="007B5BAF">
            <w:pPr>
              <w:spacing w:before="60" w:after="60"/>
              <w:rPr>
                <w:rFonts w:ascii="Calibri" w:eastAsia="Times New Roman" w:hAnsi="Calibri" w:cs="Times New Roman"/>
                <w:b/>
                <w:bCs/>
                <w:color w:val="FFFFFF"/>
                <w:sz w:val="19"/>
                <w:szCs w:val="19"/>
                <w:lang w:eastAsia="en-AU"/>
              </w:rPr>
            </w:pPr>
            <w:r w:rsidRPr="002C1E2B">
              <w:rPr>
                <w:rFonts w:ascii="Calibri" w:eastAsia="Times New Roman" w:hAnsi="Calibri" w:cs="Times New Roman"/>
                <w:b/>
                <w:bCs/>
                <w:color w:val="FFFFFF"/>
                <w:sz w:val="19"/>
                <w:szCs w:val="19"/>
                <w:lang w:eastAsia="en-AU"/>
              </w:rPr>
              <w:t>Exit  entitlement</w:t>
            </w:r>
          </w:p>
        </w:tc>
        <w:tc>
          <w:tcPr>
            <w:tcW w:w="466" w:type="pct"/>
            <w:shd w:val="clear" w:color="000000" w:fill="DBE5F1"/>
            <w:vAlign w:val="center"/>
            <w:hideMark/>
          </w:tcPr>
          <w:p w14:paraId="18F00E1B" w14:textId="77777777" w:rsidR="007B5BAF" w:rsidRPr="002C1E2B" w:rsidRDefault="007B5BAF" w:rsidP="007B5BAF">
            <w:pPr>
              <w:spacing w:before="60" w:after="60"/>
              <w:jc w:val="right"/>
              <w:rPr>
                <w:rFonts w:ascii="Calibri" w:eastAsia="Times New Roman" w:hAnsi="Calibri" w:cs="Times New Roman"/>
                <w:bCs/>
                <w:sz w:val="20"/>
                <w:szCs w:val="20"/>
                <w:lang w:eastAsia="en-AU"/>
              </w:rPr>
            </w:pPr>
            <w:r w:rsidRPr="002C1E2B">
              <w:rPr>
                <w:rFonts w:ascii="Calibri" w:eastAsia="Times New Roman" w:hAnsi="Calibri" w:cs="Times New Roman"/>
                <w:bCs/>
                <w:sz w:val="20"/>
                <w:szCs w:val="20"/>
                <w:lang w:eastAsia="en-AU"/>
              </w:rPr>
              <w:t>6</w:t>
            </w:r>
          </w:p>
        </w:tc>
        <w:tc>
          <w:tcPr>
            <w:tcW w:w="466" w:type="pct"/>
            <w:shd w:val="clear" w:color="000000" w:fill="DBE5F1"/>
            <w:vAlign w:val="center"/>
            <w:hideMark/>
          </w:tcPr>
          <w:p w14:paraId="4C59E372" w14:textId="77777777" w:rsidR="007B5BAF" w:rsidRPr="002C1E2B" w:rsidRDefault="007B5BAF" w:rsidP="007B5BAF">
            <w:pPr>
              <w:spacing w:before="60" w:after="60"/>
              <w:jc w:val="right"/>
              <w:rPr>
                <w:rFonts w:ascii="Calibri" w:eastAsia="Times New Roman" w:hAnsi="Calibri" w:cs="Times New Roman"/>
                <w:bCs/>
                <w:sz w:val="20"/>
                <w:szCs w:val="20"/>
                <w:lang w:eastAsia="en-AU"/>
              </w:rPr>
            </w:pPr>
            <w:r w:rsidRPr="002C1E2B">
              <w:rPr>
                <w:rFonts w:ascii="Calibri" w:eastAsia="Times New Roman" w:hAnsi="Calibri" w:cs="Times New Roman"/>
                <w:bCs/>
                <w:sz w:val="20"/>
                <w:szCs w:val="20"/>
                <w:lang w:eastAsia="en-AU"/>
              </w:rPr>
              <w:t>10.5</w:t>
            </w:r>
          </w:p>
        </w:tc>
        <w:tc>
          <w:tcPr>
            <w:tcW w:w="466" w:type="pct"/>
            <w:shd w:val="clear" w:color="000000" w:fill="DBE5F1"/>
            <w:vAlign w:val="center"/>
            <w:hideMark/>
          </w:tcPr>
          <w:p w14:paraId="2F776AC0" w14:textId="77777777" w:rsidR="007B5BAF" w:rsidRPr="002C1E2B" w:rsidRDefault="007B5BAF" w:rsidP="007B5BAF">
            <w:pPr>
              <w:spacing w:before="60" w:after="60"/>
              <w:jc w:val="right"/>
              <w:rPr>
                <w:rFonts w:ascii="Calibri" w:eastAsia="Times New Roman" w:hAnsi="Calibri" w:cs="Times New Roman"/>
                <w:bCs/>
                <w:sz w:val="20"/>
                <w:szCs w:val="20"/>
                <w:lang w:eastAsia="en-AU"/>
              </w:rPr>
            </w:pPr>
            <w:r w:rsidRPr="002C1E2B">
              <w:rPr>
                <w:rFonts w:ascii="Calibri" w:eastAsia="Times New Roman" w:hAnsi="Calibri" w:cs="Times New Roman"/>
                <w:bCs/>
                <w:sz w:val="20"/>
                <w:szCs w:val="20"/>
                <w:lang w:eastAsia="en-AU"/>
              </w:rPr>
              <w:t>12</w:t>
            </w:r>
          </w:p>
        </w:tc>
        <w:tc>
          <w:tcPr>
            <w:tcW w:w="466" w:type="pct"/>
            <w:shd w:val="clear" w:color="000000" w:fill="DBE5F1"/>
            <w:vAlign w:val="center"/>
            <w:hideMark/>
          </w:tcPr>
          <w:p w14:paraId="13471587" w14:textId="77777777" w:rsidR="007B5BAF" w:rsidRPr="002C1E2B" w:rsidRDefault="007B5BAF" w:rsidP="007B5BAF">
            <w:pPr>
              <w:spacing w:before="60" w:after="60"/>
              <w:jc w:val="right"/>
              <w:rPr>
                <w:rFonts w:ascii="Calibri" w:eastAsia="Times New Roman" w:hAnsi="Calibri" w:cs="Times New Roman"/>
                <w:bCs/>
                <w:sz w:val="20"/>
                <w:szCs w:val="20"/>
                <w:lang w:eastAsia="en-AU"/>
              </w:rPr>
            </w:pPr>
            <w:r w:rsidRPr="002C1E2B">
              <w:rPr>
                <w:rFonts w:ascii="Calibri" w:eastAsia="Times New Roman" w:hAnsi="Calibri" w:cs="Times New Roman"/>
                <w:bCs/>
                <w:sz w:val="20"/>
                <w:szCs w:val="20"/>
                <w:lang w:eastAsia="en-AU"/>
              </w:rPr>
              <w:t>18</w:t>
            </w:r>
          </w:p>
        </w:tc>
        <w:tc>
          <w:tcPr>
            <w:tcW w:w="466" w:type="pct"/>
            <w:shd w:val="clear" w:color="000000" w:fill="DBE5F1"/>
            <w:vAlign w:val="center"/>
            <w:hideMark/>
          </w:tcPr>
          <w:p w14:paraId="2911A45A" w14:textId="77777777" w:rsidR="007B5BAF" w:rsidRPr="002C1E2B" w:rsidRDefault="007B5BAF" w:rsidP="007B5BAF">
            <w:pPr>
              <w:spacing w:before="60" w:after="60"/>
              <w:jc w:val="right"/>
              <w:rPr>
                <w:rFonts w:ascii="Calibri" w:eastAsia="Times New Roman" w:hAnsi="Calibri" w:cs="Times New Roman"/>
                <w:bCs/>
                <w:sz w:val="20"/>
                <w:szCs w:val="20"/>
                <w:lang w:eastAsia="en-AU"/>
              </w:rPr>
            </w:pPr>
            <w:r w:rsidRPr="002C1E2B">
              <w:rPr>
                <w:rFonts w:ascii="Calibri" w:eastAsia="Times New Roman" w:hAnsi="Calibri" w:cs="Times New Roman"/>
                <w:bCs/>
                <w:sz w:val="20"/>
                <w:szCs w:val="20"/>
                <w:lang w:eastAsia="en-AU"/>
              </w:rPr>
              <w:t>24</w:t>
            </w:r>
          </w:p>
        </w:tc>
        <w:tc>
          <w:tcPr>
            <w:tcW w:w="466" w:type="pct"/>
            <w:shd w:val="clear" w:color="000000" w:fill="DBE5F1"/>
            <w:vAlign w:val="center"/>
            <w:hideMark/>
          </w:tcPr>
          <w:p w14:paraId="24DACF0A" w14:textId="77777777" w:rsidR="007B5BAF" w:rsidRPr="002C1E2B" w:rsidRDefault="007B5BAF" w:rsidP="007B5BAF">
            <w:pPr>
              <w:spacing w:before="60" w:after="60"/>
              <w:jc w:val="right"/>
              <w:rPr>
                <w:rFonts w:ascii="Calibri" w:eastAsia="Times New Roman" w:hAnsi="Calibri" w:cs="Times New Roman"/>
                <w:bCs/>
                <w:sz w:val="20"/>
                <w:szCs w:val="20"/>
                <w:lang w:eastAsia="en-AU"/>
              </w:rPr>
            </w:pPr>
            <w:r w:rsidRPr="002C1E2B">
              <w:rPr>
                <w:rFonts w:ascii="Calibri" w:eastAsia="Times New Roman" w:hAnsi="Calibri" w:cs="Times New Roman"/>
                <w:bCs/>
                <w:sz w:val="20"/>
                <w:szCs w:val="20"/>
                <w:lang w:eastAsia="en-AU"/>
              </w:rPr>
              <w:t>30</w:t>
            </w:r>
          </w:p>
        </w:tc>
        <w:tc>
          <w:tcPr>
            <w:tcW w:w="466" w:type="pct"/>
            <w:shd w:val="clear" w:color="000000" w:fill="DBE5F1"/>
            <w:vAlign w:val="center"/>
            <w:hideMark/>
          </w:tcPr>
          <w:p w14:paraId="79456AE7" w14:textId="77777777" w:rsidR="007B5BAF" w:rsidRPr="002C1E2B" w:rsidRDefault="007B5BAF" w:rsidP="007B5BAF">
            <w:pPr>
              <w:spacing w:before="60" w:after="60"/>
              <w:jc w:val="right"/>
              <w:rPr>
                <w:rFonts w:ascii="Calibri" w:eastAsia="Times New Roman" w:hAnsi="Calibri" w:cs="Times New Roman"/>
                <w:bCs/>
                <w:sz w:val="20"/>
                <w:szCs w:val="20"/>
                <w:lang w:eastAsia="en-AU"/>
              </w:rPr>
            </w:pPr>
            <w:r w:rsidRPr="002C1E2B">
              <w:rPr>
                <w:rFonts w:ascii="Calibri" w:eastAsia="Times New Roman" w:hAnsi="Calibri" w:cs="Times New Roman"/>
                <w:bCs/>
                <w:sz w:val="20"/>
                <w:szCs w:val="20"/>
                <w:lang w:eastAsia="en-AU"/>
              </w:rPr>
              <w:t>36</w:t>
            </w:r>
          </w:p>
        </w:tc>
        <w:tc>
          <w:tcPr>
            <w:tcW w:w="466" w:type="pct"/>
            <w:shd w:val="clear" w:color="000000" w:fill="DBE5F1"/>
            <w:vAlign w:val="center"/>
            <w:hideMark/>
          </w:tcPr>
          <w:p w14:paraId="77230990" w14:textId="77777777" w:rsidR="007B5BAF" w:rsidRPr="002C1E2B" w:rsidRDefault="007B5BAF" w:rsidP="007B5BAF">
            <w:pPr>
              <w:spacing w:before="60" w:after="60"/>
              <w:jc w:val="right"/>
              <w:rPr>
                <w:rFonts w:ascii="Calibri" w:eastAsia="Times New Roman" w:hAnsi="Calibri" w:cs="Times New Roman"/>
                <w:bCs/>
                <w:sz w:val="20"/>
                <w:szCs w:val="20"/>
                <w:lang w:eastAsia="en-AU"/>
              </w:rPr>
            </w:pPr>
            <w:r w:rsidRPr="002C1E2B">
              <w:rPr>
                <w:rFonts w:ascii="Calibri" w:eastAsia="Times New Roman" w:hAnsi="Calibri" w:cs="Times New Roman"/>
                <w:bCs/>
                <w:sz w:val="20"/>
                <w:szCs w:val="20"/>
                <w:lang w:eastAsia="en-AU"/>
              </w:rPr>
              <w:t>42</w:t>
            </w:r>
          </w:p>
        </w:tc>
        <w:tc>
          <w:tcPr>
            <w:tcW w:w="467" w:type="pct"/>
            <w:shd w:val="clear" w:color="000000" w:fill="DBE5F1"/>
            <w:vAlign w:val="center"/>
            <w:hideMark/>
          </w:tcPr>
          <w:p w14:paraId="1632DDDD" w14:textId="77777777" w:rsidR="007B5BAF" w:rsidRPr="002C1E2B" w:rsidRDefault="007B5BAF" w:rsidP="007B5BAF">
            <w:pPr>
              <w:spacing w:before="60" w:after="60"/>
              <w:jc w:val="right"/>
              <w:rPr>
                <w:rFonts w:ascii="Calibri" w:eastAsia="Times New Roman" w:hAnsi="Calibri" w:cs="Times New Roman"/>
                <w:bCs/>
                <w:sz w:val="20"/>
                <w:szCs w:val="20"/>
                <w:lang w:eastAsia="en-AU"/>
              </w:rPr>
            </w:pPr>
            <w:r w:rsidRPr="002C1E2B">
              <w:rPr>
                <w:rFonts w:ascii="Calibri" w:eastAsia="Times New Roman" w:hAnsi="Calibri" w:cs="Times New Roman"/>
                <w:bCs/>
                <w:sz w:val="20"/>
                <w:szCs w:val="20"/>
                <w:lang w:eastAsia="en-AU"/>
              </w:rPr>
              <w:t>48</w:t>
            </w:r>
          </w:p>
        </w:tc>
      </w:tr>
      <w:tr w:rsidR="007B5BAF" w:rsidRPr="002C1E2B" w14:paraId="101F3534" w14:textId="77777777" w:rsidTr="007B5BAF">
        <w:trPr>
          <w:trHeight w:val="315"/>
        </w:trPr>
        <w:tc>
          <w:tcPr>
            <w:tcW w:w="804" w:type="pct"/>
            <w:shd w:val="clear" w:color="000000" w:fill="DBE5F1"/>
            <w:noWrap/>
            <w:vAlign w:val="center"/>
            <w:hideMark/>
          </w:tcPr>
          <w:p w14:paraId="27CAA70C" w14:textId="77777777" w:rsidR="007B5BAF" w:rsidRPr="002C1E2B" w:rsidRDefault="007B5BAF" w:rsidP="007B5BAF">
            <w:pPr>
              <w:spacing w:before="60" w:after="60"/>
              <w:jc w:val="right"/>
              <w:rPr>
                <w:rFonts w:ascii="Calibri" w:eastAsia="Times New Roman" w:hAnsi="Calibri" w:cs="Times New Roman"/>
                <w:bCs/>
                <w:sz w:val="20"/>
                <w:szCs w:val="20"/>
                <w:lang w:eastAsia="en-AU"/>
              </w:rPr>
            </w:pPr>
            <w:r w:rsidRPr="002C1E2B">
              <w:rPr>
                <w:rFonts w:ascii="Calibri" w:eastAsia="Times New Roman" w:hAnsi="Calibri" w:cs="Times New Roman"/>
                <w:bCs/>
                <w:sz w:val="20"/>
                <w:szCs w:val="20"/>
                <w:lang w:eastAsia="en-AU"/>
              </w:rPr>
              <w:t>$50,000</w:t>
            </w:r>
          </w:p>
        </w:tc>
        <w:tc>
          <w:tcPr>
            <w:tcW w:w="466" w:type="pct"/>
            <w:shd w:val="clear" w:color="000000" w:fill="FFFFFF"/>
            <w:vAlign w:val="center"/>
            <w:hideMark/>
          </w:tcPr>
          <w:p w14:paraId="247730D5"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-$1,440</w:t>
            </w:r>
          </w:p>
        </w:tc>
        <w:tc>
          <w:tcPr>
            <w:tcW w:w="466" w:type="pct"/>
            <w:shd w:val="clear" w:color="000000" w:fill="FFFFFF"/>
            <w:vAlign w:val="center"/>
            <w:hideMark/>
          </w:tcPr>
          <w:p w14:paraId="0B991B12"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-$1,599</w:t>
            </w:r>
          </w:p>
        </w:tc>
        <w:tc>
          <w:tcPr>
            <w:tcW w:w="466" w:type="pct"/>
            <w:shd w:val="clear" w:color="000000" w:fill="FFFFFF"/>
            <w:vAlign w:val="center"/>
            <w:hideMark/>
          </w:tcPr>
          <w:p w14:paraId="0BB04427"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-$1,653</w:t>
            </w:r>
          </w:p>
        </w:tc>
        <w:tc>
          <w:tcPr>
            <w:tcW w:w="466" w:type="pct"/>
            <w:shd w:val="clear" w:color="000000" w:fill="FFFFFF"/>
            <w:vAlign w:val="center"/>
            <w:hideMark/>
          </w:tcPr>
          <w:p w14:paraId="04335201"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-$1,873</w:t>
            </w:r>
          </w:p>
        </w:tc>
        <w:tc>
          <w:tcPr>
            <w:tcW w:w="466" w:type="pct"/>
            <w:shd w:val="clear" w:color="000000" w:fill="FFFFFF"/>
            <w:vAlign w:val="center"/>
            <w:hideMark/>
          </w:tcPr>
          <w:p w14:paraId="3FDDAEEE"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-$2,101</w:t>
            </w:r>
          </w:p>
        </w:tc>
        <w:tc>
          <w:tcPr>
            <w:tcW w:w="466" w:type="pct"/>
            <w:shd w:val="clear" w:color="000000" w:fill="FFFFFF"/>
            <w:vAlign w:val="center"/>
            <w:hideMark/>
          </w:tcPr>
          <w:p w14:paraId="368CADA3"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-$2,335</w:t>
            </w:r>
          </w:p>
        </w:tc>
        <w:tc>
          <w:tcPr>
            <w:tcW w:w="466" w:type="pct"/>
            <w:shd w:val="clear" w:color="000000" w:fill="FFFFFF"/>
            <w:vAlign w:val="center"/>
            <w:hideMark/>
          </w:tcPr>
          <w:p w14:paraId="4DEE2380"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-$2,578</w:t>
            </w:r>
          </w:p>
        </w:tc>
        <w:tc>
          <w:tcPr>
            <w:tcW w:w="466" w:type="pct"/>
            <w:shd w:val="clear" w:color="000000" w:fill="FFFFFF"/>
            <w:vAlign w:val="center"/>
            <w:hideMark/>
          </w:tcPr>
          <w:p w14:paraId="43D4C4CF"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-$2,827</w:t>
            </w:r>
          </w:p>
        </w:tc>
        <w:tc>
          <w:tcPr>
            <w:tcW w:w="467" w:type="pct"/>
            <w:shd w:val="clear" w:color="000000" w:fill="FFFFFF"/>
            <w:vAlign w:val="center"/>
            <w:hideMark/>
          </w:tcPr>
          <w:p w14:paraId="548F14D6"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-$3,085</w:t>
            </w:r>
          </w:p>
        </w:tc>
      </w:tr>
      <w:tr w:rsidR="007B5BAF" w:rsidRPr="002C1E2B" w14:paraId="10BBB27B" w14:textId="77777777" w:rsidTr="007B5BAF">
        <w:trPr>
          <w:trHeight w:val="315"/>
        </w:trPr>
        <w:tc>
          <w:tcPr>
            <w:tcW w:w="804" w:type="pct"/>
            <w:shd w:val="clear" w:color="000000" w:fill="DBE5F1"/>
            <w:noWrap/>
            <w:vAlign w:val="center"/>
            <w:hideMark/>
          </w:tcPr>
          <w:p w14:paraId="1848CF1B" w14:textId="77777777" w:rsidR="007B5BAF" w:rsidRPr="002C1E2B" w:rsidRDefault="007B5BAF" w:rsidP="007B5BAF">
            <w:pPr>
              <w:spacing w:before="60" w:after="60"/>
              <w:jc w:val="right"/>
              <w:rPr>
                <w:rFonts w:ascii="Calibri" w:eastAsia="Times New Roman" w:hAnsi="Calibri" w:cs="Times New Roman"/>
                <w:bCs/>
                <w:sz w:val="20"/>
                <w:szCs w:val="20"/>
                <w:lang w:eastAsia="en-AU"/>
              </w:rPr>
            </w:pPr>
            <w:r w:rsidRPr="002C1E2B">
              <w:rPr>
                <w:rFonts w:ascii="Calibri" w:eastAsia="Times New Roman" w:hAnsi="Calibri" w:cs="Times New Roman"/>
                <w:bCs/>
                <w:sz w:val="20"/>
                <w:szCs w:val="20"/>
                <w:lang w:eastAsia="en-AU"/>
              </w:rPr>
              <w:t>$100,000</w:t>
            </w:r>
          </w:p>
        </w:tc>
        <w:tc>
          <w:tcPr>
            <w:tcW w:w="466" w:type="pct"/>
            <w:shd w:val="clear" w:color="000000" w:fill="FFFFFF"/>
            <w:vAlign w:val="center"/>
            <w:hideMark/>
          </w:tcPr>
          <w:p w14:paraId="3C3DEFAA"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-$2,880</w:t>
            </w:r>
          </w:p>
        </w:tc>
        <w:tc>
          <w:tcPr>
            <w:tcW w:w="466" w:type="pct"/>
            <w:shd w:val="clear" w:color="000000" w:fill="FFFFFF"/>
            <w:vAlign w:val="center"/>
            <w:hideMark/>
          </w:tcPr>
          <w:p w14:paraId="2F2010B8"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-$3,199</w:t>
            </w:r>
          </w:p>
        </w:tc>
        <w:tc>
          <w:tcPr>
            <w:tcW w:w="466" w:type="pct"/>
            <w:shd w:val="clear" w:color="000000" w:fill="FFFFFF"/>
            <w:vAlign w:val="center"/>
            <w:hideMark/>
          </w:tcPr>
          <w:p w14:paraId="7C2E3304"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-$3,306</w:t>
            </w:r>
          </w:p>
        </w:tc>
        <w:tc>
          <w:tcPr>
            <w:tcW w:w="466" w:type="pct"/>
            <w:shd w:val="clear" w:color="000000" w:fill="FFFFFF"/>
            <w:vAlign w:val="center"/>
            <w:hideMark/>
          </w:tcPr>
          <w:p w14:paraId="136807EF"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-$3,747</w:t>
            </w:r>
          </w:p>
        </w:tc>
        <w:tc>
          <w:tcPr>
            <w:tcW w:w="466" w:type="pct"/>
            <w:shd w:val="clear" w:color="000000" w:fill="FFFFFF"/>
            <w:vAlign w:val="center"/>
            <w:hideMark/>
          </w:tcPr>
          <w:p w14:paraId="19050975"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-$4,201</w:t>
            </w:r>
          </w:p>
        </w:tc>
        <w:tc>
          <w:tcPr>
            <w:tcW w:w="466" w:type="pct"/>
            <w:shd w:val="clear" w:color="000000" w:fill="FFFFFF"/>
            <w:vAlign w:val="center"/>
            <w:hideMark/>
          </w:tcPr>
          <w:p w14:paraId="714898BB"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-$4,671</w:t>
            </w:r>
          </w:p>
        </w:tc>
        <w:tc>
          <w:tcPr>
            <w:tcW w:w="466" w:type="pct"/>
            <w:shd w:val="clear" w:color="000000" w:fill="FFFFFF"/>
            <w:vAlign w:val="center"/>
            <w:hideMark/>
          </w:tcPr>
          <w:p w14:paraId="091825DD"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-$5,155</w:t>
            </w:r>
          </w:p>
        </w:tc>
        <w:tc>
          <w:tcPr>
            <w:tcW w:w="466" w:type="pct"/>
            <w:shd w:val="clear" w:color="000000" w:fill="FFFFFF"/>
            <w:vAlign w:val="center"/>
            <w:hideMark/>
          </w:tcPr>
          <w:p w14:paraId="7E71405C"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-$5,655</w:t>
            </w:r>
          </w:p>
        </w:tc>
        <w:tc>
          <w:tcPr>
            <w:tcW w:w="467" w:type="pct"/>
            <w:shd w:val="clear" w:color="000000" w:fill="FFFFFF"/>
            <w:vAlign w:val="center"/>
            <w:hideMark/>
          </w:tcPr>
          <w:p w14:paraId="59BF08A6"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-$6,170</w:t>
            </w:r>
          </w:p>
        </w:tc>
      </w:tr>
      <w:tr w:rsidR="007B5BAF" w:rsidRPr="002C1E2B" w14:paraId="28FC3105" w14:textId="77777777" w:rsidTr="007B5BAF">
        <w:trPr>
          <w:trHeight w:val="315"/>
        </w:trPr>
        <w:tc>
          <w:tcPr>
            <w:tcW w:w="804" w:type="pct"/>
            <w:shd w:val="clear" w:color="000000" w:fill="DBE5F1"/>
            <w:noWrap/>
            <w:vAlign w:val="center"/>
            <w:hideMark/>
          </w:tcPr>
          <w:p w14:paraId="0BBADAEC" w14:textId="77777777" w:rsidR="007B5BAF" w:rsidRPr="002C1E2B" w:rsidRDefault="007B5BAF" w:rsidP="007B5BAF">
            <w:pPr>
              <w:spacing w:before="60" w:after="60"/>
              <w:jc w:val="right"/>
              <w:rPr>
                <w:rFonts w:ascii="Calibri" w:eastAsia="Times New Roman" w:hAnsi="Calibri" w:cs="Times New Roman"/>
                <w:bCs/>
                <w:sz w:val="20"/>
                <w:szCs w:val="20"/>
                <w:lang w:eastAsia="en-AU"/>
              </w:rPr>
            </w:pPr>
            <w:r w:rsidRPr="002C1E2B">
              <w:rPr>
                <w:rFonts w:ascii="Calibri" w:eastAsia="Times New Roman" w:hAnsi="Calibri" w:cs="Times New Roman"/>
                <w:bCs/>
                <w:sz w:val="20"/>
                <w:szCs w:val="20"/>
                <w:lang w:eastAsia="en-AU"/>
              </w:rPr>
              <w:t>$200,000</w:t>
            </w:r>
          </w:p>
        </w:tc>
        <w:tc>
          <w:tcPr>
            <w:tcW w:w="466" w:type="pct"/>
            <w:shd w:val="clear" w:color="000000" w:fill="FFFFFF"/>
            <w:vAlign w:val="center"/>
            <w:hideMark/>
          </w:tcPr>
          <w:p w14:paraId="1A6D5917"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-$5,760</w:t>
            </w:r>
          </w:p>
        </w:tc>
        <w:tc>
          <w:tcPr>
            <w:tcW w:w="466" w:type="pct"/>
            <w:shd w:val="clear" w:color="000000" w:fill="FFFFFF"/>
            <w:vAlign w:val="center"/>
            <w:hideMark/>
          </w:tcPr>
          <w:p w14:paraId="6FFF9A86"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-$6,397</w:t>
            </w:r>
          </w:p>
        </w:tc>
        <w:tc>
          <w:tcPr>
            <w:tcW w:w="466" w:type="pct"/>
            <w:shd w:val="clear" w:color="000000" w:fill="FFFFFF"/>
            <w:vAlign w:val="center"/>
            <w:hideMark/>
          </w:tcPr>
          <w:p w14:paraId="3BD7F859"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-$6,613</w:t>
            </w:r>
          </w:p>
        </w:tc>
        <w:tc>
          <w:tcPr>
            <w:tcW w:w="466" w:type="pct"/>
            <w:shd w:val="clear" w:color="000000" w:fill="FFFFFF"/>
            <w:vAlign w:val="center"/>
            <w:hideMark/>
          </w:tcPr>
          <w:p w14:paraId="675F36EF"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-$7,494</w:t>
            </w:r>
          </w:p>
        </w:tc>
        <w:tc>
          <w:tcPr>
            <w:tcW w:w="466" w:type="pct"/>
            <w:shd w:val="clear" w:color="000000" w:fill="FFFFFF"/>
            <w:vAlign w:val="center"/>
            <w:hideMark/>
          </w:tcPr>
          <w:p w14:paraId="4ACB6F67"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-$8,403</w:t>
            </w:r>
          </w:p>
        </w:tc>
        <w:tc>
          <w:tcPr>
            <w:tcW w:w="466" w:type="pct"/>
            <w:shd w:val="clear" w:color="000000" w:fill="FFFFFF"/>
            <w:vAlign w:val="center"/>
            <w:hideMark/>
          </w:tcPr>
          <w:p w14:paraId="797D9091"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-$9,342</w:t>
            </w:r>
          </w:p>
        </w:tc>
        <w:tc>
          <w:tcPr>
            <w:tcW w:w="466" w:type="pct"/>
            <w:shd w:val="clear" w:color="000000" w:fill="FFFFFF"/>
            <w:vAlign w:val="center"/>
            <w:hideMark/>
          </w:tcPr>
          <w:p w14:paraId="611FF5D2"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-$10,310</w:t>
            </w:r>
          </w:p>
        </w:tc>
        <w:tc>
          <w:tcPr>
            <w:tcW w:w="466" w:type="pct"/>
            <w:shd w:val="clear" w:color="000000" w:fill="FFFFFF"/>
            <w:vAlign w:val="center"/>
            <w:hideMark/>
          </w:tcPr>
          <w:p w14:paraId="22266FC1"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-$11,310</w:t>
            </w:r>
          </w:p>
        </w:tc>
        <w:tc>
          <w:tcPr>
            <w:tcW w:w="467" w:type="pct"/>
            <w:shd w:val="clear" w:color="000000" w:fill="FFFFFF"/>
            <w:vAlign w:val="center"/>
            <w:hideMark/>
          </w:tcPr>
          <w:p w14:paraId="3799F942"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-$12,340</w:t>
            </w:r>
          </w:p>
        </w:tc>
      </w:tr>
      <w:tr w:rsidR="007B5BAF" w:rsidRPr="002C1E2B" w14:paraId="1DE0E12D" w14:textId="77777777" w:rsidTr="007B5BAF">
        <w:trPr>
          <w:trHeight w:val="315"/>
        </w:trPr>
        <w:tc>
          <w:tcPr>
            <w:tcW w:w="804" w:type="pct"/>
            <w:shd w:val="clear" w:color="000000" w:fill="DBE5F1"/>
            <w:noWrap/>
            <w:vAlign w:val="center"/>
            <w:hideMark/>
          </w:tcPr>
          <w:p w14:paraId="6DF150B3" w14:textId="77777777" w:rsidR="007B5BAF" w:rsidRPr="002C1E2B" w:rsidRDefault="007B5BAF" w:rsidP="007B5BAF">
            <w:pPr>
              <w:spacing w:before="60" w:after="60"/>
              <w:jc w:val="right"/>
              <w:rPr>
                <w:rFonts w:ascii="Calibri" w:eastAsia="Times New Roman" w:hAnsi="Calibri" w:cs="Times New Roman"/>
                <w:bCs/>
                <w:sz w:val="20"/>
                <w:szCs w:val="20"/>
                <w:lang w:eastAsia="en-AU"/>
              </w:rPr>
            </w:pPr>
            <w:r w:rsidRPr="002C1E2B">
              <w:rPr>
                <w:rFonts w:ascii="Calibri" w:eastAsia="Times New Roman" w:hAnsi="Calibri" w:cs="Times New Roman"/>
                <w:bCs/>
                <w:sz w:val="20"/>
                <w:szCs w:val="20"/>
                <w:lang w:eastAsia="en-AU"/>
              </w:rPr>
              <w:t>$258,700</w:t>
            </w:r>
          </w:p>
        </w:tc>
        <w:tc>
          <w:tcPr>
            <w:tcW w:w="466" w:type="pct"/>
            <w:shd w:val="clear" w:color="000000" w:fill="FFFFFF"/>
            <w:vAlign w:val="center"/>
            <w:hideMark/>
          </w:tcPr>
          <w:p w14:paraId="5DB1D298"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-$7,451</w:t>
            </w:r>
          </w:p>
        </w:tc>
        <w:tc>
          <w:tcPr>
            <w:tcW w:w="466" w:type="pct"/>
            <w:shd w:val="clear" w:color="000000" w:fill="FFFFFF"/>
            <w:vAlign w:val="center"/>
            <w:hideMark/>
          </w:tcPr>
          <w:p w14:paraId="09E8FCE5" w14:textId="77777777" w:rsidR="007B5BAF" w:rsidRPr="002C1E2B" w:rsidRDefault="007B5BAF" w:rsidP="007B5BAF">
            <w:pPr>
              <w:spacing w:before="60" w:after="60"/>
              <w:jc w:val="right"/>
              <w:rPr>
                <w:rFonts w:ascii="Calibri" w:hAnsi="Calibri"/>
                <w:b/>
                <w:sz w:val="20"/>
                <w:szCs w:val="20"/>
              </w:rPr>
            </w:pPr>
            <w:r w:rsidRPr="002C1E2B">
              <w:rPr>
                <w:rFonts w:ascii="Calibri" w:hAnsi="Calibri"/>
                <w:b/>
                <w:sz w:val="20"/>
                <w:szCs w:val="20"/>
              </w:rPr>
              <w:t>-$8,275</w:t>
            </w:r>
          </w:p>
        </w:tc>
        <w:tc>
          <w:tcPr>
            <w:tcW w:w="466" w:type="pct"/>
            <w:shd w:val="clear" w:color="000000" w:fill="FFFFFF"/>
            <w:vAlign w:val="center"/>
            <w:hideMark/>
          </w:tcPr>
          <w:p w14:paraId="4A3A9157"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-$8,554</w:t>
            </w:r>
          </w:p>
        </w:tc>
        <w:tc>
          <w:tcPr>
            <w:tcW w:w="466" w:type="pct"/>
            <w:shd w:val="clear" w:color="000000" w:fill="FFFFFF"/>
            <w:vAlign w:val="center"/>
            <w:hideMark/>
          </w:tcPr>
          <w:p w14:paraId="43E6A0A1"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-$9,693</w:t>
            </w:r>
          </w:p>
        </w:tc>
        <w:tc>
          <w:tcPr>
            <w:tcW w:w="466" w:type="pct"/>
            <w:shd w:val="clear" w:color="000000" w:fill="FFFFFF"/>
            <w:vAlign w:val="center"/>
            <w:hideMark/>
          </w:tcPr>
          <w:p w14:paraId="01AD1B28"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-$10,869</w:t>
            </w:r>
          </w:p>
        </w:tc>
        <w:tc>
          <w:tcPr>
            <w:tcW w:w="466" w:type="pct"/>
            <w:shd w:val="clear" w:color="000000" w:fill="FFFFFF"/>
            <w:vAlign w:val="center"/>
            <w:hideMark/>
          </w:tcPr>
          <w:p w14:paraId="68F778C3"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-$12,083</w:t>
            </w:r>
          </w:p>
        </w:tc>
        <w:tc>
          <w:tcPr>
            <w:tcW w:w="466" w:type="pct"/>
            <w:shd w:val="clear" w:color="000000" w:fill="FFFFFF"/>
            <w:vAlign w:val="center"/>
            <w:hideMark/>
          </w:tcPr>
          <w:p w14:paraId="78E0C9A0"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-$13,336</w:t>
            </w:r>
          </w:p>
        </w:tc>
        <w:tc>
          <w:tcPr>
            <w:tcW w:w="466" w:type="pct"/>
            <w:shd w:val="clear" w:color="000000" w:fill="FFFFFF"/>
            <w:vAlign w:val="center"/>
            <w:hideMark/>
          </w:tcPr>
          <w:p w14:paraId="62A3E879"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-$14,629</w:t>
            </w:r>
          </w:p>
        </w:tc>
        <w:tc>
          <w:tcPr>
            <w:tcW w:w="467" w:type="pct"/>
            <w:shd w:val="clear" w:color="000000" w:fill="FFFFFF"/>
            <w:vAlign w:val="center"/>
            <w:hideMark/>
          </w:tcPr>
          <w:p w14:paraId="451A52A2"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-$15,962</w:t>
            </w:r>
          </w:p>
        </w:tc>
      </w:tr>
      <w:tr w:rsidR="007B5BAF" w:rsidRPr="002C1E2B" w14:paraId="0F88215C" w14:textId="77777777" w:rsidTr="007B5BAF">
        <w:trPr>
          <w:trHeight w:val="315"/>
        </w:trPr>
        <w:tc>
          <w:tcPr>
            <w:tcW w:w="804" w:type="pct"/>
            <w:shd w:val="clear" w:color="000000" w:fill="DBE5F1"/>
            <w:noWrap/>
            <w:vAlign w:val="center"/>
            <w:hideMark/>
          </w:tcPr>
          <w:p w14:paraId="572B4A65" w14:textId="77777777" w:rsidR="007B5BAF" w:rsidRPr="002C1E2B" w:rsidRDefault="007B5BAF" w:rsidP="007B5BAF">
            <w:pPr>
              <w:spacing w:before="60" w:after="60"/>
              <w:jc w:val="right"/>
              <w:rPr>
                <w:rFonts w:ascii="Calibri" w:eastAsia="Times New Roman" w:hAnsi="Calibri" w:cs="Times New Roman"/>
                <w:bCs/>
                <w:sz w:val="20"/>
                <w:szCs w:val="20"/>
                <w:lang w:eastAsia="en-AU"/>
              </w:rPr>
            </w:pPr>
            <w:r w:rsidRPr="002C1E2B">
              <w:rPr>
                <w:rFonts w:ascii="Calibri" w:eastAsia="Times New Roman" w:hAnsi="Calibri" w:cs="Times New Roman"/>
                <w:bCs/>
                <w:sz w:val="20"/>
                <w:szCs w:val="20"/>
                <w:lang w:eastAsia="en-AU"/>
              </w:rPr>
              <w:t>$300,000</w:t>
            </w:r>
          </w:p>
        </w:tc>
        <w:tc>
          <w:tcPr>
            <w:tcW w:w="466" w:type="pct"/>
            <w:shd w:val="clear" w:color="000000" w:fill="FFFFFF"/>
            <w:vAlign w:val="center"/>
            <w:hideMark/>
          </w:tcPr>
          <w:p w14:paraId="32D1F6BC"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-$8,640</w:t>
            </w:r>
          </w:p>
        </w:tc>
        <w:tc>
          <w:tcPr>
            <w:tcW w:w="466" w:type="pct"/>
            <w:shd w:val="clear" w:color="000000" w:fill="FFFFFF"/>
            <w:vAlign w:val="center"/>
            <w:hideMark/>
          </w:tcPr>
          <w:p w14:paraId="3BF34F4E"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-$9,596</w:t>
            </w:r>
          </w:p>
        </w:tc>
        <w:tc>
          <w:tcPr>
            <w:tcW w:w="466" w:type="pct"/>
            <w:shd w:val="clear" w:color="000000" w:fill="FFFFFF"/>
            <w:vAlign w:val="center"/>
            <w:hideMark/>
          </w:tcPr>
          <w:p w14:paraId="00364858"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-$9,919</w:t>
            </w:r>
          </w:p>
        </w:tc>
        <w:tc>
          <w:tcPr>
            <w:tcW w:w="466" w:type="pct"/>
            <w:shd w:val="clear" w:color="000000" w:fill="FFFFFF"/>
            <w:vAlign w:val="center"/>
            <w:hideMark/>
          </w:tcPr>
          <w:p w14:paraId="3D8205C0"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-$11,240</w:t>
            </w:r>
          </w:p>
        </w:tc>
        <w:tc>
          <w:tcPr>
            <w:tcW w:w="466" w:type="pct"/>
            <w:shd w:val="clear" w:color="000000" w:fill="FFFFFF"/>
            <w:vAlign w:val="center"/>
            <w:hideMark/>
          </w:tcPr>
          <w:p w14:paraId="40236FEB"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-$12,604</w:t>
            </w:r>
          </w:p>
        </w:tc>
        <w:tc>
          <w:tcPr>
            <w:tcW w:w="466" w:type="pct"/>
            <w:shd w:val="clear" w:color="000000" w:fill="FFFFFF"/>
            <w:vAlign w:val="center"/>
            <w:hideMark/>
          </w:tcPr>
          <w:p w14:paraId="2A895214"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-$14,012</w:t>
            </w:r>
          </w:p>
        </w:tc>
        <w:tc>
          <w:tcPr>
            <w:tcW w:w="466" w:type="pct"/>
            <w:shd w:val="clear" w:color="000000" w:fill="FFFFFF"/>
            <w:vAlign w:val="center"/>
            <w:hideMark/>
          </w:tcPr>
          <w:p w14:paraId="711E9C95"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-$15,465</w:t>
            </w:r>
          </w:p>
        </w:tc>
        <w:tc>
          <w:tcPr>
            <w:tcW w:w="466" w:type="pct"/>
            <w:shd w:val="clear" w:color="000000" w:fill="FFFFFF"/>
            <w:vAlign w:val="center"/>
            <w:hideMark/>
          </w:tcPr>
          <w:p w14:paraId="3E69FFBB"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-$16,964</w:t>
            </w:r>
          </w:p>
        </w:tc>
        <w:tc>
          <w:tcPr>
            <w:tcW w:w="467" w:type="pct"/>
            <w:shd w:val="clear" w:color="000000" w:fill="FFFFFF"/>
            <w:vAlign w:val="center"/>
            <w:hideMark/>
          </w:tcPr>
          <w:p w14:paraId="03848FAA"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-$18,511</w:t>
            </w:r>
          </w:p>
        </w:tc>
      </w:tr>
      <w:tr w:rsidR="007B5BAF" w:rsidRPr="002C1E2B" w14:paraId="193E93A8" w14:textId="77777777" w:rsidTr="007B5BAF">
        <w:trPr>
          <w:trHeight w:val="315"/>
        </w:trPr>
        <w:tc>
          <w:tcPr>
            <w:tcW w:w="804" w:type="pct"/>
            <w:shd w:val="clear" w:color="000000" w:fill="DBE5F1"/>
            <w:noWrap/>
            <w:vAlign w:val="center"/>
            <w:hideMark/>
          </w:tcPr>
          <w:p w14:paraId="74748D87" w14:textId="77777777" w:rsidR="007B5BAF" w:rsidRPr="002C1E2B" w:rsidRDefault="007B5BAF" w:rsidP="007B5BAF">
            <w:pPr>
              <w:spacing w:before="60" w:after="60"/>
              <w:jc w:val="right"/>
              <w:rPr>
                <w:rFonts w:ascii="Calibri" w:eastAsia="Times New Roman" w:hAnsi="Calibri" w:cs="Times New Roman"/>
                <w:bCs/>
                <w:sz w:val="20"/>
                <w:szCs w:val="20"/>
                <w:lang w:eastAsia="en-AU"/>
              </w:rPr>
            </w:pPr>
            <w:r w:rsidRPr="002C1E2B">
              <w:rPr>
                <w:rFonts w:ascii="Calibri" w:eastAsia="Times New Roman" w:hAnsi="Calibri" w:cs="Times New Roman"/>
                <w:bCs/>
                <w:sz w:val="20"/>
                <w:szCs w:val="20"/>
                <w:lang w:eastAsia="en-AU"/>
              </w:rPr>
              <w:t>$400,000</w:t>
            </w:r>
          </w:p>
        </w:tc>
        <w:tc>
          <w:tcPr>
            <w:tcW w:w="466" w:type="pct"/>
            <w:shd w:val="clear" w:color="000000" w:fill="FFFFFF"/>
            <w:vAlign w:val="center"/>
            <w:hideMark/>
          </w:tcPr>
          <w:p w14:paraId="36665C58"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-$11,520</w:t>
            </w:r>
          </w:p>
        </w:tc>
        <w:tc>
          <w:tcPr>
            <w:tcW w:w="466" w:type="pct"/>
            <w:shd w:val="clear" w:color="000000" w:fill="FFFFFF"/>
            <w:vAlign w:val="center"/>
            <w:hideMark/>
          </w:tcPr>
          <w:p w14:paraId="0FF16FD1"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-$12,794</w:t>
            </w:r>
          </w:p>
        </w:tc>
        <w:tc>
          <w:tcPr>
            <w:tcW w:w="466" w:type="pct"/>
            <w:shd w:val="clear" w:color="000000" w:fill="FFFFFF"/>
            <w:vAlign w:val="center"/>
            <w:hideMark/>
          </w:tcPr>
          <w:p w14:paraId="3C5B6238"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-$13,226</w:t>
            </w:r>
          </w:p>
        </w:tc>
        <w:tc>
          <w:tcPr>
            <w:tcW w:w="466" w:type="pct"/>
            <w:shd w:val="clear" w:color="000000" w:fill="FFFFFF"/>
            <w:vAlign w:val="center"/>
            <w:hideMark/>
          </w:tcPr>
          <w:p w14:paraId="18D3C827"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-$14,987</w:t>
            </w:r>
          </w:p>
        </w:tc>
        <w:tc>
          <w:tcPr>
            <w:tcW w:w="466" w:type="pct"/>
            <w:shd w:val="clear" w:color="000000" w:fill="FFFFFF"/>
            <w:vAlign w:val="center"/>
            <w:hideMark/>
          </w:tcPr>
          <w:p w14:paraId="0FB2306D"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-$16,806</w:t>
            </w:r>
          </w:p>
        </w:tc>
        <w:tc>
          <w:tcPr>
            <w:tcW w:w="466" w:type="pct"/>
            <w:shd w:val="clear" w:color="000000" w:fill="FFFFFF"/>
            <w:vAlign w:val="center"/>
            <w:hideMark/>
          </w:tcPr>
          <w:p w14:paraId="41F8782D"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-$18,683</w:t>
            </w:r>
          </w:p>
        </w:tc>
        <w:tc>
          <w:tcPr>
            <w:tcW w:w="466" w:type="pct"/>
            <w:shd w:val="clear" w:color="000000" w:fill="FFFFFF"/>
            <w:vAlign w:val="center"/>
            <w:hideMark/>
          </w:tcPr>
          <w:p w14:paraId="74272120"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-$20,620</w:t>
            </w:r>
          </w:p>
        </w:tc>
        <w:tc>
          <w:tcPr>
            <w:tcW w:w="466" w:type="pct"/>
            <w:shd w:val="clear" w:color="000000" w:fill="FFFFFF"/>
            <w:vAlign w:val="center"/>
            <w:hideMark/>
          </w:tcPr>
          <w:p w14:paraId="1C2EAD1B"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-$22,619</w:t>
            </w:r>
          </w:p>
        </w:tc>
        <w:tc>
          <w:tcPr>
            <w:tcW w:w="467" w:type="pct"/>
            <w:shd w:val="clear" w:color="000000" w:fill="FFFFFF"/>
            <w:vAlign w:val="center"/>
            <w:hideMark/>
          </w:tcPr>
          <w:p w14:paraId="45B3AE9D"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-$24,681</w:t>
            </w:r>
          </w:p>
        </w:tc>
      </w:tr>
      <w:tr w:rsidR="007B5BAF" w:rsidRPr="002C1E2B" w14:paraId="6FD3D915" w14:textId="77777777" w:rsidTr="007B5BAF">
        <w:trPr>
          <w:trHeight w:val="315"/>
        </w:trPr>
        <w:tc>
          <w:tcPr>
            <w:tcW w:w="804" w:type="pct"/>
            <w:shd w:val="clear" w:color="000000" w:fill="DBE5F1"/>
            <w:noWrap/>
            <w:vAlign w:val="center"/>
            <w:hideMark/>
          </w:tcPr>
          <w:p w14:paraId="10B3469C" w14:textId="77777777" w:rsidR="007B5BAF" w:rsidRPr="002C1E2B" w:rsidRDefault="007B5BAF" w:rsidP="007B5BAF">
            <w:pPr>
              <w:spacing w:before="60" w:after="60"/>
              <w:jc w:val="right"/>
              <w:rPr>
                <w:rFonts w:ascii="Calibri" w:eastAsia="Times New Roman" w:hAnsi="Calibri" w:cs="Times New Roman"/>
                <w:bCs/>
                <w:sz w:val="20"/>
                <w:szCs w:val="20"/>
                <w:lang w:eastAsia="en-AU"/>
              </w:rPr>
            </w:pPr>
            <w:r w:rsidRPr="002C1E2B">
              <w:rPr>
                <w:rFonts w:ascii="Calibri" w:eastAsia="Times New Roman" w:hAnsi="Calibri" w:cs="Times New Roman"/>
                <w:bCs/>
                <w:sz w:val="20"/>
                <w:szCs w:val="20"/>
                <w:lang w:eastAsia="en-AU"/>
              </w:rPr>
              <w:t>$500,000</w:t>
            </w:r>
          </w:p>
        </w:tc>
        <w:tc>
          <w:tcPr>
            <w:tcW w:w="466" w:type="pct"/>
            <w:shd w:val="clear" w:color="000000" w:fill="FFFFFF"/>
            <w:vAlign w:val="center"/>
            <w:hideMark/>
          </w:tcPr>
          <w:p w14:paraId="48A89973"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-$14,400</w:t>
            </w:r>
          </w:p>
        </w:tc>
        <w:tc>
          <w:tcPr>
            <w:tcW w:w="466" w:type="pct"/>
            <w:shd w:val="clear" w:color="000000" w:fill="FFFFFF"/>
            <w:vAlign w:val="center"/>
            <w:hideMark/>
          </w:tcPr>
          <w:p w14:paraId="0713B543"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-$15,993</w:t>
            </w:r>
          </w:p>
        </w:tc>
        <w:tc>
          <w:tcPr>
            <w:tcW w:w="466" w:type="pct"/>
            <w:shd w:val="clear" w:color="000000" w:fill="FFFFFF"/>
            <w:vAlign w:val="center"/>
            <w:hideMark/>
          </w:tcPr>
          <w:p w14:paraId="1A1D6EB5"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-$16,532</w:t>
            </w:r>
          </w:p>
        </w:tc>
        <w:tc>
          <w:tcPr>
            <w:tcW w:w="466" w:type="pct"/>
            <w:shd w:val="clear" w:color="000000" w:fill="FFFFFF"/>
            <w:vAlign w:val="center"/>
            <w:hideMark/>
          </w:tcPr>
          <w:p w14:paraId="762CE566"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-$18,734</w:t>
            </w:r>
          </w:p>
        </w:tc>
        <w:tc>
          <w:tcPr>
            <w:tcW w:w="466" w:type="pct"/>
            <w:shd w:val="clear" w:color="000000" w:fill="FFFFFF"/>
            <w:vAlign w:val="center"/>
            <w:hideMark/>
          </w:tcPr>
          <w:p w14:paraId="33697D7B"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-$21,007</w:t>
            </w:r>
          </w:p>
        </w:tc>
        <w:tc>
          <w:tcPr>
            <w:tcW w:w="466" w:type="pct"/>
            <w:shd w:val="clear" w:color="000000" w:fill="FFFFFF"/>
            <w:vAlign w:val="center"/>
            <w:hideMark/>
          </w:tcPr>
          <w:p w14:paraId="70FFA216"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-$23,354</w:t>
            </w:r>
          </w:p>
        </w:tc>
        <w:tc>
          <w:tcPr>
            <w:tcW w:w="466" w:type="pct"/>
            <w:shd w:val="clear" w:color="000000" w:fill="FFFFFF"/>
            <w:vAlign w:val="center"/>
            <w:hideMark/>
          </w:tcPr>
          <w:p w14:paraId="19FA0DFF"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-$25,776</w:t>
            </w:r>
          </w:p>
        </w:tc>
        <w:tc>
          <w:tcPr>
            <w:tcW w:w="466" w:type="pct"/>
            <w:shd w:val="clear" w:color="000000" w:fill="FFFFFF"/>
            <w:vAlign w:val="center"/>
            <w:hideMark/>
          </w:tcPr>
          <w:p w14:paraId="28F7A79C"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-$28,274</w:t>
            </w:r>
          </w:p>
        </w:tc>
        <w:tc>
          <w:tcPr>
            <w:tcW w:w="467" w:type="pct"/>
            <w:shd w:val="clear" w:color="000000" w:fill="FFFFFF"/>
            <w:vAlign w:val="center"/>
            <w:hideMark/>
          </w:tcPr>
          <w:p w14:paraId="3FE5D973"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-$30,851</w:t>
            </w:r>
          </w:p>
        </w:tc>
      </w:tr>
    </w:tbl>
    <w:p w14:paraId="2D3BDF56" w14:textId="77777777" w:rsidR="007B5BAF" w:rsidRPr="002C1E2B" w:rsidRDefault="007B5BAF" w:rsidP="007B5BAF">
      <w:pPr>
        <w:pStyle w:val="Caption"/>
        <w:spacing w:after="120"/>
        <w:rPr>
          <w:b w:val="0"/>
          <w:bCs w:val="0"/>
          <w:sz w:val="12"/>
        </w:rPr>
      </w:pPr>
      <w:r w:rsidRPr="002C1E2B">
        <w:t xml:space="preserve"> </w:t>
      </w:r>
    </w:p>
    <w:p w14:paraId="6CF39E83" w14:textId="77777777" w:rsidR="007B5BAF" w:rsidRPr="002C1E2B" w:rsidRDefault="007B5BAF" w:rsidP="007B5BAF">
      <w:pPr>
        <w:pStyle w:val="Caption"/>
        <w:spacing w:after="120"/>
        <w:jc w:val="left"/>
      </w:pPr>
      <w:r w:rsidRPr="002C1E2B">
        <w:t xml:space="preserve">Table </w:t>
      </w:r>
      <w:r w:rsidRPr="002C1E2B">
        <w:fldChar w:fldCharType="begin"/>
      </w:r>
      <w:r w:rsidRPr="002C1E2B">
        <w:instrText xml:space="preserve"> STYLEREF 1 \s </w:instrText>
      </w:r>
      <w:r w:rsidRPr="002C1E2B">
        <w:fldChar w:fldCharType="separate"/>
      </w:r>
      <w:r w:rsidR="00BE6CE4">
        <w:rPr>
          <w:noProof/>
        </w:rPr>
        <w:t>F</w:t>
      </w:r>
      <w:r w:rsidRPr="002C1E2B">
        <w:fldChar w:fldCharType="end"/>
      </w:r>
      <w:r w:rsidRPr="002C1E2B">
        <w:t>.</w:t>
      </w:r>
      <w:r w:rsidRPr="002C1E2B">
        <w:fldChar w:fldCharType="begin"/>
      </w:r>
      <w:r w:rsidRPr="002C1E2B">
        <w:instrText xml:space="preserve"> SEQ Table \* ARABIC \s 1 </w:instrText>
      </w:r>
      <w:r w:rsidRPr="002C1E2B">
        <w:fldChar w:fldCharType="separate"/>
      </w:r>
      <w:r w:rsidR="00BE6CE4">
        <w:rPr>
          <w:noProof/>
        </w:rPr>
        <w:t>2</w:t>
      </w:r>
      <w:r w:rsidRPr="002C1E2B">
        <w:fldChar w:fldCharType="end"/>
      </w:r>
      <w:r w:rsidRPr="002C1E2B">
        <w:t xml:space="preserve"> </w:t>
      </w:r>
      <w:r w:rsidR="00775A8B">
        <w:t>–</w:t>
      </w:r>
      <w:r w:rsidRPr="002C1E2B">
        <w:t xml:space="preserve"> Total cost to retirement village operators – RAD payment (by sale time and value of exit entitlement)</w:t>
      </w:r>
    </w:p>
    <w:tbl>
      <w:tblPr>
        <w:tblW w:w="5269" w:type="pct"/>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525"/>
        <w:gridCol w:w="883"/>
        <w:gridCol w:w="883"/>
        <w:gridCol w:w="886"/>
        <w:gridCol w:w="886"/>
        <w:gridCol w:w="886"/>
        <w:gridCol w:w="886"/>
        <w:gridCol w:w="886"/>
        <w:gridCol w:w="886"/>
        <w:gridCol w:w="895"/>
      </w:tblGrid>
      <w:tr w:rsidR="007B5BAF" w:rsidRPr="002C1E2B" w14:paraId="6CC3092B" w14:textId="77777777" w:rsidTr="007B5BAF">
        <w:trPr>
          <w:trHeight w:val="315"/>
        </w:trPr>
        <w:tc>
          <w:tcPr>
            <w:tcW w:w="803" w:type="pct"/>
            <w:shd w:val="clear" w:color="auto" w:fill="auto"/>
            <w:noWrap/>
            <w:vAlign w:val="bottom"/>
            <w:hideMark/>
          </w:tcPr>
          <w:p w14:paraId="5914F13D" w14:textId="77777777" w:rsidR="007B5BAF" w:rsidRPr="002C1E2B" w:rsidRDefault="007B5BAF" w:rsidP="007B5BAF">
            <w:pPr>
              <w:spacing w:before="60" w:after="60"/>
              <w:rPr>
                <w:rFonts w:ascii="Calibri" w:eastAsia="Times New Roman" w:hAnsi="Calibri" w:cs="Times New Roman"/>
                <w:color w:val="002E63"/>
                <w:sz w:val="20"/>
                <w:szCs w:val="20"/>
                <w:lang w:eastAsia="en-AU"/>
              </w:rPr>
            </w:pPr>
          </w:p>
        </w:tc>
        <w:tc>
          <w:tcPr>
            <w:tcW w:w="4197" w:type="pct"/>
            <w:gridSpan w:val="9"/>
            <w:shd w:val="clear" w:color="000000" w:fill="1F497D"/>
            <w:noWrap/>
            <w:vAlign w:val="center"/>
            <w:hideMark/>
          </w:tcPr>
          <w:p w14:paraId="13778F59" w14:textId="77777777" w:rsidR="007B5BAF" w:rsidRPr="002C1E2B" w:rsidRDefault="007B5BAF" w:rsidP="007B5BAF">
            <w:pPr>
              <w:spacing w:before="60" w:after="60"/>
              <w:rPr>
                <w:rFonts w:ascii="Calibri" w:eastAsia="Times New Roman" w:hAnsi="Calibri" w:cs="Times New Roman"/>
                <w:b/>
                <w:bCs/>
                <w:color w:val="002E63"/>
                <w:sz w:val="20"/>
                <w:szCs w:val="20"/>
                <w:lang w:eastAsia="en-AU"/>
              </w:rPr>
            </w:pPr>
            <w:r w:rsidRPr="002C1E2B">
              <w:rPr>
                <w:rFonts w:ascii="Calibri" w:eastAsia="Times New Roman" w:hAnsi="Calibri" w:cs="Times New Roman"/>
                <w:b/>
                <w:bCs/>
                <w:color w:val="FFFFFF"/>
                <w:sz w:val="20"/>
                <w:szCs w:val="20"/>
                <w:lang w:eastAsia="en-AU"/>
              </w:rPr>
              <w:t>Sale time (months)</w:t>
            </w:r>
          </w:p>
        </w:tc>
      </w:tr>
      <w:tr w:rsidR="007B5BAF" w:rsidRPr="002C1E2B" w14:paraId="04B34328" w14:textId="77777777" w:rsidTr="007B5BAF">
        <w:trPr>
          <w:trHeight w:val="315"/>
        </w:trPr>
        <w:tc>
          <w:tcPr>
            <w:tcW w:w="803" w:type="pct"/>
            <w:shd w:val="clear" w:color="000000" w:fill="1F497D"/>
            <w:noWrap/>
            <w:vAlign w:val="center"/>
            <w:hideMark/>
          </w:tcPr>
          <w:p w14:paraId="1143AD89" w14:textId="77777777" w:rsidR="007B5BAF" w:rsidRPr="002C1E2B" w:rsidRDefault="007B5BAF" w:rsidP="007B5BAF">
            <w:pPr>
              <w:spacing w:before="60" w:after="60"/>
              <w:rPr>
                <w:rFonts w:ascii="Calibri" w:eastAsia="Times New Roman" w:hAnsi="Calibri" w:cs="Times New Roman"/>
                <w:b/>
                <w:bCs/>
                <w:color w:val="FFFFFF"/>
                <w:sz w:val="19"/>
                <w:szCs w:val="19"/>
                <w:lang w:eastAsia="en-AU"/>
              </w:rPr>
            </w:pPr>
            <w:r w:rsidRPr="002C1E2B">
              <w:rPr>
                <w:rFonts w:ascii="Calibri" w:eastAsia="Times New Roman" w:hAnsi="Calibri" w:cs="Times New Roman"/>
                <w:b/>
                <w:bCs/>
                <w:color w:val="FFFFFF"/>
                <w:sz w:val="19"/>
                <w:szCs w:val="19"/>
                <w:lang w:eastAsia="en-AU"/>
              </w:rPr>
              <w:t>Exit  entitlement</w:t>
            </w:r>
          </w:p>
        </w:tc>
        <w:tc>
          <w:tcPr>
            <w:tcW w:w="465" w:type="pct"/>
            <w:shd w:val="clear" w:color="000000" w:fill="DBE5F1"/>
            <w:vAlign w:val="center"/>
            <w:hideMark/>
          </w:tcPr>
          <w:p w14:paraId="6C651E6F" w14:textId="77777777" w:rsidR="007B5BAF" w:rsidRPr="002C1E2B" w:rsidRDefault="007B5BAF" w:rsidP="007B5BAF">
            <w:pPr>
              <w:spacing w:before="60" w:after="60"/>
              <w:jc w:val="right"/>
              <w:rPr>
                <w:rFonts w:ascii="Calibri" w:eastAsia="Times New Roman" w:hAnsi="Calibri" w:cs="Times New Roman"/>
                <w:bCs/>
                <w:sz w:val="20"/>
                <w:szCs w:val="20"/>
                <w:lang w:eastAsia="en-AU"/>
              </w:rPr>
            </w:pPr>
            <w:r w:rsidRPr="002C1E2B">
              <w:rPr>
                <w:rFonts w:ascii="Calibri" w:eastAsia="Times New Roman" w:hAnsi="Calibri" w:cs="Times New Roman"/>
                <w:bCs/>
                <w:sz w:val="20"/>
                <w:szCs w:val="20"/>
                <w:lang w:eastAsia="en-AU"/>
              </w:rPr>
              <w:t>6</w:t>
            </w:r>
          </w:p>
        </w:tc>
        <w:tc>
          <w:tcPr>
            <w:tcW w:w="465" w:type="pct"/>
            <w:shd w:val="clear" w:color="000000" w:fill="DBE5F1"/>
            <w:vAlign w:val="center"/>
            <w:hideMark/>
          </w:tcPr>
          <w:p w14:paraId="7E4D74F7" w14:textId="77777777" w:rsidR="007B5BAF" w:rsidRPr="002C1E2B" w:rsidRDefault="007B5BAF" w:rsidP="007B5BAF">
            <w:pPr>
              <w:spacing w:before="60" w:after="60"/>
              <w:jc w:val="right"/>
              <w:rPr>
                <w:rFonts w:ascii="Calibri" w:eastAsia="Times New Roman" w:hAnsi="Calibri" w:cs="Times New Roman"/>
                <w:bCs/>
                <w:sz w:val="20"/>
                <w:szCs w:val="20"/>
                <w:lang w:eastAsia="en-AU"/>
              </w:rPr>
            </w:pPr>
            <w:r w:rsidRPr="002C1E2B">
              <w:rPr>
                <w:rFonts w:ascii="Calibri" w:eastAsia="Times New Roman" w:hAnsi="Calibri" w:cs="Times New Roman"/>
                <w:bCs/>
                <w:sz w:val="20"/>
                <w:szCs w:val="20"/>
                <w:lang w:eastAsia="en-AU"/>
              </w:rPr>
              <w:t>10.5</w:t>
            </w:r>
          </w:p>
        </w:tc>
        <w:tc>
          <w:tcPr>
            <w:tcW w:w="466" w:type="pct"/>
            <w:shd w:val="clear" w:color="000000" w:fill="DBE5F1"/>
            <w:vAlign w:val="center"/>
            <w:hideMark/>
          </w:tcPr>
          <w:p w14:paraId="7C8D3677" w14:textId="77777777" w:rsidR="007B5BAF" w:rsidRPr="002C1E2B" w:rsidRDefault="007B5BAF" w:rsidP="007B5BAF">
            <w:pPr>
              <w:spacing w:before="60" w:after="60"/>
              <w:jc w:val="right"/>
              <w:rPr>
                <w:rFonts w:ascii="Calibri" w:eastAsia="Times New Roman" w:hAnsi="Calibri" w:cs="Times New Roman"/>
                <w:bCs/>
                <w:sz w:val="20"/>
                <w:szCs w:val="20"/>
                <w:lang w:eastAsia="en-AU"/>
              </w:rPr>
            </w:pPr>
            <w:r w:rsidRPr="002C1E2B">
              <w:rPr>
                <w:rFonts w:ascii="Calibri" w:eastAsia="Times New Roman" w:hAnsi="Calibri" w:cs="Times New Roman"/>
                <w:bCs/>
                <w:sz w:val="20"/>
                <w:szCs w:val="20"/>
                <w:lang w:eastAsia="en-AU"/>
              </w:rPr>
              <w:t>12</w:t>
            </w:r>
          </w:p>
        </w:tc>
        <w:tc>
          <w:tcPr>
            <w:tcW w:w="466" w:type="pct"/>
            <w:shd w:val="clear" w:color="000000" w:fill="DBE5F1"/>
            <w:vAlign w:val="center"/>
            <w:hideMark/>
          </w:tcPr>
          <w:p w14:paraId="506F747B" w14:textId="77777777" w:rsidR="007B5BAF" w:rsidRPr="002C1E2B" w:rsidRDefault="007B5BAF" w:rsidP="007B5BAF">
            <w:pPr>
              <w:spacing w:before="60" w:after="60"/>
              <w:jc w:val="right"/>
              <w:rPr>
                <w:rFonts w:ascii="Calibri" w:eastAsia="Times New Roman" w:hAnsi="Calibri" w:cs="Times New Roman"/>
                <w:bCs/>
                <w:sz w:val="20"/>
                <w:szCs w:val="20"/>
                <w:lang w:eastAsia="en-AU"/>
              </w:rPr>
            </w:pPr>
            <w:r w:rsidRPr="002C1E2B">
              <w:rPr>
                <w:rFonts w:ascii="Calibri" w:eastAsia="Times New Roman" w:hAnsi="Calibri" w:cs="Times New Roman"/>
                <w:bCs/>
                <w:sz w:val="20"/>
                <w:szCs w:val="20"/>
                <w:lang w:eastAsia="en-AU"/>
              </w:rPr>
              <w:t>18</w:t>
            </w:r>
          </w:p>
        </w:tc>
        <w:tc>
          <w:tcPr>
            <w:tcW w:w="466" w:type="pct"/>
            <w:shd w:val="clear" w:color="000000" w:fill="DBE5F1"/>
            <w:vAlign w:val="center"/>
            <w:hideMark/>
          </w:tcPr>
          <w:p w14:paraId="5ED47942" w14:textId="77777777" w:rsidR="007B5BAF" w:rsidRPr="002C1E2B" w:rsidRDefault="007B5BAF" w:rsidP="007B5BAF">
            <w:pPr>
              <w:spacing w:before="60" w:after="60"/>
              <w:jc w:val="right"/>
              <w:rPr>
                <w:rFonts w:ascii="Calibri" w:eastAsia="Times New Roman" w:hAnsi="Calibri" w:cs="Times New Roman"/>
                <w:bCs/>
                <w:sz w:val="20"/>
                <w:szCs w:val="20"/>
                <w:lang w:eastAsia="en-AU"/>
              </w:rPr>
            </w:pPr>
            <w:r w:rsidRPr="002C1E2B">
              <w:rPr>
                <w:rFonts w:ascii="Calibri" w:eastAsia="Times New Roman" w:hAnsi="Calibri" w:cs="Times New Roman"/>
                <w:bCs/>
                <w:sz w:val="20"/>
                <w:szCs w:val="20"/>
                <w:lang w:eastAsia="en-AU"/>
              </w:rPr>
              <w:t>24</w:t>
            </w:r>
          </w:p>
        </w:tc>
        <w:tc>
          <w:tcPr>
            <w:tcW w:w="466" w:type="pct"/>
            <w:shd w:val="clear" w:color="000000" w:fill="DBE5F1"/>
            <w:vAlign w:val="center"/>
            <w:hideMark/>
          </w:tcPr>
          <w:p w14:paraId="183CCC5E" w14:textId="77777777" w:rsidR="007B5BAF" w:rsidRPr="002C1E2B" w:rsidRDefault="007B5BAF" w:rsidP="007B5BAF">
            <w:pPr>
              <w:spacing w:before="60" w:after="60"/>
              <w:jc w:val="right"/>
              <w:rPr>
                <w:rFonts w:ascii="Calibri" w:eastAsia="Times New Roman" w:hAnsi="Calibri" w:cs="Times New Roman"/>
                <w:bCs/>
                <w:sz w:val="20"/>
                <w:szCs w:val="20"/>
                <w:lang w:eastAsia="en-AU"/>
              </w:rPr>
            </w:pPr>
            <w:r w:rsidRPr="002C1E2B">
              <w:rPr>
                <w:rFonts w:ascii="Calibri" w:eastAsia="Times New Roman" w:hAnsi="Calibri" w:cs="Times New Roman"/>
                <w:bCs/>
                <w:sz w:val="20"/>
                <w:szCs w:val="20"/>
                <w:lang w:eastAsia="en-AU"/>
              </w:rPr>
              <w:t>30</w:t>
            </w:r>
          </w:p>
        </w:tc>
        <w:tc>
          <w:tcPr>
            <w:tcW w:w="466" w:type="pct"/>
            <w:shd w:val="clear" w:color="000000" w:fill="DBE5F1"/>
            <w:vAlign w:val="center"/>
            <w:hideMark/>
          </w:tcPr>
          <w:p w14:paraId="6F79017F" w14:textId="77777777" w:rsidR="007B5BAF" w:rsidRPr="002C1E2B" w:rsidRDefault="007B5BAF" w:rsidP="007B5BAF">
            <w:pPr>
              <w:spacing w:before="60" w:after="60"/>
              <w:jc w:val="right"/>
              <w:rPr>
                <w:rFonts w:ascii="Calibri" w:eastAsia="Times New Roman" w:hAnsi="Calibri" w:cs="Times New Roman"/>
                <w:bCs/>
                <w:sz w:val="20"/>
                <w:szCs w:val="20"/>
                <w:lang w:eastAsia="en-AU"/>
              </w:rPr>
            </w:pPr>
            <w:r w:rsidRPr="002C1E2B">
              <w:rPr>
                <w:rFonts w:ascii="Calibri" w:eastAsia="Times New Roman" w:hAnsi="Calibri" w:cs="Times New Roman"/>
                <w:bCs/>
                <w:sz w:val="20"/>
                <w:szCs w:val="20"/>
                <w:lang w:eastAsia="en-AU"/>
              </w:rPr>
              <w:t>36</w:t>
            </w:r>
          </w:p>
        </w:tc>
        <w:tc>
          <w:tcPr>
            <w:tcW w:w="466" w:type="pct"/>
            <w:shd w:val="clear" w:color="000000" w:fill="DBE5F1"/>
            <w:vAlign w:val="center"/>
            <w:hideMark/>
          </w:tcPr>
          <w:p w14:paraId="103B4CB1" w14:textId="77777777" w:rsidR="007B5BAF" w:rsidRPr="002C1E2B" w:rsidRDefault="007B5BAF" w:rsidP="007B5BAF">
            <w:pPr>
              <w:spacing w:before="60" w:after="60"/>
              <w:jc w:val="right"/>
              <w:rPr>
                <w:rFonts w:ascii="Calibri" w:eastAsia="Times New Roman" w:hAnsi="Calibri" w:cs="Times New Roman"/>
                <w:bCs/>
                <w:sz w:val="20"/>
                <w:szCs w:val="20"/>
                <w:lang w:eastAsia="en-AU"/>
              </w:rPr>
            </w:pPr>
            <w:r w:rsidRPr="002C1E2B">
              <w:rPr>
                <w:rFonts w:ascii="Calibri" w:eastAsia="Times New Roman" w:hAnsi="Calibri" w:cs="Times New Roman"/>
                <w:bCs/>
                <w:sz w:val="20"/>
                <w:szCs w:val="20"/>
                <w:lang w:eastAsia="en-AU"/>
              </w:rPr>
              <w:t>42</w:t>
            </w:r>
          </w:p>
        </w:tc>
        <w:tc>
          <w:tcPr>
            <w:tcW w:w="469" w:type="pct"/>
            <w:shd w:val="clear" w:color="000000" w:fill="DBE5F1"/>
            <w:vAlign w:val="center"/>
            <w:hideMark/>
          </w:tcPr>
          <w:p w14:paraId="4DF9D6D3" w14:textId="77777777" w:rsidR="007B5BAF" w:rsidRPr="002C1E2B" w:rsidRDefault="007B5BAF" w:rsidP="007B5BAF">
            <w:pPr>
              <w:spacing w:before="60" w:after="60"/>
              <w:jc w:val="right"/>
              <w:rPr>
                <w:rFonts w:ascii="Calibri" w:eastAsia="Times New Roman" w:hAnsi="Calibri" w:cs="Times New Roman"/>
                <w:bCs/>
                <w:sz w:val="20"/>
                <w:szCs w:val="20"/>
                <w:lang w:eastAsia="en-AU"/>
              </w:rPr>
            </w:pPr>
            <w:r w:rsidRPr="002C1E2B">
              <w:rPr>
                <w:rFonts w:ascii="Calibri" w:eastAsia="Times New Roman" w:hAnsi="Calibri" w:cs="Times New Roman"/>
                <w:bCs/>
                <w:sz w:val="20"/>
                <w:szCs w:val="20"/>
                <w:lang w:eastAsia="en-AU"/>
              </w:rPr>
              <w:t>48</w:t>
            </w:r>
          </w:p>
        </w:tc>
      </w:tr>
      <w:tr w:rsidR="007B5BAF" w:rsidRPr="002C1E2B" w14:paraId="2CE61C2E" w14:textId="77777777" w:rsidTr="007B5BAF">
        <w:trPr>
          <w:trHeight w:val="315"/>
        </w:trPr>
        <w:tc>
          <w:tcPr>
            <w:tcW w:w="803" w:type="pct"/>
            <w:shd w:val="clear" w:color="000000" w:fill="DBE5F1"/>
            <w:noWrap/>
            <w:vAlign w:val="center"/>
            <w:hideMark/>
          </w:tcPr>
          <w:p w14:paraId="6C241B96" w14:textId="77777777" w:rsidR="007B5BAF" w:rsidRPr="002C1E2B" w:rsidRDefault="007B5BAF" w:rsidP="007B5BAF">
            <w:pPr>
              <w:spacing w:before="60" w:after="60"/>
              <w:jc w:val="right"/>
              <w:rPr>
                <w:rFonts w:ascii="Calibri" w:eastAsia="Times New Roman" w:hAnsi="Calibri" w:cs="Times New Roman"/>
                <w:bCs/>
                <w:sz w:val="20"/>
                <w:szCs w:val="20"/>
                <w:lang w:eastAsia="en-AU"/>
              </w:rPr>
            </w:pPr>
            <w:r w:rsidRPr="002C1E2B">
              <w:rPr>
                <w:rFonts w:ascii="Calibri" w:eastAsia="Times New Roman" w:hAnsi="Calibri" w:cs="Times New Roman"/>
                <w:bCs/>
                <w:sz w:val="20"/>
                <w:szCs w:val="20"/>
                <w:lang w:eastAsia="en-AU"/>
              </w:rPr>
              <w:t>$50,000</w:t>
            </w:r>
          </w:p>
        </w:tc>
        <w:tc>
          <w:tcPr>
            <w:tcW w:w="465" w:type="pct"/>
            <w:shd w:val="clear" w:color="000000" w:fill="FFFFFF"/>
            <w:vAlign w:val="center"/>
            <w:hideMark/>
          </w:tcPr>
          <w:p w14:paraId="40434353"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-$42</w:t>
            </w:r>
          </w:p>
        </w:tc>
        <w:tc>
          <w:tcPr>
            <w:tcW w:w="465" w:type="pct"/>
            <w:shd w:val="clear" w:color="000000" w:fill="FFFFFF"/>
            <w:vAlign w:val="center"/>
            <w:hideMark/>
          </w:tcPr>
          <w:p w14:paraId="6F7AAE53"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-$822</w:t>
            </w:r>
          </w:p>
        </w:tc>
        <w:tc>
          <w:tcPr>
            <w:tcW w:w="466" w:type="pct"/>
            <w:shd w:val="clear" w:color="000000" w:fill="FFFFFF"/>
            <w:vAlign w:val="center"/>
            <w:hideMark/>
          </w:tcPr>
          <w:p w14:paraId="507EAAED"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-$1,085</w:t>
            </w:r>
          </w:p>
        </w:tc>
        <w:tc>
          <w:tcPr>
            <w:tcW w:w="466" w:type="pct"/>
            <w:shd w:val="clear" w:color="000000" w:fill="FFFFFF"/>
            <w:vAlign w:val="center"/>
            <w:hideMark/>
          </w:tcPr>
          <w:p w14:paraId="26701AD8"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-$2,155</w:t>
            </w:r>
          </w:p>
        </w:tc>
        <w:tc>
          <w:tcPr>
            <w:tcW w:w="466" w:type="pct"/>
            <w:shd w:val="clear" w:color="000000" w:fill="FFFFFF"/>
            <w:vAlign w:val="center"/>
            <w:hideMark/>
          </w:tcPr>
          <w:p w14:paraId="35C294A8"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-$3,252</w:t>
            </w:r>
          </w:p>
        </w:tc>
        <w:tc>
          <w:tcPr>
            <w:tcW w:w="466" w:type="pct"/>
            <w:shd w:val="clear" w:color="000000" w:fill="FFFFFF"/>
            <w:vAlign w:val="center"/>
            <w:hideMark/>
          </w:tcPr>
          <w:p w14:paraId="04CDAFC0"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-$4,376</w:t>
            </w:r>
          </w:p>
        </w:tc>
        <w:tc>
          <w:tcPr>
            <w:tcW w:w="466" w:type="pct"/>
            <w:shd w:val="clear" w:color="000000" w:fill="FFFFFF"/>
            <w:vAlign w:val="center"/>
            <w:hideMark/>
          </w:tcPr>
          <w:p w14:paraId="61DC0D7F"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-$5,529</w:t>
            </w:r>
          </w:p>
        </w:tc>
        <w:tc>
          <w:tcPr>
            <w:tcW w:w="466" w:type="pct"/>
            <w:shd w:val="clear" w:color="000000" w:fill="FFFFFF"/>
            <w:vAlign w:val="center"/>
            <w:hideMark/>
          </w:tcPr>
          <w:p w14:paraId="51FEBC8B"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-$6,710</w:t>
            </w:r>
          </w:p>
        </w:tc>
        <w:tc>
          <w:tcPr>
            <w:tcW w:w="469" w:type="pct"/>
            <w:shd w:val="clear" w:color="000000" w:fill="FFFFFF"/>
            <w:vAlign w:val="center"/>
            <w:hideMark/>
          </w:tcPr>
          <w:p w14:paraId="3494008E"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-$7,922</w:t>
            </w:r>
          </w:p>
        </w:tc>
      </w:tr>
      <w:tr w:rsidR="007B5BAF" w:rsidRPr="002C1E2B" w14:paraId="765632E5" w14:textId="77777777" w:rsidTr="007B5BAF">
        <w:trPr>
          <w:trHeight w:val="315"/>
        </w:trPr>
        <w:tc>
          <w:tcPr>
            <w:tcW w:w="803" w:type="pct"/>
            <w:shd w:val="clear" w:color="000000" w:fill="DBE5F1"/>
            <w:noWrap/>
            <w:vAlign w:val="center"/>
            <w:hideMark/>
          </w:tcPr>
          <w:p w14:paraId="12D3ED53" w14:textId="77777777" w:rsidR="007B5BAF" w:rsidRPr="002C1E2B" w:rsidRDefault="007B5BAF" w:rsidP="007B5BAF">
            <w:pPr>
              <w:spacing w:before="60" w:after="60"/>
              <w:jc w:val="right"/>
              <w:rPr>
                <w:rFonts w:ascii="Calibri" w:eastAsia="Times New Roman" w:hAnsi="Calibri" w:cs="Times New Roman"/>
                <w:bCs/>
                <w:sz w:val="20"/>
                <w:szCs w:val="20"/>
                <w:lang w:eastAsia="en-AU"/>
              </w:rPr>
            </w:pPr>
            <w:r w:rsidRPr="002C1E2B">
              <w:rPr>
                <w:rFonts w:ascii="Calibri" w:eastAsia="Times New Roman" w:hAnsi="Calibri" w:cs="Times New Roman"/>
                <w:bCs/>
                <w:sz w:val="20"/>
                <w:szCs w:val="20"/>
                <w:lang w:eastAsia="en-AU"/>
              </w:rPr>
              <w:t>$100,000</w:t>
            </w:r>
          </w:p>
        </w:tc>
        <w:tc>
          <w:tcPr>
            <w:tcW w:w="465" w:type="pct"/>
            <w:shd w:val="clear" w:color="000000" w:fill="FFFFFF"/>
            <w:vAlign w:val="center"/>
            <w:hideMark/>
          </w:tcPr>
          <w:p w14:paraId="6744501B"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-$84</w:t>
            </w:r>
          </w:p>
        </w:tc>
        <w:tc>
          <w:tcPr>
            <w:tcW w:w="465" w:type="pct"/>
            <w:shd w:val="clear" w:color="000000" w:fill="FFFFFF"/>
            <w:vAlign w:val="center"/>
            <w:hideMark/>
          </w:tcPr>
          <w:p w14:paraId="42C21C89"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-$1,644</w:t>
            </w:r>
          </w:p>
        </w:tc>
        <w:tc>
          <w:tcPr>
            <w:tcW w:w="466" w:type="pct"/>
            <w:shd w:val="clear" w:color="000000" w:fill="FFFFFF"/>
            <w:vAlign w:val="center"/>
            <w:hideMark/>
          </w:tcPr>
          <w:p w14:paraId="2BCD8FDC"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-$2,171</w:t>
            </w:r>
          </w:p>
        </w:tc>
        <w:tc>
          <w:tcPr>
            <w:tcW w:w="466" w:type="pct"/>
            <w:shd w:val="clear" w:color="000000" w:fill="FFFFFF"/>
            <w:vAlign w:val="center"/>
            <w:hideMark/>
          </w:tcPr>
          <w:p w14:paraId="0814A778"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-$4,310</w:t>
            </w:r>
          </w:p>
        </w:tc>
        <w:tc>
          <w:tcPr>
            <w:tcW w:w="466" w:type="pct"/>
            <w:shd w:val="clear" w:color="000000" w:fill="FFFFFF"/>
            <w:vAlign w:val="center"/>
            <w:hideMark/>
          </w:tcPr>
          <w:p w14:paraId="1B695115"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-$6,503</w:t>
            </w:r>
          </w:p>
        </w:tc>
        <w:tc>
          <w:tcPr>
            <w:tcW w:w="466" w:type="pct"/>
            <w:shd w:val="clear" w:color="000000" w:fill="FFFFFF"/>
            <w:vAlign w:val="center"/>
            <w:hideMark/>
          </w:tcPr>
          <w:p w14:paraId="325845BB"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-$8,752</w:t>
            </w:r>
          </w:p>
        </w:tc>
        <w:tc>
          <w:tcPr>
            <w:tcW w:w="466" w:type="pct"/>
            <w:shd w:val="clear" w:color="000000" w:fill="FFFFFF"/>
            <w:vAlign w:val="center"/>
            <w:hideMark/>
          </w:tcPr>
          <w:p w14:paraId="7F77EC20"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-$11,057</w:t>
            </w:r>
          </w:p>
        </w:tc>
        <w:tc>
          <w:tcPr>
            <w:tcW w:w="466" w:type="pct"/>
            <w:shd w:val="clear" w:color="000000" w:fill="FFFFFF"/>
            <w:vAlign w:val="center"/>
            <w:hideMark/>
          </w:tcPr>
          <w:p w14:paraId="36AA759F"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-$13,421</w:t>
            </w:r>
          </w:p>
        </w:tc>
        <w:tc>
          <w:tcPr>
            <w:tcW w:w="469" w:type="pct"/>
            <w:shd w:val="clear" w:color="000000" w:fill="FFFFFF"/>
            <w:vAlign w:val="center"/>
            <w:hideMark/>
          </w:tcPr>
          <w:p w14:paraId="446F211D"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-$15,844</w:t>
            </w:r>
          </w:p>
        </w:tc>
      </w:tr>
      <w:tr w:rsidR="007B5BAF" w:rsidRPr="002C1E2B" w14:paraId="7DC746AF" w14:textId="77777777" w:rsidTr="007B5BAF">
        <w:trPr>
          <w:trHeight w:val="315"/>
        </w:trPr>
        <w:tc>
          <w:tcPr>
            <w:tcW w:w="803" w:type="pct"/>
            <w:shd w:val="clear" w:color="000000" w:fill="DBE5F1"/>
            <w:noWrap/>
            <w:vAlign w:val="center"/>
            <w:hideMark/>
          </w:tcPr>
          <w:p w14:paraId="63EB6177" w14:textId="77777777" w:rsidR="007B5BAF" w:rsidRPr="002C1E2B" w:rsidRDefault="007B5BAF" w:rsidP="007B5BAF">
            <w:pPr>
              <w:spacing w:before="60" w:after="60"/>
              <w:jc w:val="right"/>
              <w:rPr>
                <w:rFonts w:ascii="Calibri" w:eastAsia="Times New Roman" w:hAnsi="Calibri" w:cs="Times New Roman"/>
                <w:bCs/>
                <w:sz w:val="20"/>
                <w:szCs w:val="20"/>
                <w:lang w:eastAsia="en-AU"/>
              </w:rPr>
            </w:pPr>
            <w:r w:rsidRPr="002C1E2B">
              <w:rPr>
                <w:rFonts w:ascii="Calibri" w:eastAsia="Times New Roman" w:hAnsi="Calibri" w:cs="Times New Roman"/>
                <w:bCs/>
                <w:sz w:val="20"/>
                <w:szCs w:val="20"/>
                <w:lang w:eastAsia="en-AU"/>
              </w:rPr>
              <w:t>$200,000</w:t>
            </w:r>
          </w:p>
        </w:tc>
        <w:tc>
          <w:tcPr>
            <w:tcW w:w="465" w:type="pct"/>
            <w:shd w:val="clear" w:color="000000" w:fill="FFFFFF"/>
            <w:vAlign w:val="center"/>
            <w:hideMark/>
          </w:tcPr>
          <w:p w14:paraId="5807102F"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-$169</w:t>
            </w:r>
          </w:p>
        </w:tc>
        <w:tc>
          <w:tcPr>
            <w:tcW w:w="465" w:type="pct"/>
            <w:shd w:val="clear" w:color="000000" w:fill="FFFFFF"/>
            <w:vAlign w:val="center"/>
            <w:hideMark/>
          </w:tcPr>
          <w:p w14:paraId="2204C1E1"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-$3,289</w:t>
            </w:r>
          </w:p>
        </w:tc>
        <w:tc>
          <w:tcPr>
            <w:tcW w:w="466" w:type="pct"/>
            <w:shd w:val="clear" w:color="000000" w:fill="FFFFFF"/>
            <w:vAlign w:val="center"/>
            <w:hideMark/>
          </w:tcPr>
          <w:p w14:paraId="2B8E904F"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-$4,342</w:t>
            </w:r>
          </w:p>
        </w:tc>
        <w:tc>
          <w:tcPr>
            <w:tcW w:w="466" w:type="pct"/>
            <w:shd w:val="clear" w:color="000000" w:fill="FFFFFF"/>
            <w:vAlign w:val="center"/>
            <w:hideMark/>
          </w:tcPr>
          <w:p w14:paraId="1742E9B0"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-$8,620</w:t>
            </w:r>
          </w:p>
        </w:tc>
        <w:tc>
          <w:tcPr>
            <w:tcW w:w="466" w:type="pct"/>
            <w:shd w:val="clear" w:color="000000" w:fill="FFFFFF"/>
            <w:vAlign w:val="center"/>
            <w:hideMark/>
          </w:tcPr>
          <w:p w14:paraId="7D0BC73F"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-$13,006</w:t>
            </w:r>
          </w:p>
        </w:tc>
        <w:tc>
          <w:tcPr>
            <w:tcW w:w="466" w:type="pct"/>
            <w:shd w:val="clear" w:color="000000" w:fill="FFFFFF"/>
            <w:vAlign w:val="center"/>
            <w:hideMark/>
          </w:tcPr>
          <w:p w14:paraId="47E7B293"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-$17,504</w:t>
            </w:r>
          </w:p>
        </w:tc>
        <w:tc>
          <w:tcPr>
            <w:tcW w:w="466" w:type="pct"/>
            <w:shd w:val="clear" w:color="000000" w:fill="FFFFFF"/>
            <w:vAlign w:val="center"/>
            <w:hideMark/>
          </w:tcPr>
          <w:p w14:paraId="1EBA8074"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-$22,115</w:t>
            </w:r>
          </w:p>
        </w:tc>
        <w:tc>
          <w:tcPr>
            <w:tcW w:w="466" w:type="pct"/>
            <w:shd w:val="clear" w:color="000000" w:fill="FFFFFF"/>
            <w:vAlign w:val="center"/>
            <w:hideMark/>
          </w:tcPr>
          <w:p w14:paraId="73DEADD1"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-$26,842</w:t>
            </w:r>
          </w:p>
        </w:tc>
        <w:tc>
          <w:tcPr>
            <w:tcW w:w="469" w:type="pct"/>
            <w:shd w:val="clear" w:color="000000" w:fill="FFFFFF"/>
            <w:vAlign w:val="center"/>
            <w:hideMark/>
          </w:tcPr>
          <w:p w14:paraId="40BF164C"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-$31,689</w:t>
            </w:r>
          </w:p>
        </w:tc>
      </w:tr>
      <w:tr w:rsidR="007B5BAF" w:rsidRPr="002C1E2B" w14:paraId="14C1F511" w14:textId="77777777" w:rsidTr="007B5BAF">
        <w:trPr>
          <w:trHeight w:val="315"/>
        </w:trPr>
        <w:tc>
          <w:tcPr>
            <w:tcW w:w="803" w:type="pct"/>
            <w:shd w:val="clear" w:color="000000" w:fill="DBE5F1"/>
            <w:noWrap/>
            <w:vAlign w:val="center"/>
            <w:hideMark/>
          </w:tcPr>
          <w:p w14:paraId="60EFA90C" w14:textId="77777777" w:rsidR="007B5BAF" w:rsidRPr="002C1E2B" w:rsidRDefault="007B5BAF" w:rsidP="007B5BAF">
            <w:pPr>
              <w:spacing w:before="60" w:after="60"/>
              <w:jc w:val="right"/>
              <w:rPr>
                <w:rFonts w:ascii="Calibri" w:eastAsia="Times New Roman" w:hAnsi="Calibri" w:cs="Times New Roman"/>
                <w:bCs/>
                <w:sz w:val="20"/>
                <w:szCs w:val="20"/>
                <w:lang w:eastAsia="en-AU"/>
              </w:rPr>
            </w:pPr>
            <w:r w:rsidRPr="002C1E2B">
              <w:rPr>
                <w:rFonts w:ascii="Calibri" w:eastAsia="Times New Roman" w:hAnsi="Calibri" w:cs="Times New Roman"/>
                <w:bCs/>
                <w:sz w:val="20"/>
                <w:szCs w:val="20"/>
                <w:lang w:eastAsia="en-AU"/>
              </w:rPr>
              <w:t>$258,700</w:t>
            </w:r>
          </w:p>
        </w:tc>
        <w:tc>
          <w:tcPr>
            <w:tcW w:w="465" w:type="pct"/>
            <w:shd w:val="clear" w:color="000000" w:fill="FFFFFF"/>
            <w:vAlign w:val="center"/>
            <w:hideMark/>
          </w:tcPr>
          <w:p w14:paraId="65352CC4"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-$218</w:t>
            </w:r>
          </w:p>
        </w:tc>
        <w:tc>
          <w:tcPr>
            <w:tcW w:w="465" w:type="pct"/>
            <w:shd w:val="clear" w:color="000000" w:fill="FFFFFF"/>
            <w:vAlign w:val="center"/>
            <w:hideMark/>
          </w:tcPr>
          <w:p w14:paraId="44033B43" w14:textId="77777777" w:rsidR="007B5BAF" w:rsidRPr="002C1E2B" w:rsidRDefault="007B5BAF" w:rsidP="007B5BAF">
            <w:pPr>
              <w:spacing w:before="60" w:after="60"/>
              <w:jc w:val="right"/>
              <w:rPr>
                <w:rFonts w:ascii="Calibri" w:hAnsi="Calibri"/>
                <w:b/>
                <w:sz w:val="20"/>
                <w:szCs w:val="20"/>
              </w:rPr>
            </w:pPr>
            <w:r w:rsidRPr="002C1E2B">
              <w:rPr>
                <w:rFonts w:ascii="Calibri" w:hAnsi="Calibri"/>
                <w:b/>
                <w:sz w:val="20"/>
                <w:szCs w:val="20"/>
              </w:rPr>
              <w:t>-$4,254</w:t>
            </w:r>
          </w:p>
        </w:tc>
        <w:tc>
          <w:tcPr>
            <w:tcW w:w="466" w:type="pct"/>
            <w:shd w:val="clear" w:color="000000" w:fill="FFFFFF"/>
            <w:vAlign w:val="center"/>
            <w:hideMark/>
          </w:tcPr>
          <w:p w14:paraId="4B054DEF"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-$5,616</w:t>
            </w:r>
          </w:p>
        </w:tc>
        <w:tc>
          <w:tcPr>
            <w:tcW w:w="466" w:type="pct"/>
            <w:shd w:val="clear" w:color="000000" w:fill="FFFFFF"/>
            <w:vAlign w:val="center"/>
            <w:hideMark/>
          </w:tcPr>
          <w:p w14:paraId="258BA670"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-$11,150</w:t>
            </w:r>
          </w:p>
        </w:tc>
        <w:tc>
          <w:tcPr>
            <w:tcW w:w="466" w:type="pct"/>
            <w:shd w:val="clear" w:color="000000" w:fill="FFFFFF"/>
            <w:vAlign w:val="center"/>
            <w:hideMark/>
          </w:tcPr>
          <w:p w14:paraId="797CDDA4"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-$16,824</w:t>
            </w:r>
          </w:p>
        </w:tc>
        <w:tc>
          <w:tcPr>
            <w:tcW w:w="466" w:type="pct"/>
            <w:shd w:val="clear" w:color="000000" w:fill="FFFFFF"/>
            <w:vAlign w:val="center"/>
            <w:hideMark/>
          </w:tcPr>
          <w:p w14:paraId="464FDD4E"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-$22,641</w:t>
            </w:r>
          </w:p>
        </w:tc>
        <w:tc>
          <w:tcPr>
            <w:tcW w:w="466" w:type="pct"/>
            <w:shd w:val="clear" w:color="000000" w:fill="FFFFFF"/>
            <w:vAlign w:val="center"/>
            <w:hideMark/>
          </w:tcPr>
          <w:p w14:paraId="00E9D56D"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-$28,605</w:t>
            </w:r>
          </w:p>
        </w:tc>
        <w:tc>
          <w:tcPr>
            <w:tcW w:w="466" w:type="pct"/>
            <w:shd w:val="clear" w:color="000000" w:fill="FFFFFF"/>
            <w:vAlign w:val="center"/>
            <w:hideMark/>
          </w:tcPr>
          <w:p w14:paraId="25AD7324"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-$34,720</w:t>
            </w:r>
          </w:p>
        </w:tc>
        <w:tc>
          <w:tcPr>
            <w:tcW w:w="469" w:type="pct"/>
            <w:shd w:val="clear" w:color="000000" w:fill="FFFFFF"/>
            <w:vAlign w:val="center"/>
            <w:hideMark/>
          </w:tcPr>
          <w:p w14:paraId="0A26FCEE"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-$40,989</w:t>
            </w:r>
          </w:p>
        </w:tc>
      </w:tr>
      <w:tr w:rsidR="007B5BAF" w:rsidRPr="002C1E2B" w14:paraId="7EF91EA0" w14:textId="77777777" w:rsidTr="007B5BAF">
        <w:trPr>
          <w:trHeight w:val="315"/>
        </w:trPr>
        <w:tc>
          <w:tcPr>
            <w:tcW w:w="803" w:type="pct"/>
            <w:shd w:val="clear" w:color="000000" w:fill="DBE5F1"/>
            <w:noWrap/>
            <w:vAlign w:val="center"/>
            <w:hideMark/>
          </w:tcPr>
          <w:p w14:paraId="6FE34AA7" w14:textId="77777777" w:rsidR="007B5BAF" w:rsidRPr="002C1E2B" w:rsidRDefault="007B5BAF" w:rsidP="007B5BAF">
            <w:pPr>
              <w:spacing w:before="60" w:after="60"/>
              <w:jc w:val="right"/>
              <w:rPr>
                <w:rFonts w:ascii="Calibri" w:eastAsia="Times New Roman" w:hAnsi="Calibri" w:cs="Times New Roman"/>
                <w:bCs/>
                <w:sz w:val="20"/>
                <w:szCs w:val="20"/>
                <w:lang w:eastAsia="en-AU"/>
              </w:rPr>
            </w:pPr>
            <w:r w:rsidRPr="002C1E2B">
              <w:rPr>
                <w:rFonts w:ascii="Calibri" w:eastAsia="Times New Roman" w:hAnsi="Calibri" w:cs="Times New Roman"/>
                <w:bCs/>
                <w:sz w:val="20"/>
                <w:szCs w:val="20"/>
                <w:lang w:eastAsia="en-AU"/>
              </w:rPr>
              <w:t>$300,000</w:t>
            </w:r>
          </w:p>
        </w:tc>
        <w:tc>
          <w:tcPr>
            <w:tcW w:w="465" w:type="pct"/>
            <w:shd w:val="clear" w:color="000000" w:fill="FFFFFF"/>
            <w:vAlign w:val="center"/>
            <w:hideMark/>
          </w:tcPr>
          <w:p w14:paraId="7DB3D712"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-$253</w:t>
            </w:r>
          </w:p>
        </w:tc>
        <w:tc>
          <w:tcPr>
            <w:tcW w:w="465" w:type="pct"/>
            <w:shd w:val="clear" w:color="000000" w:fill="FFFFFF"/>
            <w:vAlign w:val="center"/>
            <w:hideMark/>
          </w:tcPr>
          <w:p w14:paraId="774ED36F"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-$4,933</w:t>
            </w:r>
          </w:p>
        </w:tc>
        <w:tc>
          <w:tcPr>
            <w:tcW w:w="466" w:type="pct"/>
            <w:shd w:val="clear" w:color="000000" w:fill="FFFFFF"/>
            <w:vAlign w:val="center"/>
            <w:hideMark/>
          </w:tcPr>
          <w:p w14:paraId="261239F1"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-$6,512</w:t>
            </w:r>
          </w:p>
        </w:tc>
        <w:tc>
          <w:tcPr>
            <w:tcW w:w="466" w:type="pct"/>
            <w:shd w:val="clear" w:color="000000" w:fill="FFFFFF"/>
            <w:vAlign w:val="center"/>
            <w:hideMark/>
          </w:tcPr>
          <w:p w14:paraId="2445ACB1"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-$12,930</w:t>
            </w:r>
          </w:p>
        </w:tc>
        <w:tc>
          <w:tcPr>
            <w:tcW w:w="466" w:type="pct"/>
            <w:shd w:val="clear" w:color="000000" w:fill="FFFFFF"/>
            <w:vAlign w:val="center"/>
            <w:hideMark/>
          </w:tcPr>
          <w:p w14:paraId="1FFEC97C"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-$19,510</w:t>
            </w:r>
          </w:p>
        </w:tc>
        <w:tc>
          <w:tcPr>
            <w:tcW w:w="466" w:type="pct"/>
            <w:shd w:val="clear" w:color="000000" w:fill="FFFFFF"/>
            <w:vAlign w:val="center"/>
            <w:hideMark/>
          </w:tcPr>
          <w:p w14:paraId="0C8462F5"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-$26,255</w:t>
            </w:r>
          </w:p>
        </w:tc>
        <w:tc>
          <w:tcPr>
            <w:tcW w:w="466" w:type="pct"/>
            <w:shd w:val="clear" w:color="000000" w:fill="FFFFFF"/>
            <w:vAlign w:val="center"/>
            <w:hideMark/>
          </w:tcPr>
          <w:p w14:paraId="4DD4FA5D"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-$33,172</w:t>
            </w:r>
          </w:p>
        </w:tc>
        <w:tc>
          <w:tcPr>
            <w:tcW w:w="466" w:type="pct"/>
            <w:shd w:val="clear" w:color="000000" w:fill="FFFFFF"/>
            <w:vAlign w:val="center"/>
            <w:hideMark/>
          </w:tcPr>
          <w:p w14:paraId="7E95A5D0"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-$40,263</w:t>
            </w:r>
          </w:p>
        </w:tc>
        <w:tc>
          <w:tcPr>
            <w:tcW w:w="469" w:type="pct"/>
            <w:shd w:val="clear" w:color="000000" w:fill="FFFFFF"/>
            <w:vAlign w:val="center"/>
            <w:hideMark/>
          </w:tcPr>
          <w:p w14:paraId="4E070935"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-$47,533</w:t>
            </w:r>
          </w:p>
        </w:tc>
      </w:tr>
      <w:tr w:rsidR="007B5BAF" w:rsidRPr="002C1E2B" w14:paraId="65428E5E" w14:textId="77777777" w:rsidTr="007B5BAF">
        <w:trPr>
          <w:trHeight w:val="315"/>
        </w:trPr>
        <w:tc>
          <w:tcPr>
            <w:tcW w:w="803" w:type="pct"/>
            <w:shd w:val="clear" w:color="000000" w:fill="DBE5F1"/>
            <w:noWrap/>
            <w:vAlign w:val="center"/>
            <w:hideMark/>
          </w:tcPr>
          <w:p w14:paraId="3618E14D" w14:textId="77777777" w:rsidR="007B5BAF" w:rsidRPr="002C1E2B" w:rsidRDefault="007B5BAF" w:rsidP="007B5BAF">
            <w:pPr>
              <w:spacing w:before="60" w:after="60"/>
              <w:jc w:val="right"/>
              <w:rPr>
                <w:rFonts w:ascii="Calibri" w:eastAsia="Times New Roman" w:hAnsi="Calibri" w:cs="Times New Roman"/>
                <w:bCs/>
                <w:sz w:val="20"/>
                <w:szCs w:val="20"/>
                <w:lang w:eastAsia="en-AU"/>
              </w:rPr>
            </w:pPr>
            <w:r w:rsidRPr="002C1E2B">
              <w:rPr>
                <w:rFonts w:ascii="Calibri" w:eastAsia="Times New Roman" w:hAnsi="Calibri" w:cs="Times New Roman"/>
                <w:bCs/>
                <w:sz w:val="20"/>
                <w:szCs w:val="20"/>
                <w:lang w:eastAsia="en-AU"/>
              </w:rPr>
              <w:t>$400,000</w:t>
            </w:r>
          </w:p>
        </w:tc>
        <w:tc>
          <w:tcPr>
            <w:tcW w:w="465" w:type="pct"/>
            <w:shd w:val="clear" w:color="000000" w:fill="FFFFFF"/>
            <w:vAlign w:val="center"/>
            <w:hideMark/>
          </w:tcPr>
          <w:p w14:paraId="73882681"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-$337</w:t>
            </w:r>
          </w:p>
        </w:tc>
        <w:tc>
          <w:tcPr>
            <w:tcW w:w="465" w:type="pct"/>
            <w:shd w:val="clear" w:color="000000" w:fill="FFFFFF"/>
            <w:vAlign w:val="center"/>
            <w:hideMark/>
          </w:tcPr>
          <w:p w14:paraId="493A1368"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-$6,577</w:t>
            </w:r>
          </w:p>
        </w:tc>
        <w:tc>
          <w:tcPr>
            <w:tcW w:w="466" w:type="pct"/>
            <w:shd w:val="clear" w:color="000000" w:fill="FFFFFF"/>
            <w:vAlign w:val="center"/>
            <w:hideMark/>
          </w:tcPr>
          <w:p w14:paraId="54074FE0"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-$8,683</w:t>
            </w:r>
          </w:p>
        </w:tc>
        <w:tc>
          <w:tcPr>
            <w:tcW w:w="466" w:type="pct"/>
            <w:shd w:val="clear" w:color="000000" w:fill="FFFFFF"/>
            <w:vAlign w:val="center"/>
            <w:hideMark/>
          </w:tcPr>
          <w:p w14:paraId="37902F13"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-$17,240</w:t>
            </w:r>
          </w:p>
        </w:tc>
        <w:tc>
          <w:tcPr>
            <w:tcW w:w="466" w:type="pct"/>
            <w:shd w:val="clear" w:color="000000" w:fill="FFFFFF"/>
            <w:vAlign w:val="center"/>
            <w:hideMark/>
          </w:tcPr>
          <w:p w14:paraId="316AB88E"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-$26,013</w:t>
            </w:r>
          </w:p>
        </w:tc>
        <w:tc>
          <w:tcPr>
            <w:tcW w:w="466" w:type="pct"/>
            <w:shd w:val="clear" w:color="000000" w:fill="FFFFFF"/>
            <w:vAlign w:val="center"/>
            <w:hideMark/>
          </w:tcPr>
          <w:p w14:paraId="6636F274"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-$35,007</w:t>
            </w:r>
          </w:p>
        </w:tc>
        <w:tc>
          <w:tcPr>
            <w:tcW w:w="466" w:type="pct"/>
            <w:shd w:val="clear" w:color="000000" w:fill="FFFFFF"/>
            <w:vAlign w:val="center"/>
            <w:hideMark/>
          </w:tcPr>
          <w:p w14:paraId="6500484B"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-$44,229</w:t>
            </w:r>
          </w:p>
        </w:tc>
        <w:tc>
          <w:tcPr>
            <w:tcW w:w="466" w:type="pct"/>
            <w:shd w:val="clear" w:color="000000" w:fill="FFFFFF"/>
            <w:vAlign w:val="center"/>
            <w:hideMark/>
          </w:tcPr>
          <w:p w14:paraId="56E264A0"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-$53,684</w:t>
            </w:r>
          </w:p>
        </w:tc>
        <w:tc>
          <w:tcPr>
            <w:tcW w:w="469" w:type="pct"/>
            <w:shd w:val="clear" w:color="000000" w:fill="FFFFFF"/>
            <w:vAlign w:val="center"/>
            <w:hideMark/>
          </w:tcPr>
          <w:p w14:paraId="463B1FDF"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-$63,377</w:t>
            </w:r>
          </w:p>
        </w:tc>
      </w:tr>
      <w:tr w:rsidR="007B5BAF" w:rsidRPr="002C1E2B" w14:paraId="4A906676" w14:textId="77777777" w:rsidTr="007B5BAF">
        <w:trPr>
          <w:trHeight w:val="315"/>
        </w:trPr>
        <w:tc>
          <w:tcPr>
            <w:tcW w:w="803" w:type="pct"/>
            <w:shd w:val="clear" w:color="000000" w:fill="DBE5F1"/>
            <w:noWrap/>
            <w:vAlign w:val="center"/>
            <w:hideMark/>
          </w:tcPr>
          <w:p w14:paraId="455C9C9E" w14:textId="77777777" w:rsidR="007B5BAF" w:rsidRPr="002C1E2B" w:rsidRDefault="007B5BAF" w:rsidP="007B5BAF">
            <w:pPr>
              <w:spacing w:before="60" w:after="60"/>
              <w:jc w:val="right"/>
              <w:rPr>
                <w:rFonts w:ascii="Calibri" w:eastAsia="Times New Roman" w:hAnsi="Calibri" w:cs="Times New Roman"/>
                <w:bCs/>
                <w:sz w:val="20"/>
                <w:szCs w:val="20"/>
                <w:lang w:eastAsia="en-AU"/>
              </w:rPr>
            </w:pPr>
            <w:r w:rsidRPr="002C1E2B">
              <w:rPr>
                <w:rFonts w:ascii="Calibri" w:eastAsia="Times New Roman" w:hAnsi="Calibri" w:cs="Times New Roman"/>
                <w:bCs/>
                <w:sz w:val="20"/>
                <w:szCs w:val="20"/>
                <w:lang w:eastAsia="en-AU"/>
              </w:rPr>
              <w:t>$500,000</w:t>
            </w:r>
          </w:p>
        </w:tc>
        <w:tc>
          <w:tcPr>
            <w:tcW w:w="465" w:type="pct"/>
            <w:shd w:val="clear" w:color="000000" w:fill="FFFFFF"/>
            <w:vAlign w:val="center"/>
            <w:hideMark/>
          </w:tcPr>
          <w:p w14:paraId="0CF12587"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-$421</w:t>
            </w:r>
          </w:p>
        </w:tc>
        <w:tc>
          <w:tcPr>
            <w:tcW w:w="465" w:type="pct"/>
            <w:shd w:val="clear" w:color="000000" w:fill="FFFFFF"/>
            <w:vAlign w:val="center"/>
            <w:hideMark/>
          </w:tcPr>
          <w:p w14:paraId="1A397480"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-$8,221</w:t>
            </w:r>
          </w:p>
        </w:tc>
        <w:tc>
          <w:tcPr>
            <w:tcW w:w="466" w:type="pct"/>
            <w:shd w:val="clear" w:color="000000" w:fill="FFFFFF"/>
            <w:vAlign w:val="center"/>
            <w:hideMark/>
          </w:tcPr>
          <w:p w14:paraId="29371EC7"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-$10,854</w:t>
            </w:r>
          </w:p>
        </w:tc>
        <w:tc>
          <w:tcPr>
            <w:tcW w:w="466" w:type="pct"/>
            <w:shd w:val="clear" w:color="000000" w:fill="FFFFFF"/>
            <w:vAlign w:val="center"/>
            <w:hideMark/>
          </w:tcPr>
          <w:p w14:paraId="42A48EAF"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-$21,550</w:t>
            </w:r>
          </w:p>
        </w:tc>
        <w:tc>
          <w:tcPr>
            <w:tcW w:w="466" w:type="pct"/>
            <w:shd w:val="clear" w:color="000000" w:fill="FFFFFF"/>
            <w:vAlign w:val="center"/>
            <w:hideMark/>
          </w:tcPr>
          <w:p w14:paraId="3E02B9F9"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-$32,516</w:t>
            </w:r>
          </w:p>
        </w:tc>
        <w:tc>
          <w:tcPr>
            <w:tcW w:w="466" w:type="pct"/>
            <w:shd w:val="clear" w:color="000000" w:fill="FFFFFF"/>
            <w:vAlign w:val="center"/>
            <w:hideMark/>
          </w:tcPr>
          <w:p w14:paraId="09A55C9A"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-$43,759</w:t>
            </w:r>
          </w:p>
        </w:tc>
        <w:tc>
          <w:tcPr>
            <w:tcW w:w="466" w:type="pct"/>
            <w:shd w:val="clear" w:color="000000" w:fill="FFFFFF"/>
            <w:vAlign w:val="center"/>
            <w:hideMark/>
          </w:tcPr>
          <w:p w14:paraId="27DE3CF0"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-$55,286</w:t>
            </w:r>
          </w:p>
        </w:tc>
        <w:tc>
          <w:tcPr>
            <w:tcW w:w="466" w:type="pct"/>
            <w:shd w:val="clear" w:color="000000" w:fill="FFFFFF"/>
            <w:vAlign w:val="center"/>
            <w:hideMark/>
          </w:tcPr>
          <w:p w14:paraId="13D4977C"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-$67,105</w:t>
            </w:r>
          </w:p>
        </w:tc>
        <w:tc>
          <w:tcPr>
            <w:tcW w:w="469" w:type="pct"/>
            <w:shd w:val="clear" w:color="000000" w:fill="FFFFFF"/>
            <w:vAlign w:val="center"/>
            <w:hideMark/>
          </w:tcPr>
          <w:p w14:paraId="5DC430C9"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-$79,222</w:t>
            </w:r>
          </w:p>
        </w:tc>
      </w:tr>
    </w:tbl>
    <w:p w14:paraId="20B795BC" w14:textId="77777777" w:rsidR="007B5BAF" w:rsidRPr="002C1E2B" w:rsidRDefault="007B5BAF" w:rsidP="007B5BAF">
      <w:pPr>
        <w:pStyle w:val="Caption"/>
        <w:spacing w:after="120"/>
      </w:pPr>
      <w:r w:rsidRPr="002C1E2B">
        <w:br/>
      </w:r>
    </w:p>
    <w:p w14:paraId="3DF8111C" w14:textId="77777777" w:rsidR="007B5BAF" w:rsidRPr="002C1E2B" w:rsidRDefault="007B5BAF">
      <w:pPr>
        <w:spacing w:after="200" w:line="276" w:lineRule="auto"/>
        <w:rPr>
          <w:b/>
          <w:bCs/>
        </w:rPr>
      </w:pPr>
      <w:r w:rsidRPr="002C1E2B">
        <w:br w:type="page"/>
      </w:r>
    </w:p>
    <w:p w14:paraId="70B52168" w14:textId="77777777" w:rsidR="007B5BAF" w:rsidRPr="002C1E2B" w:rsidRDefault="007B5BAF" w:rsidP="007B5BAF">
      <w:pPr>
        <w:pStyle w:val="Caption"/>
        <w:spacing w:after="120"/>
      </w:pPr>
      <w:r w:rsidRPr="002C1E2B">
        <w:lastRenderedPageBreak/>
        <w:t xml:space="preserve">Table </w:t>
      </w:r>
      <w:r w:rsidRPr="002C1E2B">
        <w:fldChar w:fldCharType="begin"/>
      </w:r>
      <w:r w:rsidRPr="002C1E2B">
        <w:instrText xml:space="preserve"> STYLEREF 1 \s </w:instrText>
      </w:r>
      <w:r w:rsidRPr="002C1E2B">
        <w:fldChar w:fldCharType="separate"/>
      </w:r>
      <w:r w:rsidR="00BE6CE4">
        <w:rPr>
          <w:noProof/>
        </w:rPr>
        <w:t>F</w:t>
      </w:r>
      <w:r w:rsidRPr="002C1E2B">
        <w:fldChar w:fldCharType="end"/>
      </w:r>
      <w:r w:rsidRPr="002C1E2B">
        <w:t>.</w:t>
      </w:r>
      <w:r w:rsidRPr="002C1E2B">
        <w:fldChar w:fldCharType="begin"/>
      </w:r>
      <w:r w:rsidRPr="002C1E2B">
        <w:instrText xml:space="preserve"> SEQ Table \* ARABIC \s 1 </w:instrText>
      </w:r>
      <w:r w:rsidRPr="002C1E2B">
        <w:fldChar w:fldCharType="separate"/>
      </w:r>
      <w:r w:rsidR="00BE6CE4">
        <w:rPr>
          <w:noProof/>
        </w:rPr>
        <w:t>3</w:t>
      </w:r>
      <w:r w:rsidRPr="002C1E2B">
        <w:fldChar w:fldCharType="end"/>
      </w:r>
      <w:r w:rsidRPr="002C1E2B">
        <w:t xml:space="preserve"> – Total cost to residents – DAP payment (by sale time and value of exit entitlement)</w:t>
      </w:r>
    </w:p>
    <w:tbl>
      <w:tblPr>
        <w:tblW w:w="5294" w:type="pct"/>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546"/>
        <w:gridCol w:w="911"/>
        <w:gridCol w:w="886"/>
        <w:gridCol w:w="886"/>
        <w:gridCol w:w="886"/>
        <w:gridCol w:w="886"/>
        <w:gridCol w:w="886"/>
        <w:gridCol w:w="886"/>
        <w:gridCol w:w="886"/>
        <w:gridCol w:w="888"/>
      </w:tblGrid>
      <w:tr w:rsidR="007B5BAF" w:rsidRPr="002C1E2B" w14:paraId="30D6E0BC" w14:textId="77777777" w:rsidTr="007B5BAF">
        <w:trPr>
          <w:trHeight w:val="315"/>
        </w:trPr>
        <w:tc>
          <w:tcPr>
            <w:tcW w:w="810" w:type="pct"/>
            <w:shd w:val="clear" w:color="auto" w:fill="auto"/>
            <w:noWrap/>
            <w:vAlign w:val="bottom"/>
            <w:hideMark/>
          </w:tcPr>
          <w:p w14:paraId="6FCF827F" w14:textId="77777777" w:rsidR="007B5BAF" w:rsidRPr="002C1E2B" w:rsidRDefault="007B5BAF" w:rsidP="007B5BAF">
            <w:pPr>
              <w:spacing w:before="60" w:after="60"/>
              <w:rPr>
                <w:rFonts w:ascii="Calibri" w:eastAsia="Times New Roman" w:hAnsi="Calibri" w:cs="Times New Roman"/>
                <w:color w:val="002E63"/>
                <w:sz w:val="20"/>
                <w:szCs w:val="20"/>
                <w:lang w:eastAsia="en-AU"/>
              </w:rPr>
            </w:pPr>
          </w:p>
        </w:tc>
        <w:tc>
          <w:tcPr>
            <w:tcW w:w="4190" w:type="pct"/>
            <w:gridSpan w:val="9"/>
            <w:shd w:val="clear" w:color="000000" w:fill="1F497D"/>
            <w:noWrap/>
            <w:vAlign w:val="center"/>
            <w:hideMark/>
          </w:tcPr>
          <w:p w14:paraId="06CE3BC0" w14:textId="77777777" w:rsidR="007B5BAF" w:rsidRPr="002C1E2B" w:rsidRDefault="007B5BAF" w:rsidP="007B5BAF">
            <w:pPr>
              <w:spacing w:before="60" w:after="60"/>
              <w:rPr>
                <w:rFonts w:ascii="Calibri" w:eastAsia="Times New Roman" w:hAnsi="Calibri" w:cs="Times New Roman"/>
                <w:b/>
                <w:bCs/>
                <w:color w:val="002E63"/>
                <w:sz w:val="20"/>
                <w:szCs w:val="20"/>
                <w:lang w:eastAsia="en-AU"/>
              </w:rPr>
            </w:pPr>
            <w:r w:rsidRPr="002C1E2B">
              <w:rPr>
                <w:rFonts w:ascii="Calibri" w:eastAsia="Times New Roman" w:hAnsi="Calibri" w:cs="Times New Roman"/>
                <w:b/>
                <w:bCs/>
                <w:color w:val="FFFFFF"/>
                <w:sz w:val="20"/>
                <w:szCs w:val="20"/>
                <w:lang w:eastAsia="en-AU"/>
              </w:rPr>
              <w:t>Sale time (months)</w:t>
            </w:r>
          </w:p>
        </w:tc>
      </w:tr>
      <w:tr w:rsidR="007B5BAF" w:rsidRPr="002C1E2B" w14:paraId="610A4E01" w14:textId="77777777" w:rsidTr="007B5BAF">
        <w:trPr>
          <w:trHeight w:val="315"/>
        </w:trPr>
        <w:tc>
          <w:tcPr>
            <w:tcW w:w="810" w:type="pct"/>
            <w:shd w:val="clear" w:color="000000" w:fill="1F497D"/>
            <w:noWrap/>
            <w:vAlign w:val="center"/>
            <w:hideMark/>
          </w:tcPr>
          <w:p w14:paraId="3E7857AD" w14:textId="77777777" w:rsidR="007B5BAF" w:rsidRPr="002C1E2B" w:rsidRDefault="007B5BAF" w:rsidP="007B5BAF">
            <w:pPr>
              <w:spacing w:before="60" w:after="60"/>
              <w:rPr>
                <w:rFonts w:ascii="Calibri" w:eastAsia="Times New Roman" w:hAnsi="Calibri" w:cs="Times New Roman"/>
                <w:b/>
                <w:bCs/>
                <w:color w:val="FFFFFF"/>
                <w:sz w:val="19"/>
                <w:szCs w:val="19"/>
                <w:lang w:eastAsia="en-AU"/>
              </w:rPr>
            </w:pPr>
            <w:r w:rsidRPr="002C1E2B">
              <w:rPr>
                <w:rFonts w:ascii="Calibri" w:eastAsia="Times New Roman" w:hAnsi="Calibri" w:cs="Times New Roman"/>
                <w:b/>
                <w:bCs/>
                <w:color w:val="FFFFFF"/>
                <w:sz w:val="19"/>
                <w:szCs w:val="19"/>
                <w:lang w:eastAsia="en-AU"/>
              </w:rPr>
              <w:t>Exit  entitlement</w:t>
            </w:r>
          </w:p>
        </w:tc>
        <w:tc>
          <w:tcPr>
            <w:tcW w:w="477" w:type="pct"/>
            <w:shd w:val="clear" w:color="000000" w:fill="DBE5F1"/>
            <w:vAlign w:val="center"/>
            <w:hideMark/>
          </w:tcPr>
          <w:p w14:paraId="29C85759" w14:textId="77777777" w:rsidR="007B5BAF" w:rsidRPr="002C1E2B" w:rsidRDefault="007B5BAF" w:rsidP="007B5BAF">
            <w:pPr>
              <w:spacing w:before="60" w:after="60"/>
              <w:jc w:val="right"/>
              <w:rPr>
                <w:rFonts w:ascii="Calibri" w:eastAsia="Times New Roman" w:hAnsi="Calibri" w:cs="Times New Roman"/>
                <w:bCs/>
                <w:sz w:val="20"/>
                <w:szCs w:val="20"/>
                <w:lang w:eastAsia="en-AU"/>
              </w:rPr>
            </w:pPr>
            <w:r w:rsidRPr="002C1E2B">
              <w:rPr>
                <w:rFonts w:ascii="Calibri" w:eastAsia="Times New Roman" w:hAnsi="Calibri" w:cs="Times New Roman"/>
                <w:bCs/>
                <w:sz w:val="20"/>
                <w:szCs w:val="20"/>
                <w:lang w:eastAsia="en-AU"/>
              </w:rPr>
              <w:t>6</w:t>
            </w:r>
          </w:p>
        </w:tc>
        <w:tc>
          <w:tcPr>
            <w:tcW w:w="464" w:type="pct"/>
            <w:shd w:val="clear" w:color="000000" w:fill="DBE5F1"/>
            <w:vAlign w:val="center"/>
            <w:hideMark/>
          </w:tcPr>
          <w:p w14:paraId="05CBC076" w14:textId="77777777" w:rsidR="007B5BAF" w:rsidRPr="002C1E2B" w:rsidRDefault="007B5BAF" w:rsidP="007B5BAF">
            <w:pPr>
              <w:spacing w:before="60" w:after="60"/>
              <w:jc w:val="right"/>
              <w:rPr>
                <w:rFonts w:ascii="Calibri" w:eastAsia="Times New Roman" w:hAnsi="Calibri" w:cs="Times New Roman"/>
                <w:bCs/>
                <w:sz w:val="20"/>
                <w:szCs w:val="20"/>
                <w:lang w:eastAsia="en-AU"/>
              </w:rPr>
            </w:pPr>
            <w:r w:rsidRPr="002C1E2B">
              <w:rPr>
                <w:rFonts w:ascii="Calibri" w:eastAsia="Times New Roman" w:hAnsi="Calibri" w:cs="Times New Roman"/>
                <w:bCs/>
                <w:sz w:val="20"/>
                <w:szCs w:val="20"/>
                <w:lang w:eastAsia="en-AU"/>
              </w:rPr>
              <w:t>10.5</w:t>
            </w:r>
          </w:p>
        </w:tc>
        <w:tc>
          <w:tcPr>
            <w:tcW w:w="464" w:type="pct"/>
            <w:shd w:val="clear" w:color="000000" w:fill="DBE5F1"/>
            <w:vAlign w:val="center"/>
            <w:hideMark/>
          </w:tcPr>
          <w:p w14:paraId="74A31B26" w14:textId="77777777" w:rsidR="007B5BAF" w:rsidRPr="002C1E2B" w:rsidRDefault="007B5BAF" w:rsidP="007B5BAF">
            <w:pPr>
              <w:spacing w:before="60" w:after="60"/>
              <w:jc w:val="right"/>
              <w:rPr>
                <w:rFonts w:ascii="Calibri" w:eastAsia="Times New Roman" w:hAnsi="Calibri" w:cs="Times New Roman"/>
                <w:bCs/>
                <w:sz w:val="20"/>
                <w:szCs w:val="20"/>
                <w:lang w:eastAsia="en-AU"/>
              </w:rPr>
            </w:pPr>
            <w:r w:rsidRPr="002C1E2B">
              <w:rPr>
                <w:rFonts w:ascii="Calibri" w:eastAsia="Times New Roman" w:hAnsi="Calibri" w:cs="Times New Roman"/>
                <w:bCs/>
                <w:sz w:val="20"/>
                <w:szCs w:val="20"/>
                <w:lang w:eastAsia="en-AU"/>
              </w:rPr>
              <w:t>12</w:t>
            </w:r>
          </w:p>
        </w:tc>
        <w:tc>
          <w:tcPr>
            <w:tcW w:w="464" w:type="pct"/>
            <w:shd w:val="clear" w:color="000000" w:fill="DBE5F1"/>
            <w:vAlign w:val="center"/>
            <w:hideMark/>
          </w:tcPr>
          <w:p w14:paraId="3055680F" w14:textId="77777777" w:rsidR="007B5BAF" w:rsidRPr="002C1E2B" w:rsidRDefault="007B5BAF" w:rsidP="007B5BAF">
            <w:pPr>
              <w:spacing w:before="60" w:after="60"/>
              <w:jc w:val="right"/>
              <w:rPr>
                <w:rFonts w:ascii="Calibri" w:eastAsia="Times New Roman" w:hAnsi="Calibri" w:cs="Times New Roman"/>
                <w:bCs/>
                <w:sz w:val="20"/>
                <w:szCs w:val="20"/>
                <w:lang w:eastAsia="en-AU"/>
              </w:rPr>
            </w:pPr>
            <w:r w:rsidRPr="002C1E2B">
              <w:rPr>
                <w:rFonts w:ascii="Calibri" w:eastAsia="Times New Roman" w:hAnsi="Calibri" w:cs="Times New Roman"/>
                <w:bCs/>
                <w:sz w:val="20"/>
                <w:szCs w:val="20"/>
                <w:lang w:eastAsia="en-AU"/>
              </w:rPr>
              <w:t>18</w:t>
            </w:r>
          </w:p>
        </w:tc>
        <w:tc>
          <w:tcPr>
            <w:tcW w:w="464" w:type="pct"/>
            <w:shd w:val="clear" w:color="000000" w:fill="DBE5F1"/>
            <w:vAlign w:val="center"/>
            <w:hideMark/>
          </w:tcPr>
          <w:p w14:paraId="5785C676" w14:textId="77777777" w:rsidR="007B5BAF" w:rsidRPr="002C1E2B" w:rsidRDefault="007B5BAF" w:rsidP="007B5BAF">
            <w:pPr>
              <w:spacing w:before="60" w:after="60"/>
              <w:jc w:val="right"/>
              <w:rPr>
                <w:rFonts w:ascii="Calibri" w:eastAsia="Times New Roman" w:hAnsi="Calibri" w:cs="Times New Roman"/>
                <w:bCs/>
                <w:sz w:val="20"/>
                <w:szCs w:val="20"/>
                <w:lang w:eastAsia="en-AU"/>
              </w:rPr>
            </w:pPr>
            <w:r w:rsidRPr="002C1E2B">
              <w:rPr>
                <w:rFonts w:ascii="Calibri" w:eastAsia="Times New Roman" w:hAnsi="Calibri" w:cs="Times New Roman"/>
                <w:bCs/>
                <w:sz w:val="20"/>
                <w:szCs w:val="20"/>
                <w:lang w:eastAsia="en-AU"/>
              </w:rPr>
              <w:t>24</w:t>
            </w:r>
          </w:p>
        </w:tc>
        <w:tc>
          <w:tcPr>
            <w:tcW w:w="464" w:type="pct"/>
            <w:shd w:val="clear" w:color="000000" w:fill="DBE5F1"/>
            <w:vAlign w:val="center"/>
            <w:hideMark/>
          </w:tcPr>
          <w:p w14:paraId="421B93DA" w14:textId="77777777" w:rsidR="007B5BAF" w:rsidRPr="002C1E2B" w:rsidRDefault="007B5BAF" w:rsidP="007B5BAF">
            <w:pPr>
              <w:spacing w:before="60" w:after="60"/>
              <w:jc w:val="right"/>
              <w:rPr>
                <w:rFonts w:ascii="Calibri" w:eastAsia="Times New Roman" w:hAnsi="Calibri" w:cs="Times New Roman"/>
                <w:bCs/>
                <w:sz w:val="20"/>
                <w:szCs w:val="20"/>
                <w:lang w:eastAsia="en-AU"/>
              </w:rPr>
            </w:pPr>
            <w:r w:rsidRPr="002C1E2B">
              <w:rPr>
                <w:rFonts w:ascii="Calibri" w:eastAsia="Times New Roman" w:hAnsi="Calibri" w:cs="Times New Roman"/>
                <w:bCs/>
                <w:sz w:val="20"/>
                <w:szCs w:val="20"/>
                <w:lang w:eastAsia="en-AU"/>
              </w:rPr>
              <w:t>30</w:t>
            </w:r>
          </w:p>
        </w:tc>
        <w:tc>
          <w:tcPr>
            <w:tcW w:w="464" w:type="pct"/>
            <w:shd w:val="clear" w:color="000000" w:fill="DBE5F1"/>
            <w:vAlign w:val="center"/>
            <w:hideMark/>
          </w:tcPr>
          <w:p w14:paraId="3703FD1E" w14:textId="77777777" w:rsidR="007B5BAF" w:rsidRPr="002C1E2B" w:rsidRDefault="007B5BAF" w:rsidP="007B5BAF">
            <w:pPr>
              <w:spacing w:before="60" w:after="60"/>
              <w:jc w:val="right"/>
              <w:rPr>
                <w:rFonts w:ascii="Calibri" w:eastAsia="Times New Roman" w:hAnsi="Calibri" w:cs="Times New Roman"/>
                <w:bCs/>
                <w:sz w:val="20"/>
                <w:szCs w:val="20"/>
                <w:lang w:eastAsia="en-AU"/>
              </w:rPr>
            </w:pPr>
            <w:r w:rsidRPr="002C1E2B">
              <w:rPr>
                <w:rFonts w:ascii="Calibri" w:eastAsia="Times New Roman" w:hAnsi="Calibri" w:cs="Times New Roman"/>
                <w:bCs/>
                <w:sz w:val="20"/>
                <w:szCs w:val="20"/>
                <w:lang w:eastAsia="en-AU"/>
              </w:rPr>
              <w:t>36</w:t>
            </w:r>
          </w:p>
        </w:tc>
        <w:tc>
          <w:tcPr>
            <w:tcW w:w="464" w:type="pct"/>
            <w:shd w:val="clear" w:color="000000" w:fill="DBE5F1"/>
            <w:vAlign w:val="center"/>
            <w:hideMark/>
          </w:tcPr>
          <w:p w14:paraId="2F124975" w14:textId="77777777" w:rsidR="007B5BAF" w:rsidRPr="002C1E2B" w:rsidRDefault="007B5BAF" w:rsidP="007B5BAF">
            <w:pPr>
              <w:spacing w:before="60" w:after="60"/>
              <w:jc w:val="right"/>
              <w:rPr>
                <w:rFonts w:ascii="Calibri" w:eastAsia="Times New Roman" w:hAnsi="Calibri" w:cs="Times New Roman"/>
                <w:bCs/>
                <w:sz w:val="20"/>
                <w:szCs w:val="20"/>
                <w:lang w:eastAsia="en-AU"/>
              </w:rPr>
            </w:pPr>
            <w:r w:rsidRPr="002C1E2B">
              <w:rPr>
                <w:rFonts w:ascii="Calibri" w:eastAsia="Times New Roman" w:hAnsi="Calibri" w:cs="Times New Roman"/>
                <w:bCs/>
                <w:sz w:val="20"/>
                <w:szCs w:val="20"/>
                <w:lang w:eastAsia="en-AU"/>
              </w:rPr>
              <w:t>42</w:t>
            </w:r>
          </w:p>
        </w:tc>
        <w:tc>
          <w:tcPr>
            <w:tcW w:w="464" w:type="pct"/>
            <w:shd w:val="clear" w:color="000000" w:fill="DBE5F1"/>
            <w:vAlign w:val="center"/>
            <w:hideMark/>
          </w:tcPr>
          <w:p w14:paraId="6B98D402" w14:textId="77777777" w:rsidR="007B5BAF" w:rsidRPr="002C1E2B" w:rsidRDefault="007B5BAF" w:rsidP="007B5BAF">
            <w:pPr>
              <w:spacing w:before="60" w:after="60"/>
              <w:jc w:val="right"/>
              <w:rPr>
                <w:rFonts w:ascii="Calibri" w:eastAsia="Times New Roman" w:hAnsi="Calibri" w:cs="Times New Roman"/>
                <w:bCs/>
                <w:sz w:val="20"/>
                <w:szCs w:val="20"/>
                <w:lang w:eastAsia="en-AU"/>
              </w:rPr>
            </w:pPr>
            <w:r w:rsidRPr="002C1E2B">
              <w:rPr>
                <w:rFonts w:ascii="Calibri" w:eastAsia="Times New Roman" w:hAnsi="Calibri" w:cs="Times New Roman"/>
                <w:bCs/>
                <w:sz w:val="20"/>
                <w:szCs w:val="20"/>
                <w:lang w:eastAsia="en-AU"/>
              </w:rPr>
              <w:t>48</w:t>
            </w:r>
          </w:p>
        </w:tc>
      </w:tr>
      <w:tr w:rsidR="007B5BAF" w:rsidRPr="002C1E2B" w14:paraId="1BF27C95" w14:textId="77777777" w:rsidTr="007B5BAF">
        <w:trPr>
          <w:trHeight w:val="315"/>
        </w:trPr>
        <w:tc>
          <w:tcPr>
            <w:tcW w:w="810" w:type="pct"/>
            <w:shd w:val="clear" w:color="000000" w:fill="DBE5F1"/>
            <w:noWrap/>
            <w:vAlign w:val="center"/>
            <w:hideMark/>
          </w:tcPr>
          <w:p w14:paraId="635F712D" w14:textId="77777777" w:rsidR="007B5BAF" w:rsidRPr="002C1E2B" w:rsidRDefault="007B5BAF" w:rsidP="007B5BAF">
            <w:pPr>
              <w:spacing w:before="60" w:after="60"/>
              <w:jc w:val="right"/>
              <w:rPr>
                <w:rFonts w:ascii="Calibri" w:eastAsia="Times New Roman" w:hAnsi="Calibri" w:cs="Times New Roman"/>
                <w:bCs/>
                <w:sz w:val="20"/>
                <w:szCs w:val="20"/>
                <w:lang w:eastAsia="en-AU"/>
              </w:rPr>
            </w:pPr>
            <w:r w:rsidRPr="002C1E2B">
              <w:rPr>
                <w:rFonts w:ascii="Calibri" w:eastAsia="Times New Roman" w:hAnsi="Calibri" w:cs="Times New Roman"/>
                <w:bCs/>
                <w:sz w:val="20"/>
                <w:szCs w:val="20"/>
                <w:lang w:eastAsia="en-AU"/>
              </w:rPr>
              <w:t>$50,000</w:t>
            </w:r>
          </w:p>
        </w:tc>
        <w:tc>
          <w:tcPr>
            <w:tcW w:w="477" w:type="pct"/>
            <w:shd w:val="clear" w:color="000000" w:fill="FFFFFF"/>
            <w:vAlign w:val="center"/>
            <w:hideMark/>
          </w:tcPr>
          <w:p w14:paraId="5F85AC01"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-$1,440</w:t>
            </w:r>
          </w:p>
        </w:tc>
        <w:tc>
          <w:tcPr>
            <w:tcW w:w="464" w:type="pct"/>
            <w:shd w:val="clear" w:color="000000" w:fill="FFFFFF"/>
            <w:vAlign w:val="center"/>
            <w:hideMark/>
          </w:tcPr>
          <w:p w14:paraId="26248858"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-$2,520</w:t>
            </w:r>
          </w:p>
        </w:tc>
        <w:tc>
          <w:tcPr>
            <w:tcW w:w="464" w:type="pct"/>
            <w:shd w:val="clear" w:color="000000" w:fill="FFFFFF"/>
            <w:vAlign w:val="center"/>
            <w:hideMark/>
          </w:tcPr>
          <w:p w14:paraId="628F539C"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-$2,880</w:t>
            </w:r>
          </w:p>
        </w:tc>
        <w:tc>
          <w:tcPr>
            <w:tcW w:w="464" w:type="pct"/>
            <w:shd w:val="clear" w:color="000000" w:fill="FFFFFF"/>
            <w:vAlign w:val="center"/>
            <w:hideMark/>
          </w:tcPr>
          <w:p w14:paraId="2F8777FE"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-$4,320</w:t>
            </w:r>
          </w:p>
        </w:tc>
        <w:tc>
          <w:tcPr>
            <w:tcW w:w="464" w:type="pct"/>
            <w:shd w:val="clear" w:color="000000" w:fill="FFFFFF"/>
            <w:vAlign w:val="center"/>
            <w:hideMark/>
          </w:tcPr>
          <w:p w14:paraId="7B130976"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-$5,760</w:t>
            </w:r>
          </w:p>
        </w:tc>
        <w:tc>
          <w:tcPr>
            <w:tcW w:w="464" w:type="pct"/>
            <w:shd w:val="clear" w:color="000000" w:fill="FFFFFF"/>
            <w:vAlign w:val="center"/>
            <w:hideMark/>
          </w:tcPr>
          <w:p w14:paraId="245EEAEE"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-$7,200</w:t>
            </w:r>
          </w:p>
        </w:tc>
        <w:tc>
          <w:tcPr>
            <w:tcW w:w="464" w:type="pct"/>
            <w:shd w:val="clear" w:color="000000" w:fill="FFFFFF"/>
            <w:vAlign w:val="center"/>
            <w:hideMark/>
          </w:tcPr>
          <w:p w14:paraId="68677810"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-$8,640</w:t>
            </w:r>
          </w:p>
        </w:tc>
        <w:tc>
          <w:tcPr>
            <w:tcW w:w="464" w:type="pct"/>
            <w:shd w:val="clear" w:color="000000" w:fill="FFFFFF"/>
            <w:vAlign w:val="center"/>
            <w:hideMark/>
          </w:tcPr>
          <w:p w14:paraId="6475E237"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-$10,080</w:t>
            </w:r>
          </w:p>
        </w:tc>
        <w:tc>
          <w:tcPr>
            <w:tcW w:w="464" w:type="pct"/>
            <w:shd w:val="clear" w:color="000000" w:fill="FFFFFF"/>
            <w:vAlign w:val="center"/>
            <w:hideMark/>
          </w:tcPr>
          <w:p w14:paraId="1974411C"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-$11,520</w:t>
            </w:r>
          </w:p>
        </w:tc>
      </w:tr>
      <w:tr w:rsidR="007B5BAF" w:rsidRPr="002C1E2B" w14:paraId="7A638C83" w14:textId="77777777" w:rsidTr="007B5BAF">
        <w:trPr>
          <w:trHeight w:val="315"/>
        </w:trPr>
        <w:tc>
          <w:tcPr>
            <w:tcW w:w="810" w:type="pct"/>
            <w:shd w:val="clear" w:color="000000" w:fill="DBE5F1"/>
            <w:noWrap/>
            <w:vAlign w:val="center"/>
            <w:hideMark/>
          </w:tcPr>
          <w:p w14:paraId="40A21674" w14:textId="77777777" w:rsidR="007B5BAF" w:rsidRPr="002C1E2B" w:rsidRDefault="007B5BAF" w:rsidP="007B5BAF">
            <w:pPr>
              <w:spacing w:before="60" w:after="60"/>
              <w:jc w:val="right"/>
              <w:rPr>
                <w:rFonts w:ascii="Calibri" w:eastAsia="Times New Roman" w:hAnsi="Calibri" w:cs="Times New Roman"/>
                <w:bCs/>
                <w:sz w:val="20"/>
                <w:szCs w:val="20"/>
                <w:lang w:eastAsia="en-AU"/>
              </w:rPr>
            </w:pPr>
            <w:r w:rsidRPr="002C1E2B">
              <w:rPr>
                <w:rFonts w:ascii="Calibri" w:eastAsia="Times New Roman" w:hAnsi="Calibri" w:cs="Times New Roman"/>
                <w:bCs/>
                <w:sz w:val="20"/>
                <w:szCs w:val="20"/>
                <w:lang w:eastAsia="en-AU"/>
              </w:rPr>
              <w:t>$100,000</w:t>
            </w:r>
          </w:p>
        </w:tc>
        <w:tc>
          <w:tcPr>
            <w:tcW w:w="477" w:type="pct"/>
            <w:shd w:val="clear" w:color="000000" w:fill="FFFFFF"/>
            <w:vAlign w:val="center"/>
            <w:hideMark/>
          </w:tcPr>
          <w:p w14:paraId="25442E11"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-$2,880</w:t>
            </w:r>
          </w:p>
        </w:tc>
        <w:tc>
          <w:tcPr>
            <w:tcW w:w="464" w:type="pct"/>
            <w:shd w:val="clear" w:color="000000" w:fill="FFFFFF"/>
            <w:vAlign w:val="center"/>
            <w:hideMark/>
          </w:tcPr>
          <w:p w14:paraId="43A8186B"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-$5,040</w:t>
            </w:r>
          </w:p>
        </w:tc>
        <w:tc>
          <w:tcPr>
            <w:tcW w:w="464" w:type="pct"/>
            <w:shd w:val="clear" w:color="000000" w:fill="FFFFFF"/>
            <w:vAlign w:val="center"/>
            <w:hideMark/>
          </w:tcPr>
          <w:p w14:paraId="22BD9D56"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-$5,760</w:t>
            </w:r>
          </w:p>
        </w:tc>
        <w:tc>
          <w:tcPr>
            <w:tcW w:w="464" w:type="pct"/>
            <w:shd w:val="clear" w:color="000000" w:fill="FFFFFF"/>
            <w:vAlign w:val="center"/>
            <w:hideMark/>
          </w:tcPr>
          <w:p w14:paraId="5F49A543"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-$8,640</w:t>
            </w:r>
          </w:p>
        </w:tc>
        <w:tc>
          <w:tcPr>
            <w:tcW w:w="464" w:type="pct"/>
            <w:shd w:val="clear" w:color="000000" w:fill="FFFFFF"/>
            <w:vAlign w:val="center"/>
            <w:hideMark/>
          </w:tcPr>
          <w:p w14:paraId="2755DDF3"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-$11,520</w:t>
            </w:r>
          </w:p>
        </w:tc>
        <w:tc>
          <w:tcPr>
            <w:tcW w:w="464" w:type="pct"/>
            <w:shd w:val="clear" w:color="000000" w:fill="FFFFFF"/>
            <w:vAlign w:val="center"/>
            <w:hideMark/>
          </w:tcPr>
          <w:p w14:paraId="24306841"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-$14,400</w:t>
            </w:r>
          </w:p>
        </w:tc>
        <w:tc>
          <w:tcPr>
            <w:tcW w:w="464" w:type="pct"/>
            <w:shd w:val="clear" w:color="000000" w:fill="FFFFFF"/>
            <w:vAlign w:val="center"/>
            <w:hideMark/>
          </w:tcPr>
          <w:p w14:paraId="701C4932"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-$17,280</w:t>
            </w:r>
          </w:p>
        </w:tc>
        <w:tc>
          <w:tcPr>
            <w:tcW w:w="464" w:type="pct"/>
            <w:shd w:val="clear" w:color="000000" w:fill="FFFFFF"/>
            <w:vAlign w:val="center"/>
            <w:hideMark/>
          </w:tcPr>
          <w:p w14:paraId="0830FD3A"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-$20,160</w:t>
            </w:r>
          </w:p>
        </w:tc>
        <w:tc>
          <w:tcPr>
            <w:tcW w:w="464" w:type="pct"/>
            <w:shd w:val="clear" w:color="000000" w:fill="FFFFFF"/>
            <w:vAlign w:val="center"/>
            <w:hideMark/>
          </w:tcPr>
          <w:p w14:paraId="5A6F4980"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-$23,040</w:t>
            </w:r>
          </w:p>
        </w:tc>
      </w:tr>
      <w:tr w:rsidR="007B5BAF" w:rsidRPr="002C1E2B" w14:paraId="0BA81253" w14:textId="77777777" w:rsidTr="007B5BAF">
        <w:trPr>
          <w:trHeight w:val="315"/>
        </w:trPr>
        <w:tc>
          <w:tcPr>
            <w:tcW w:w="810" w:type="pct"/>
            <w:shd w:val="clear" w:color="000000" w:fill="DBE5F1"/>
            <w:noWrap/>
            <w:vAlign w:val="center"/>
            <w:hideMark/>
          </w:tcPr>
          <w:p w14:paraId="581275B3" w14:textId="77777777" w:rsidR="007B5BAF" w:rsidRPr="002C1E2B" w:rsidRDefault="007B5BAF" w:rsidP="007B5BAF">
            <w:pPr>
              <w:spacing w:before="60" w:after="60"/>
              <w:jc w:val="right"/>
              <w:rPr>
                <w:rFonts w:ascii="Calibri" w:eastAsia="Times New Roman" w:hAnsi="Calibri" w:cs="Times New Roman"/>
                <w:bCs/>
                <w:sz w:val="20"/>
                <w:szCs w:val="20"/>
                <w:lang w:eastAsia="en-AU"/>
              </w:rPr>
            </w:pPr>
            <w:r w:rsidRPr="002C1E2B">
              <w:rPr>
                <w:rFonts w:ascii="Calibri" w:eastAsia="Times New Roman" w:hAnsi="Calibri" w:cs="Times New Roman"/>
                <w:bCs/>
                <w:sz w:val="20"/>
                <w:szCs w:val="20"/>
                <w:lang w:eastAsia="en-AU"/>
              </w:rPr>
              <w:t>$200,000</w:t>
            </w:r>
          </w:p>
        </w:tc>
        <w:tc>
          <w:tcPr>
            <w:tcW w:w="477" w:type="pct"/>
            <w:shd w:val="clear" w:color="000000" w:fill="FFFFFF"/>
            <w:vAlign w:val="center"/>
            <w:hideMark/>
          </w:tcPr>
          <w:p w14:paraId="573A3475"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-$5,760</w:t>
            </w:r>
          </w:p>
        </w:tc>
        <w:tc>
          <w:tcPr>
            <w:tcW w:w="464" w:type="pct"/>
            <w:shd w:val="clear" w:color="000000" w:fill="FFFFFF"/>
            <w:vAlign w:val="center"/>
            <w:hideMark/>
          </w:tcPr>
          <w:p w14:paraId="6EFB63F0"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-$10,080</w:t>
            </w:r>
          </w:p>
        </w:tc>
        <w:tc>
          <w:tcPr>
            <w:tcW w:w="464" w:type="pct"/>
            <w:shd w:val="clear" w:color="000000" w:fill="FFFFFF"/>
            <w:vAlign w:val="center"/>
            <w:hideMark/>
          </w:tcPr>
          <w:p w14:paraId="3D35DC8F"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-$11,520</w:t>
            </w:r>
          </w:p>
        </w:tc>
        <w:tc>
          <w:tcPr>
            <w:tcW w:w="464" w:type="pct"/>
            <w:shd w:val="clear" w:color="000000" w:fill="FFFFFF"/>
            <w:vAlign w:val="center"/>
            <w:hideMark/>
          </w:tcPr>
          <w:p w14:paraId="565B22DA"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-$17,280</w:t>
            </w:r>
          </w:p>
        </w:tc>
        <w:tc>
          <w:tcPr>
            <w:tcW w:w="464" w:type="pct"/>
            <w:shd w:val="clear" w:color="000000" w:fill="FFFFFF"/>
            <w:vAlign w:val="center"/>
            <w:hideMark/>
          </w:tcPr>
          <w:p w14:paraId="0154FB49"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-$23,040</w:t>
            </w:r>
          </w:p>
        </w:tc>
        <w:tc>
          <w:tcPr>
            <w:tcW w:w="464" w:type="pct"/>
            <w:shd w:val="clear" w:color="000000" w:fill="FFFFFF"/>
            <w:vAlign w:val="center"/>
            <w:hideMark/>
          </w:tcPr>
          <w:p w14:paraId="3438DD30"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-$28,800</w:t>
            </w:r>
          </w:p>
        </w:tc>
        <w:tc>
          <w:tcPr>
            <w:tcW w:w="464" w:type="pct"/>
            <w:shd w:val="clear" w:color="000000" w:fill="FFFFFF"/>
            <w:vAlign w:val="center"/>
            <w:hideMark/>
          </w:tcPr>
          <w:p w14:paraId="048A40BA"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-$34,560</w:t>
            </w:r>
          </w:p>
        </w:tc>
        <w:tc>
          <w:tcPr>
            <w:tcW w:w="464" w:type="pct"/>
            <w:shd w:val="clear" w:color="000000" w:fill="FFFFFF"/>
            <w:vAlign w:val="center"/>
            <w:hideMark/>
          </w:tcPr>
          <w:p w14:paraId="46E1C6B8"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-$40,320</w:t>
            </w:r>
          </w:p>
        </w:tc>
        <w:tc>
          <w:tcPr>
            <w:tcW w:w="464" w:type="pct"/>
            <w:shd w:val="clear" w:color="000000" w:fill="FFFFFF"/>
            <w:vAlign w:val="center"/>
            <w:hideMark/>
          </w:tcPr>
          <w:p w14:paraId="5E916A4E"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-$46,080</w:t>
            </w:r>
          </w:p>
        </w:tc>
      </w:tr>
      <w:tr w:rsidR="007B5BAF" w:rsidRPr="002C1E2B" w14:paraId="56D20CA1" w14:textId="77777777" w:rsidTr="007B5BAF">
        <w:trPr>
          <w:trHeight w:val="315"/>
        </w:trPr>
        <w:tc>
          <w:tcPr>
            <w:tcW w:w="810" w:type="pct"/>
            <w:shd w:val="clear" w:color="000000" w:fill="DBE5F1"/>
            <w:noWrap/>
            <w:vAlign w:val="center"/>
            <w:hideMark/>
          </w:tcPr>
          <w:p w14:paraId="49D3A16A" w14:textId="77777777" w:rsidR="007B5BAF" w:rsidRPr="002C1E2B" w:rsidRDefault="007B5BAF" w:rsidP="007B5BAF">
            <w:pPr>
              <w:spacing w:before="60" w:after="60"/>
              <w:jc w:val="right"/>
              <w:rPr>
                <w:rFonts w:ascii="Calibri" w:eastAsia="Times New Roman" w:hAnsi="Calibri" w:cs="Times New Roman"/>
                <w:bCs/>
                <w:sz w:val="20"/>
                <w:szCs w:val="20"/>
                <w:lang w:eastAsia="en-AU"/>
              </w:rPr>
            </w:pPr>
            <w:r w:rsidRPr="002C1E2B">
              <w:rPr>
                <w:rFonts w:ascii="Calibri" w:eastAsia="Times New Roman" w:hAnsi="Calibri" w:cs="Times New Roman"/>
                <w:bCs/>
                <w:sz w:val="20"/>
                <w:szCs w:val="20"/>
                <w:lang w:eastAsia="en-AU"/>
              </w:rPr>
              <w:t>$258,700</w:t>
            </w:r>
          </w:p>
        </w:tc>
        <w:tc>
          <w:tcPr>
            <w:tcW w:w="477" w:type="pct"/>
            <w:shd w:val="clear" w:color="000000" w:fill="FFFFFF"/>
            <w:vAlign w:val="center"/>
            <w:hideMark/>
          </w:tcPr>
          <w:p w14:paraId="56E4403D"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-$7,451</w:t>
            </w:r>
          </w:p>
        </w:tc>
        <w:tc>
          <w:tcPr>
            <w:tcW w:w="464" w:type="pct"/>
            <w:shd w:val="clear" w:color="000000" w:fill="FFFFFF"/>
            <w:vAlign w:val="center"/>
            <w:hideMark/>
          </w:tcPr>
          <w:p w14:paraId="0D81511C" w14:textId="77777777" w:rsidR="007B5BAF" w:rsidRPr="002C1E2B" w:rsidRDefault="007B5BAF" w:rsidP="007B5BAF">
            <w:pPr>
              <w:spacing w:before="60" w:after="60"/>
              <w:jc w:val="right"/>
              <w:rPr>
                <w:rFonts w:ascii="Calibri" w:hAnsi="Calibri"/>
                <w:b/>
                <w:sz w:val="20"/>
                <w:szCs w:val="20"/>
              </w:rPr>
            </w:pPr>
            <w:r w:rsidRPr="002C1E2B">
              <w:rPr>
                <w:rFonts w:ascii="Calibri" w:hAnsi="Calibri"/>
                <w:b/>
                <w:sz w:val="20"/>
                <w:szCs w:val="20"/>
              </w:rPr>
              <w:t>-$13,038</w:t>
            </w:r>
          </w:p>
        </w:tc>
        <w:tc>
          <w:tcPr>
            <w:tcW w:w="464" w:type="pct"/>
            <w:shd w:val="clear" w:color="000000" w:fill="FFFFFF"/>
            <w:vAlign w:val="center"/>
            <w:hideMark/>
          </w:tcPr>
          <w:p w14:paraId="351156B2"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-$14,901</w:t>
            </w:r>
          </w:p>
        </w:tc>
        <w:tc>
          <w:tcPr>
            <w:tcW w:w="464" w:type="pct"/>
            <w:shd w:val="clear" w:color="000000" w:fill="FFFFFF"/>
            <w:vAlign w:val="center"/>
            <w:hideMark/>
          </w:tcPr>
          <w:p w14:paraId="7537B4FD"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-$22,352</w:t>
            </w:r>
          </w:p>
        </w:tc>
        <w:tc>
          <w:tcPr>
            <w:tcW w:w="464" w:type="pct"/>
            <w:shd w:val="clear" w:color="000000" w:fill="FFFFFF"/>
            <w:vAlign w:val="center"/>
            <w:hideMark/>
          </w:tcPr>
          <w:p w14:paraId="7527554D"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-$29,802</w:t>
            </w:r>
          </w:p>
        </w:tc>
        <w:tc>
          <w:tcPr>
            <w:tcW w:w="464" w:type="pct"/>
            <w:shd w:val="clear" w:color="000000" w:fill="FFFFFF"/>
            <w:vAlign w:val="center"/>
            <w:hideMark/>
          </w:tcPr>
          <w:p w14:paraId="010073DF"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-$37,253</w:t>
            </w:r>
          </w:p>
        </w:tc>
        <w:tc>
          <w:tcPr>
            <w:tcW w:w="464" w:type="pct"/>
            <w:shd w:val="clear" w:color="000000" w:fill="FFFFFF"/>
            <w:vAlign w:val="center"/>
            <w:hideMark/>
          </w:tcPr>
          <w:p w14:paraId="0969E019"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-$44,703</w:t>
            </w:r>
          </w:p>
        </w:tc>
        <w:tc>
          <w:tcPr>
            <w:tcW w:w="464" w:type="pct"/>
            <w:shd w:val="clear" w:color="000000" w:fill="FFFFFF"/>
            <w:vAlign w:val="center"/>
            <w:hideMark/>
          </w:tcPr>
          <w:p w14:paraId="3DC6C765"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-$52,154</w:t>
            </w:r>
          </w:p>
        </w:tc>
        <w:tc>
          <w:tcPr>
            <w:tcW w:w="464" w:type="pct"/>
            <w:shd w:val="clear" w:color="000000" w:fill="FFFFFF"/>
            <w:vAlign w:val="center"/>
            <w:hideMark/>
          </w:tcPr>
          <w:p w14:paraId="0DDC4865"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-$59,604</w:t>
            </w:r>
          </w:p>
        </w:tc>
      </w:tr>
      <w:tr w:rsidR="007B5BAF" w:rsidRPr="002C1E2B" w14:paraId="60BF9ECC" w14:textId="77777777" w:rsidTr="007B5BAF">
        <w:trPr>
          <w:trHeight w:val="315"/>
        </w:trPr>
        <w:tc>
          <w:tcPr>
            <w:tcW w:w="810" w:type="pct"/>
            <w:shd w:val="clear" w:color="000000" w:fill="DBE5F1"/>
            <w:noWrap/>
            <w:vAlign w:val="center"/>
            <w:hideMark/>
          </w:tcPr>
          <w:p w14:paraId="533B5055" w14:textId="77777777" w:rsidR="007B5BAF" w:rsidRPr="002C1E2B" w:rsidRDefault="007B5BAF" w:rsidP="007B5BAF">
            <w:pPr>
              <w:spacing w:before="60" w:after="60"/>
              <w:jc w:val="right"/>
              <w:rPr>
                <w:rFonts w:ascii="Calibri" w:eastAsia="Times New Roman" w:hAnsi="Calibri" w:cs="Times New Roman"/>
                <w:bCs/>
                <w:sz w:val="20"/>
                <w:szCs w:val="20"/>
                <w:lang w:eastAsia="en-AU"/>
              </w:rPr>
            </w:pPr>
            <w:r w:rsidRPr="002C1E2B">
              <w:rPr>
                <w:rFonts w:ascii="Calibri" w:eastAsia="Times New Roman" w:hAnsi="Calibri" w:cs="Times New Roman"/>
                <w:bCs/>
                <w:sz w:val="20"/>
                <w:szCs w:val="20"/>
                <w:lang w:eastAsia="en-AU"/>
              </w:rPr>
              <w:t>$300,000</w:t>
            </w:r>
          </w:p>
        </w:tc>
        <w:tc>
          <w:tcPr>
            <w:tcW w:w="477" w:type="pct"/>
            <w:shd w:val="clear" w:color="000000" w:fill="FFFFFF"/>
            <w:vAlign w:val="center"/>
            <w:hideMark/>
          </w:tcPr>
          <w:p w14:paraId="2585B089"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-$8,640</w:t>
            </w:r>
          </w:p>
        </w:tc>
        <w:tc>
          <w:tcPr>
            <w:tcW w:w="464" w:type="pct"/>
            <w:shd w:val="clear" w:color="000000" w:fill="FFFFFF"/>
            <w:vAlign w:val="center"/>
            <w:hideMark/>
          </w:tcPr>
          <w:p w14:paraId="14D24194"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-$15,120</w:t>
            </w:r>
          </w:p>
        </w:tc>
        <w:tc>
          <w:tcPr>
            <w:tcW w:w="464" w:type="pct"/>
            <w:shd w:val="clear" w:color="000000" w:fill="FFFFFF"/>
            <w:vAlign w:val="center"/>
            <w:hideMark/>
          </w:tcPr>
          <w:p w14:paraId="612A7B05"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-$17,280</w:t>
            </w:r>
          </w:p>
        </w:tc>
        <w:tc>
          <w:tcPr>
            <w:tcW w:w="464" w:type="pct"/>
            <w:shd w:val="clear" w:color="000000" w:fill="FFFFFF"/>
            <w:vAlign w:val="center"/>
            <w:hideMark/>
          </w:tcPr>
          <w:p w14:paraId="35BE47C2"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-$25,920</w:t>
            </w:r>
          </w:p>
        </w:tc>
        <w:tc>
          <w:tcPr>
            <w:tcW w:w="464" w:type="pct"/>
            <w:shd w:val="clear" w:color="000000" w:fill="FFFFFF"/>
            <w:vAlign w:val="center"/>
            <w:hideMark/>
          </w:tcPr>
          <w:p w14:paraId="5FD3A841"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-$34,560</w:t>
            </w:r>
          </w:p>
        </w:tc>
        <w:tc>
          <w:tcPr>
            <w:tcW w:w="464" w:type="pct"/>
            <w:shd w:val="clear" w:color="000000" w:fill="FFFFFF"/>
            <w:vAlign w:val="center"/>
            <w:hideMark/>
          </w:tcPr>
          <w:p w14:paraId="55EAAA17"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-$43,200</w:t>
            </w:r>
          </w:p>
        </w:tc>
        <w:tc>
          <w:tcPr>
            <w:tcW w:w="464" w:type="pct"/>
            <w:shd w:val="clear" w:color="000000" w:fill="FFFFFF"/>
            <w:vAlign w:val="center"/>
            <w:hideMark/>
          </w:tcPr>
          <w:p w14:paraId="268C2473"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-$51,840</w:t>
            </w:r>
          </w:p>
        </w:tc>
        <w:tc>
          <w:tcPr>
            <w:tcW w:w="464" w:type="pct"/>
            <w:shd w:val="clear" w:color="000000" w:fill="FFFFFF"/>
            <w:vAlign w:val="center"/>
            <w:hideMark/>
          </w:tcPr>
          <w:p w14:paraId="695F1F6D"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-$60,480</w:t>
            </w:r>
          </w:p>
        </w:tc>
        <w:tc>
          <w:tcPr>
            <w:tcW w:w="464" w:type="pct"/>
            <w:shd w:val="clear" w:color="000000" w:fill="FFFFFF"/>
            <w:vAlign w:val="center"/>
            <w:hideMark/>
          </w:tcPr>
          <w:p w14:paraId="014575AA"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-$69,120</w:t>
            </w:r>
          </w:p>
        </w:tc>
      </w:tr>
      <w:tr w:rsidR="007B5BAF" w:rsidRPr="002C1E2B" w14:paraId="7C03FB66" w14:textId="77777777" w:rsidTr="007B5BAF">
        <w:trPr>
          <w:trHeight w:val="315"/>
        </w:trPr>
        <w:tc>
          <w:tcPr>
            <w:tcW w:w="810" w:type="pct"/>
            <w:shd w:val="clear" w:color="000000" w:fill="DBE5F1"/>
            <w:noWrap/>
            <w:vAlign w:val="center"/>
            <w:hideMark/>
          </w:tcPr>
          <w:p w14:paraId="323BE01D" w14:textId="77777777" w:rsidR="007B5BAF" w:rsidRPr="002C1E2B" w:rsidRDefault="007B5BAF" w:rsidP="007B5BAF">
            <w:pPr>
              <w:spacing w:before="60" w:after="60"/>
              <w:jc w:val="right"/>
              <w:rPr>
                <w:rFonts w:ascii="Calibri" w:eastAsia="Times New Roman" w:hAnsi="Calibri" w:cs="Times New Roman"/>
                <w:bCs/>
                <w:sz w:val="20"/>
                <w:szCs w:val="20"/>
                <w:lang w:eastAsia="en-AU"/>
              </w:rPr>
            </w:pPr>
            <w:r w:rsidRPr="002C1E2B">
              <w:rPr>
                <w:rFonts w:ascii="Calibri" w:eastAsia="Times New Roman" w:hAnsi="Calibri" w:cs="Times New Roman"/>
                <w:bCs/>
                <w:sz w:val="20"/>
                <w:szCs w:val="20"/>
                <w:lang w:eastAsia="en-AU"/>
              </w:rPr>
              <w:t>$400,000</w:t>
            </w:r>
          </w:p>
        </w:tc>
        <w:tc>
          <w:tcPr>
            <w:tcW w:w="477" w:type="pct"/>
            <w:shd w:val="clear" w:color="000000" w:fill="FFFFFF"/>
            <w:vAlign w:val="center"/>
            <w:hideMark/>
          </w:tcPr>
          <w:p w14:paraId="3E117BF9"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-$11,520</w:t>
            </w:r>
          </w:p>
        </w:tc>
        <w:tc>
          <w:tcPr>
            <w:tcW w:w="464" w:type="pct"/>
            <w:shd w:val="clear" w:color="000000" w:fill="FFFFFF"/>
            <w:vAlign w:val="center"/>
            <w:hideMark/>
          </w:tcPr>
          <w:p w14:paraId="3FCDC537"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-$20,160</w:t>
            </w:r>
          </w:p>
        </w:tc>
        <w:tc>
          <w:tcPr>
            <w:tcW w:w="464" w:type="pct"/>
            <w:shd w:val="clear" w:color="000000" w:fill="FFFFFF"/>
            <w:vAlign w:val="center"/>
            <w:hideMark/>
          </w:tcPr>
          <w:p w14:paraId="5413ACF1"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-$23,040</w:t>
            </w:r>
          </w:p>
        </w:tc>
        <w:tc>
          <w:tcPr>
            <w:tcW w:w="464" w:type="pct"/>
            <w:shd w:val="clear" w:color="000000" w:fill="FFFFFF"/>
            <w:vAlign w:val="center"/>
            <w:hideMark/>
          </w:tcPr>
          <w:p w14:paraId="11DE6ADA"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-$34,560</w:t>
            </w:r>
          </w:p>
        </w:tc>
        <w:tc>
          <w:tcPr>
            <w:tcW w:w="464" w:type="pct"/>
            <w:shd w:val="clear" w:color="000000" w:fill="FFFFFF"/>
            <w:vAlign w:val="center"/>
            <w:hideMark/>
          </w:tcPr>
          <w:p w14:paraId="1CB5E3BF"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-$46,080</w:t>
            </w:r>
          </w:p>
        </w:tc>
        <w:tc>
          <w:tcPr>
            <w:tcW w:w="464" w:type="pct"/>
            <w:shd w:val="clear" w:color="000000" w:fill="FFFFFF"/>
            <w:vAlign w:val="center"/>
            <w:hideMark/>
          </w:tcPr>
          <w:p w14:paraId="08EED2DC"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-$57,600</w:t>
            </w:r>
          </w:p>
        </w:tc>
        <w:tc>
          <w:tcPr>
            <w:tcW w:w="464" w:type="pct"/>
            <w:shd w:val="clear" w:color="000000" w:fill="FFFFFF"/>
            <w:vAlign w:val="center"/>
            <w:hideMark/>
          </w:tcPr>
          <w:p w14:paraId="4D1BE570"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-$69,120</w:t>
            </w:r>
          </w:p>
        </w:tc>
        <w:tc>
          <w:tcPr>
            <w:tcW w:w="464" w:type="pct"/>
            <w:shd w:val="clear" w:color="000000" w:fill="FFFFFF"/>
            <w:vAlign w:val="center"/>
            <w:hideMark/>
          </w:tcPr>
          <w:p w14:paraId="423DD746"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-$80,640</w:t>
            </w:r>
          </w:p>
        </w:tc>
        <w:tc>
          <w:tcPr>
            <w:tcW w:w="464" w:type="pct"/>
            <w:shd w:val="clear" w:color="000000" w:fill="FFFFFF"/>
            <w:vAlign w:val="center"/>
            <w:hideMark/>
          </w:tcPr>
          <w:p w14:paraId="59786D3F"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-$92,160</w:t>
            </w:r>
          </w:p>
        </w:tc>
      </w:tr>
      <w:tr w:rsidR="007B5BAF" w:rsidRPr="002C1E2B" w14:paraId="0C894B7E" w14:textId="77777777" w:rsidTr="007B5BAF">
        <w:trPr>
          <w:trHeight w:val="315"/>
        </w:trPr>
        <w:tc>
          <w:tcPr>
            <w:tcW w:w="810" w:type="pct"/>
            <w:shd w:val="clear" w:color="000000" w:fill="DBE5F1"/>
            <w:noWrap/>
            <w:vAlign w:val="center"/>
            <w:hideMark/>
          </w:tcPr>
          <w:p w14:paraId="3FD07F60" w14:textId="77777777" w:rsidR="007B5BAF" w:rsidRPr="002C1E2B" w:rsidRDefault="007B5BAF" w:rsidP="007B5BAF">
            <w:pPr>
              <w:spacing w:before="60" w:after="60"/>
              <w:jc w:val="right"/>
              <w:rPr>
                <w:rFonts w:ascii="Calibri" w:eastAsia="Times New Roman" w:hAnsi="Calibri" w:cs="Times New Roman"/>
                <w:bCs/>
                <w:sz w:val="20"/>
                <w:szCs w:val="20"/>
                <w:lang w:eastAsia="en-AU"/>
              </w:rPr>
            </w:pPr>
            <w:r w:rsidRPr="002C1E2B">
              <w:rPr>
                <w:rFonts w:ascii="Calibri" w:eastAsia="Times New Roman" w:hAnsi="Calibri" w:cs="Times New Roman"/>
                <w:bCs/>
                <w:sz w:val="20"/>
                <w:szCs w:val="20"/>
                <w:lang w:eastAsia="en-AU"/>
              </w:rPr>
              <w:t>$500,000</w:t>
            </w:r>
          </w:p>
        </w:tc>
        <w:tc>
          <w:tcPr>
            <w:tcW w:w="477" w:type="pct"/>
            <w:shd w:val="clear" w:color="000000" w:fill="FFFFFF"/>
            <w:vAlign w:val="center"/>
            <w:hideMark/>
          </w:tcPr>
          <w:p w14:paraId="3CB3615D"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-$14,400</w:t>
            </w:r>
          </w:p>
        </w:tc>
        <w:tc>
          <w:tcPr>
            <w:tcW w:w="464" w:type="pct"/>
            <w:shd w:val="clear" w:color="000000" w:fill="FFFFFF"/>
            <w:vAlign w:val="center"/>
            <w:hideMark/>
          </w:tcPr>
          <w:p w14:paraId="48AAFE4F"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-$25,200</w:t>
            </w:r>
          </w:p>
        </w:tc>
        <w:tc>
          <w:tcPr>
            <w:tcW w:w="464" w:type="pct"/>
            <w:shd w:val="clear" w:color="000000" w:fill="FFFFFF"/>
            <w:vAlign w:val="center"/>
            <w:hideMark/>
          </w:tcPr>
          <w:p w14:paraId="62EAE826"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-$28,800</w:t>
            </w:r>
          </w:p>
        </w:tc>
        <w:tc>
          <w:tcPr>
            <w:tcW w:w="464" w:type="pct"/>
            <w:shd w:val="clear" w:color="000000" w:fill="FFFFFF"/>
            <w:vAlign w:val="center"/>
            <w:hideMark/>
          </w:tcPr>
          <w:p w14:paraId="68D8F6A2"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-$43,200</w:t>
            </w:r>
          </w:p>
        </w:tc>
        <w:tc>
          <w:tcPr>
            <w:tcW w:w="464" w:type="pct"/>
            <w:shd w:val="clear" w:color="000000" w:fill="FFFFFF"/>
            <w:vAlign w:val="center"/>
            <w:hideMark/>
          </w:tcPr>
          <w:p w14:paraId="667A9637"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-$57,600</w:t>
            </w:r>
          </w:p>
        </w:tc>
        <w:tc>
          <w:tcPr>
            <w:tcW w:w="464" w:type="pct"/>
            <w:shd w:val="clear" w:color="000000" w:fill="FFFFFF"/>
            <w:vAlign w:val="center"/>
            <w:hideMark/>
          </w:tcPr>
          <w:p w14:paraId="07E1B55E"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-$72,000</w:t>
            </w:r>
          </w:p>
        </w:tc>
        <w:tc>
          <w:tcPr>
            <w:tcW w:w="464" w:type="pct"/>
            <w:shd w:val="clear" w:color="000000" w:fill="FFFFFF"/>
            <w:vAlign w:val="center"/>
            <w:hideMark/>
          </w:tcPr>
          <w:p w14:paraId="78F79483"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-$86,400</w:t>
            </w:r>
          </w:p>
        </w:tc>
        <w:tc>
          <w:tcPr>
            <w:tcW w:w="464" w:type="pct"/>
            <w:shd w:val="clear" w:color="000000" w:fill="FFFFFF"/>
            <w:vAlign w:val="center"/>
            <w:hideMark/>
          </w:tcPr>
          <w:p w14:paraId="4D095CBA"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-$100,800</w:t>
            </w:r>
          </w:p>
        </w:tc>
        <w:tc>
          <w:tcPr>
            <w:tcW w:w="464" w:type="pct"/>
            <w:shd w:val="clear" w:color="000000" w:fill="FFFFFF"/>
            <w:vAlign w:val="center"/>
            <w:hideMark/>
          </w:tcPr>
          <w:p w14:paraId="7B371E10"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-$115,200</w:t>
            </w:r>
          </w:p>
        </w:tc>
      </w:tr>
    </w:tbl>
    <w:p w14:paraId="0A21E809" w14:textId="77777777" w:rsidR="007B5BAF" w:rsidRPr="002C1E2B" w:rsidRDefault="007B5BAF" w:rsidP="007B5BAF">
      <w:pPr>
        <w:pStyle w:val="BodyText"/>
        <w:spacing w:after="120"/>
        <w:jc w:val="center"/>
        <w:rPr>
          <w:b/>
        </w:rPr>
      </w:pPr>
    </w:p>
    <w:p w14:paraId="51CF4AC7" w14:textId="77777777" w:rsidR="007B5BAF" w:rsidRPr="002C1E2B" w:rsidRDefault="007B5BAF" w:rsidP="007B5BAF">
      <w:pPr>
        <w:pStyle w:val="BodyText"/>
        <w:spacing w:after="120"/>
        <w:jc w:val="center"/>
        <w:rPr>
          <w:b/>
        </w:rPr>
      </w:pPr>
      <w:r w:rsidRPr="002C1E2B">
        <w:rPr>
          <w:b/>
        </w:rPr>
        <w:t xml:space="preserve">Table </w:t>
      </w:r>
      <w:r w:rsidRPr="002C1E2B">
        <w:rPr>
          <w:b/>
        </w:rPr>
        <w:fldChar w:fldCharType="begin"/>
      </w:r>
      <w:r w:rsidRPr="002C1E2B">
        <w:rPr>
          <w:b/>
        </w:rPr>
        <w:instrText xml:space="preserve"> STYLEREF 1 \s </w:instrText>
      </w:r>
      <w:r w:rsidRPr="002C1E2B">
        <w:rPr>
          <w:b/>
        </w:rPr>
        <w:fldChar w:fldCharType="separate"/>
      </w:r>
      <w:r w:rsidR="00BE6CE4">
        <w:rPr>
          <w:b/>
          <w:noProof/>
        </w:rPr>
        <w:t>F</w:t>
      </w:r>
      <w:r w:rsidRPr="002C1E2B">
        <w:rPr>
          <w:b/>
        </w:rPr>
        <w:fldChar w:fldCharType="end"/>
      </w:r>
      <w:r w:rsidRPr="002C1E2B">
        <w:rPr>
          <w:b/>
        </w:rPr>
        <w:t>.</w:t>
      </w:r>
      <w:r w:rsidRPr="002C1E2B">
        <w:rPr>
          <w:b/>
        </w:rPr>
        <w:fldChar w:fldCharType="begin"/>
      </w:r>
      <w:r w:rsidRPr="002C1E2B">
        <w:rPr>
          <w:b/>
        </w:rPr>
        <w:instrText xml:space="preserve"> SEQ Table \* ARABIC \s 1 </w:instrText>
      </w:r>
      <w:r w:rsidRPr="002C1E2B">
        <w:rPr>
          <w:b/>
        </w:rPr>
        <w:fldChar w:fldCharType="separate"/>
      </w:r>
      <w:r w:rsidR="00BE6CE4">
        <w:rPr>
          <w:b/>
          <w:noProof/>
        </w:rPr>
        <w:t>4</w:t>
      </w:r>
      <w:r w:rsidRPr="002C1E2B">
        <w:rPr>
          <w:b/>
        </w:rPr>
        <w:fldChar w:fldCharType="end"/>
      </w:r>
      <w:r w:rsidRPr="002C1E2B">
        <w:rPr>
          <w:b/>
        </w:rPr>
        <w:t xml:space="preserve"> – Total cost to retirement village operators – DAP payment (by sale time and value of exit entitlement)</w:t>
      </w:r>
    </w:p>
    <w:tbl>
      <w:tblPr>
        <w:tblW w:w="5269" w:type="pct"/>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671"/>
        <w:gridCol w:w="736"/>
        <w:gridCol w:w="884"/>
        <w:gridCol w:w="886"/>
        <w:gridCol w:w="886"/>
        <w:gridCol w:w="886"/>
        <w:gridCol w:w="886"/>
        <w:gridCol w:w="886"/>
        <w:gridCol w:w="886"/>
        <w:gridCol w:w="895"/>
      </w:tblGrid>
      <w:tr w:rsidR="007B5BAF" w:rsidRPr="002C1E2B" w14:paraId="0036705E" w14:textId="77777777" w:rsidTr="007B5BAF">
        <w:trPr>
          <w:trHeight w:val="315"/>
        </w:trPr>
        <w:tc>
          <w:tcPr>
            <w:tcW w:w="880" w:type="pct"/>
            <w:shd w:val="clear" w:color="auto" w:fill="auto"/>
            <w:noWrap/>
            <w:vAlign w:val="bottom"/>
            <w:hideMark/>
          </w:tcPr>
          <w:p w14:paraId="1874A643" w14:textId="77777777" w:rsidR="007B5BAF" w:rsidRPr="002C1E2B" w:rsidRDefault="007B5BAF" w:rsidP="007B5BAF">
            <w:pPr>
              <w:spacing w:before="60" w:after="60"/>
              <w:rPr>
                <w:rFonts w:ascii="Calibri" w:eastAsia="Times New Roman" w:hAnsi="Calibri" w:cs="Times New Roman"/>
                <w:color w:val="002E63"/>
                <w:sz w:val="20"/>
                <w:szCs w:val="20"/>
                <w:lang w:eastAsia="en-AU"/>
              </w:rPr>
            </w:pPr>
          </w:p>
        </w:tc>
        <w:tc>
          <w:tcPr>
            <w:tcW w:w="4120" w:type="pct"/>
            <w:gridSpan w:val="9"/>
            <w:shd w:val="clear" w:color="000000" w:fill="1F497D"/>
            <w:noWrap/>
            <w:vAlign w:val="center"/>
            <w:hideMark/>
          </w:tcPr>
          <w:p w14:paraId="4E1B1661" w14:textId="77777777" w:rsidR="007B5BAF" w:rsidRPr="002C1E2B" w:rsidRDefault="007B5BAF" w:rsidP="007B5BAF">
            <w:pPr>
              <w:spacing w:before="60" w:after="60"/>
              <w:rPr>
                <w:rFonts w:ascii="Calibri" w:eastAsia="Times New Roman" w:hAnsi="Calibri" w:cs="Times New Roman"/>
                <w:b/>
                <w:bCs/>
                <w:color w:val="002E63"/>
                <w:sz w:val="20"/>
                <w:szCs w:val="20"/>
                <w:lang w:eastAsia="en-AU"/>
              </w:rPr>
            </w:pPr>
            <w:r w:rsidRPr="002C1E2B">
              <w:rPr>
                <w:rFonts w:ascii="Calibri" w:eastAsia="Times New Roman" w:hAnsi="Calibri" w:cs="Times New Roman"/>
                <w:b/>
                <w:bCs/>
                <w:color w:val="FFFFFF"/>
                <w:sz w:val="20"/>
                <w:szCs w:val="20"/>
                <w:lang w:eastAsia="en-AU"/>
              </w:rPr>
              <w:t>Sale time (months)</w:t>
            </w:r>
          </w:p>
        </w:tc>
      </w:tr>
      <w:tr w:rsidR="007B5BAF" w:rsidRPr="002C1E2B" w14:paraId="6F3F1483" w14:textId="77777777" w:rsidTr="007B5BAF">
        <w:trPr>
          <w:trHeight w:val="315"/>
        </w:trPr>
        <w:tc>
          <w:tcPr>
            <w:tcW w:w="880" w:type="pct"/>
            <w:shd w:val="clear" w:color="000000" w:fill="1F497D"/>
            <w:noWrap/>
            <w:vAlign w:val="center"/>
            <w:hideMark/>
          </w:tcPr>
          <w:p w14:paraId="4381738E" w14:textId="77777777" w:rsidR="007B5BAF" w:rsidRPr="002C1E2B" w:rsidRDefault="007B5BAF" w:rsidP="007B5BAF">
            <w:pPr>
              <w:spacing w:before="60" w:after="60"/>
              <w:rPr>
                <w:rFonts w:ascii="Calibri" w:eastAsia="Times New Roman" w:hAnsi="Calibri" w:cs="Times New Roman"/>
                <w:b/>
                <w:bCs/>
                <w:color w:val="FFFFFF"/>
                <w:sz w:val="19"/>
                <w:szCs w:val="19"/>
                <w:lang w:eastAsia="en-AU"/>
              </w:rPr>
            </w:pPr>
            <w:r w:rsidRPr="002C1E2B">
              <w:rPr>
                <w:rFonts w:ascii="Calibri" w:eastAsia="Times New Roman" w:hAnsi="Calibri" w:cs="Times New Roman"/>
                <w:b/>
                <w:bCs/>
                <w:color w:val="FFFFFF"/>
                <w:sz w:val="19"/>
                <w:szCs w:val="19"/>
                <w:lang w:eastAsia="en-AU"/>
              </w:rPr>
              <w:t>Exit  entitlement</w:t>
            </w:r>
          </w:p>
        </w:tc>
        <w:tc>
          <w:tcPr>
            <w:tcW w:w="388" w:type="pct"/>
            <w:shd w:val="clear" w:color="000000" w:fill="DBE5F1"/>
            <w:vAlign w:val="center"/>
            <w:hideMark/>
          </w:tcPr>
          <w:p w14:paraId="583AEB46" w14:textId="77777777" w:rsidR="007B5BAF" w:rsidRPr="002C1E2B" w:rsidRDefault="007B5BAF" w:rsidP="007B5BAF">
            <w:pPr>
              <w:spacing w:before="60" w:after="60"/>
              <w:jc w:val="right"/>
              <w:rPr>
                <w:rFonts w:ascii="Calibri" w:eastAsia="Times New Roman" w:hAnsi="Calibri" w:cs="Times New Roman"/>
                <w:bCs/>
                <w:sz w:val="20"/>
                <w:szCs w:val="20"/>
                <w:lang w:eastAsia="en-AU"/>
              </w:rPr>
            </w:pPr>
            <w:r w:rsidRPr="002C1E2B">
              <w:rPr>
                <w:rFonts w:ascii="Calibri" w:eastAsia="Times New Roman" w:hAnsi="Calibri" w:cs="Times New Roman"/>
                <w:bCs/>
                <w:sz w:val="20"/>
                <w:szCs w:val="20"/>
                <w:lang w:eastAsia="en-AU"/>
              </w:rPr>
              <w:t>6</w:t>
            </w:r>
          </w:p>
        </w:tc>
        <w:tc>
          <w:tcPr>
            <w:tcW w:w="465" w:type="pct"/>
            <w:shd w:val="clear" w:color="000000" w:fill="DBE5F1"/>
            <w:vAlign w:val="center"/>
            <w:hideMark/>
          </w:tcPr>
          <w:p w14:paraId="6760B8BD" w14:textId="77777777" w:rsidR="007B5BAF" w:rsidRPr="002C1E2B" w:rsidRDefault="007B5BAF" w:rsidP="007B5BAF">
            <w:pPr>
              <w:spacing w:before="60" w:after="60"/>
              <w:jc w:val="right"/>
              <w:rPr>
                <w:rFonts w:ascii="Calibri" w:eastAsia="Times New Roman" w:hAnsi="Calibri" w:cs="Times New Roman"/>
                <w:bCs/>
                <w:sz w:val="20"/>
                <w:szCs w:val="20"/>
                <w:lang w:eastAsia="en-AU"/>
              </w:rPr>
            </w:pPr>
            <w:r w:rsidRPr="002C1E2B">
              <w:rPr>
                <w:rFonts w:ascii="Calibri" w:eastAsia="Times New Roman" w:hAnsi="Calibri" w:cs="Times New Roman"/>
                <w:bCs/>
                <w:sz w:val="20"/>
                <w:szCs w:val="20"/>
                <w:lang w:eastAsia="en-AU"/>
              </w:rPr>
              <w:t>10.5</w:t>
            </w:r>
          </w:p>
        </w:tc>
        <w:tc>
          <w:tcPr>
            <w:tcW w:w="466" w:type="pct"/>
            <w:shd w:val="clear" w:color="000000" w:fill="DBE5F1"/>
            <w:vAlign w:val="center"/>
            <w:hideMark/>
          </w:tcPr>
          <w:p w14:paraId="049C2279" w14:textId="77777777" w:rsidR="007B5BAF" w:rsidRPr="002C1E2B" w:rsidRDefault="007B5BAF" w:rsidP="007B5BAF">
            <w:pPr>
              <w:spacing w:before="60" w:after="60"/>
              <w:jc w:val="right"/>
              <w:rPr>
                <w:rFonts w:ascii="Calibri" w:eastAsia="Times New Roman" w:hAnsi="Calibri" w:cs="Times New Roman"/>
                <w:bCs/>
                <w:sz w:val="20"/>
                <w:szCs w:val="20"/>
                <w:lang w:eastAsia="en-AU"/>
              </w:rPr>
            </w:pPr>
            <w:r w:rsidRPr="002C1E2B">
              <w:rPr>
                <w:rFonts w:ascii="Calibri" w:eastAsia="Times New Roman" w:hAnsi="Calibri" w:cs="Times New Roman"/>
                <w:bCs/>
                <w:sz w:val="20"/>
                <w:szCs w:val="20"/>
                <w:lang w:eastAsia="en-AU"/>
              </w:rPr>
              <w:t>12</w:t>
            </w:r>
          </w:p>
        </w:tc>
        <w:tc>
          <w:tcPr>
            <w:tcW w:w="466" w:type="pct"/>
            <w:shd w:val="clear" w:color="000000" w:fill="DBE5F1"/>
            <w:vAlign w:val="center"/>
            <w:hideMark/>
          </w:tcPr>
          <w:p w14:paraId="74E34070" w14:textId="77777777" w:rsidR="007B5BAF" w:rsidRPr="002C1E2B" w:rsidRDefault="007B5BAF" w:rsidP="007B5BAF">
            <w:pPr>
              <w:spacing w:before="60" w:after="60"/>
              <w:jc w:val="right"/>
              <w:rPr>
                <w:rFonts w:ascii="Calibri" w:eastAsia="Times New Roman" w:hAnsi="Calibri" w:cs="Times New Roman"/>
                <w:bCs/>
                <w:sz w:val="20"/>
                <w:szCs w:val="20"/>
                <w:lang w:eastAsia="en-AU"/>
              </w:rPr>
            </w:pPr>
            <w:r w:rsidRPr="002C1E2B">
              <w:rPr>
                <w:rFonts w:ascii="Calibri" w:eastAsia="Times New Roman" w:hAnsi="Calibri" w:cs="Times New Roman"/>
                <w:bCs/>
                <w:sz w:val="20"/>
                <w:szCs w:val="20"/>
                <w:lang w:eastAsia="en-AU"/>
              </w:rPr>
              <w:t>18</w:t>
            </w:r>
          </w:p>
        </w:tc>
        <w:tc>
          <w:tcPr>
            <w:tcW w:w="466" w:type="pct"/>
            <w:shd w:val="clear" w:color="000000" w:fill="DBE5F1"/>
            <w:vAlign w:val="center"/>
            <w:hideMark/>
          </w:tcPr>
          <w:p w14:paraId="4D2C09A3" w14:textId="77777777" w:rsidR="007B5BAF" w:rsidRPr="002C1E2B" w:rsidRDefault="007B5BAF" w:rsidP="007B5BAF">
            <w:pPr>
              <w:spacing w:before="60" w:after="60"/>
              <w:jc w:val="right"/>
              <w:rPr>
                <w:rFonts w:ascii="Calibri" w:eastAsia="Times New Roman" w:hAnsi="Calibri" w:cs="Times New Roman"/>
                <w:bCs/>
                <w:sz w:val="20"/>
                <w:szCs w:val="20"/>
                <w:lang w:eastAsia="en-AU"/>
              </w:rPr>
            </w:pPr>
            <w:r w:rsidRPr="002C1E2B">
              <w:rPr>
                <w:rFonts w:ascii="Calibri" w:eastAsia="Times New Roman" w:hAnsi="Calibri" w:cs="Times New Roman"/>
                <w:bCs/>
                <w:sz w:val="20"/>
                <w:szCs w:val="20"/>
                <w:lang w:eastAsia="en-AU"/>
              </w:rPr>
              <w:t>24</w:t>
            </w:r>
          </w:p>
        </w:tc>
        <w:tc>
          <w:tcPr>
            <w:tcW w:w="466" w:type="pct"/>
            <w:shd w:val="clear" w:color="000000" w:fill="DBE5F1"/>
            <w:vAlign w:val="center"/>
            <w:hideMark/>
          </w:tcPr>
          <w:p w14:paraId="2D7AA348" w14:textId="77777777" w:rsidR="007B5BAF" w:rsidRPr="002C1E2B" w:rsidRDefault="007B5BAF" w:rsidP="007B5BAF">
            <w:pPr>
              <w:spacing w:before="60" w:after="60"/>
              <w:jc w:val="right"/>
              <w:rPr>
                <w:rFonts w:ascii="Calibri" w:eastAsia="Times New Roman" w:hAnsi="Calibri" w:cs="Times New Roman"/>
                <w:bCs/>
                <w:sz w:val="20"/>
                <w:szCs w:val="20"/>
                <w:lang w:eastAsia="en-AU"/>
              </w:rPr>
            </w:pPr>
            <w:r w:rsidRPr="002C1E2B">
              <w:rPr>
                <w:rFonts w:ascii="Calibri" w:eastAsia="Times New Roman" w:hAnsi="Calibri" w:cs="Times New Roman"/>
                <w:bCs/>
                <w:sz w:val="20"/>
                <w:szCs w:val="20"/>
                <w:lang w:eastAsia="en-AU"/>
              </w:rPr>
              <w:t>30</w:t>
            </w:r>
          </w:p>
        </w:tc>
        <w:tc>
          <w:tcPr>
            <w:tcW w:w="466" w:type="pct"/>
            <w:shd w:val="clear" w:color="000000" w:fill="DBE5F1"/>
            <w:vAlign w:val="center"/>
            <w:hideMark/>
          </w:tcPr>
          <w:p w14:paraId="54D6DEAA" w14:textId="77777777" w:rsidR="007B5BAF" w:rsidRPr="002C1E2B" w:rsidRDefault="007B5BAF" w:rsidP="007B5BAF">
            <w:pPr>
              <w:spacing w:before="60" w:after="60"/>
              <w:jc w:val="right"/>
              <w:rPr>
                <w:rFonts w:ascii="Calibri" w:eastAsia="Times New Roman" w:hAnsi="Calibri" w:cs="Times New Roman"/>
                <w:bCs/>
                <w:sz w:val="20"/>
                <w:szCs w:val="20"/>
                <w:lang w:eastAsia="en-AU"/>
              </w:rPr>
            </w:pPr>
            <w:r w:rsidRPr="002C1E2B">
              <w:rPr>
                <w:rFonts w:ascii="Calibri" w:eastAsia="Times New Roman" w:hAnsi="Calibri" w:cs="Times New Roman"/>
                <w:bCs/>
                <w:sz w:val="20"/>
                <w:szCs w:val="20"/>
                <w:lang w:eastAsia="en-AU"/>
              </w:rPr>
              <w:t>36</w:t>
            </w:r>
          </w:p>
        </w:tc>
        <w:tc>
          <w:tcPr>
            <w:tcW w:w="466" w:type="pct"/>
            <w:shd w:val="clear" w:color="000000" w:fill="DBE5F1"/>
            <w:vAlign w:val="center"/>
            <w:hideMark/>
          </w:tcPr>
          <w:p w14:paraId="522913F9" w14:textId="77777777" w:rsidR="007B5BAF" w:rsidRPr="002C1E2B" w:rsidRDefault="007B5BAF" w:rsidP="007B5BAF">
            <w:pPr>
              <w:spacing w:before="60" w:after="60"/>
              <w:jc w:val="right"/>
              <w:rPr>
                <w:rFonts w:ascii="Calibri" w:eastAsia="Times New Roman" w:hAnsi="Calibri" w:cs="Times New Roman"/>
                <w:bCs/>
                <w:sz w:val="20"/>
                <w:szCs w:val="20"/>
                <w:lang w:eastAsia="en-AU"/>
              </w:rPr>
            </w:pPr>
            <w:r w:rsidRPr="002C1E2B">
              <w:rPr>
                <w:rFonts w:ascii="Calibri" w:eastAsia="Times New Roman" w:hAnsi="Calibri" w:cs="Times New Roman"/>
                <w:bCs/>
                <w:sz w:val="20"/>
                <w:szCs w:val="20"/>
                <w:lang w:eastAsia="en-AU"/>
              </w:rPr>
              <w:t>42</w:t>
            </w:r>
          </w:p>
        </w:tc>
        <w:tc>
          <w:tcPr>
            <w:tcW w:w="470" w:type="pct"/>
            <w:shd w:val="clear" w:color="000000" w:fill="DBE5F1"/>
            <w:vAlign w:val="center"/>
            <w:hideMark/>
          </w:tcPr>
          <w:p w14:paraId="0CF006BC" w14:textId="77777777" w:rsidR="007B5BAF" w:rsidRPr="002C1E2B" w:rsidRDefault="007B5BAF" w:rsidP="007B5BAF">
            <w:pPr>
              <w:spacing w:before="60" w:after="60"/>
              <w:jc w:val="right"/>
              <w:rPr>
                <w:rFonts w:ascii="Calibri" w:eastAsia="Times New Roman" w:hAnsi="Calibri" w:cs="Times New Roman"/>
                <w:bCs/>
                <w:sz w:val="20"/>
                <w:szCs w:val="20"/>
                <w:lang w:eastAsia="en-AU"/>
              </w:rPr>
            </w:pPr>
            <w:r w:rsidRPr="002C1E2B">
              <w:rPr>
                <w:rFonts w:ascii="Calibri" w:eastAsia="Times New Roman" w:hAnsi="Calibri" w:cs="Times New Roman"/>
                <w:bCs/>
                <w:sz w:val="20"/>
                <w:szCs w:val="20"/>
                <w:lang w:eastAsia="en-AU"/>
              </w:rPr>
              <w:t>48</w:t>
            </w:r>
          </w:p>
        </w:tc>
      </w:tr>
      <w:tr w:rsidR="007B5BAF" w:rsidRPr="002C1E2B" w14:paraId="5C9B8348" w14:textId="77777777" w:rsidTr="007B5BAF">
        <w:trPr>
          <w:trHeight w:val="315"/>
        </w:trPr>
        <w:tc>
          <w:tcPr>
            <w:tcW w:w="880" w:type="pct"/>
            <w:shd w:val="clear" w:color="000000" w:fill="DBE5F1"/>
            <w:noWrap/>
            <w:vAlign w:val="center"/>
            <w:hideMark/>
          </w:tcPr>
          <w:p w14:paraId="6202EAF6" w14:textId="77777777" w:rsidR="007B5BAF" w:rsidRPr="002C1E2B" w:rsidRDefault="007B5BAF" w:rsidP="007B5BAF">
            <w:pPr>
              <w:spacing w:before="60" w:after="60"/>
              <w:jc w:val="right"/>
              <w:rPr>
                <w:rFonts w:ascii="Calibri" w:eastAsia="Times New Roman" w:hAnsi="Calibri" w:cs="Times New Roman"/>
                <w:bCs/>
                <w:sz w:val="20"/>
                <w:szCs w:val="20"/>
                <w:lang w:eastAsia="en-AU"/>
              </w:rPr>
            </w:pPr>
            <w:r w:rsidRPr="002C1E2B">
              <w:rPr>
                <w:rFonts w:ascii="Calibri" w:eastAsia="Times New Roman" w:hAnsi="Calibri" w:cs="Times New Roman"/>
                <w:bCs/>
                <w:sz w:val="20"/>
                <w:szCs w:val="20"/>
                <w:lang w:eastAsia="en-AU"/>
              </w:rPr>
              <w:t>$50,000</w:t>
            </w:r>
          </w:p>
        </w:tc>
        <w:tc>
          <w:tcPr>
            <w:tcW w:w="388" w:type="pct"/>
            <w:shd w:val="clear" w:color="000000" w:fill="FFFFFF"/>
            <w:vAlign w:val="center"/>
            <w:hideMark/>
          </w:tcPr>
          <w:p w14:paraId="24FCC57F"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-$42</w:t>
            </w:r>
          </w:p>
        </w:tc>
        <w:tc>
          <w:tcPr>
            <w:tcW w:w="465" w:type="pct"/>
            <w:shd w:val="clear" w:color="000000" w:fill="FFFFFF"/>
            <w:vAlign w:val="center"/>
            <w:hideMark/>
          </w:tcPr>
          <w:p w14:paraId="103162B8"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-$81</w:t>
            </w:r>
          </w:p>
        </w:tc>
        <w:tc>
          <w:tcPr>
            <w:tcW w:w="466" w:type="pct"/>
            <w:shd w:val="clear" w:color="000000" w:fill="FFFFFF"/>
            <w:vAlign w:val="center"/>
            <w:hideMark/>
          </w:tcPr>
          <w:p w14:paraId="51A4EE8E"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-$100</w:t>
            </w:r>
          </w:p>
        </w:tc>
        <w:tc>
          <w:tcPr>
            <w:tcW w:w="466" w:type="pct"/>
            <w:shd w:val="clear" w:color="000000" w:fill="FFFFFF"/>
            <w:vAlign w:val="center"/>
            <w:hideMark/>
          </w:tcPr>
          <w:p w14:paraId="3F60A2E4"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-$194</w:t>
            </w:r>
          </w:p>
        </w:tc>
        <w:tc>
          <w:tcPr>
            <w:tcW w:w="466" w:type="pct"/>
            <w:shd w:val="clear" w:color="000000" w:fill="FFFFFF"/>
            <w:vAlign w:val="center"/>
            <w:hideMark/>
          </w:tcPr>
          <w:p w14:paraId="7955CE7B"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-$326</w:t>
            </w:r>
          </w:p>
        </w:tc>
        <w:tc>
          <w:tcPr>
            <w:tcW w:w="466" w:type="pct"/>
            <w:shd w:val="clear" w:color="000000" w:fill="FFFFFF"/>
            <w:vAlign w:val="center"/>
            <w:hideMark/>
          </w:tcPr>
          <w:p w14:paraId="6BDF33BA"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-$495</w:t>
            </w:r>
          </w:p>
        </w:tc>
        <w:tc>
          <w:tcPr>
            <w:tcW w:w="466" w:type="pct"/>
            <w:shd w:val="clear" w:color="000000" w:fill="FFFFFF"/>
            <w:vAlign w:val="center"/>
            <w:hideMark/>
          </w:tcPr>
          <w:p w14:paraId="6CD047C0"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-$703</w:t>
            </w:r>
          </w:p>
        </w:tc>
        <w:tc>
          <w:tcPr>
            <w:tcW w:w="466" w:type="pct"/>
            <w:shd w:val="clear" w:color="000000" w:fill="FFFFFF"/>
            <w:vAlign w:val="center"/>
            <w:hideMark/>
          </w:tcPr>
          <w:p w14:paraId="0D5D8139"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-$950</w:t>
            </w:r>
          </w:p>
        </w:tc>
        <w:tc>
          <w:tcPr>
            <w:tcW w:w="470" w:type="pct"/>
            <w:shd w:val="clear" w:color="000000" w:fill="FFFFFF"/>
            <w:vAlign w:val="center"/>
            <w:hideMark/>
          </w:tcPr>
          <w:p w14:paraId="57330D8B"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-$1,235</w:t>
            </w:r>
          </w:p>
        </w:tc>
      </w:tr>
      <w:tr w:rsidR="007B5BAF" w:rsidRPr="002C1E2B" w14:paraId="20C78020" w14:textId="77777777" w:rsidTr="007B5BAF">
        <w:trPr>
          <w:trHeight w:val="315"/>
        </w:trPr>
        <w:tc>
          <w:tcPr>
            <w:tcW w:w="880" w:type="pct"/>
            <w:shd w:val="clear" w:color="000000" w:fill="DBE5F1"/>
            <w:noWrap/>
            <w:vAlign w:val="center"/>
            <w:hideMark/>
          </w:tcPr>
          <w:p w14:paraId="55084FAD" w14:textId="77777777" w:rsidR="007B5BAF" w:rsidRPr="002C1E2B" w:rsidRDefault="007B5BAF" w:rsidP="007B5BAF">
            <w:pPr>
              <w:spacing w:before="60" w:after="60"/>
              <w:jc w:val="right"/>
              <w:rPr>
                <w:rFonts w:ascii="Calibri" w:eastAsia="Times New Roman" w:hAnsi="Calibri" w:cs="Times New Roman"/>
                <w:bCs/>
                <w:sz w:val="20"/>
                <w:szCs w:val="20"/>
                <w:lang w:eastAsia="en-AU"/>
              </w:rPr>
            </w:pPr>
            <w:r w:rsidRPr="002C1E2B">
              <w:rPr>
                <w:rFonts w:ascii="Calibri" w:eastAsia="Times New Roman" w:hAnsi="Calibri" w:cs="Times New Roman"/>
                <w:bCs/>
                <w:sz w:val="20"/>
                <w:szCs w:val="20"/>
                <w:lang w:eastAsia="en-AU"/>
              </w:rPr>
              <w:t>$100,000</w:t>
            </w:r>
          </w:p>
        </w:tc>
        <w:tc>
          <w:tcPr>
            <w:tcW w:w="388" w:type="pct"/>
            <w:shd w:val="clear" w:color="000000" w:fill="FFFFFF"/>
            <w:vAlign w:val="center"/>
            <w:hideMark/>
          </w:tcPr>
          <w:p w14:paraId="3AE5769E"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-$84</w:t>
            </w:r>
          </w:p>
        </w:tc>
        <w:tc>
          <w:tcPr>
            <w:tcW w:w="465" w:type="pct"/>
            <w:shd w:val="clear" w:color="000000" w:fill="FFFFFF"/>
            <w:vAlign w:val="center"/>
            <w:hideMark/>
          </w:tcPr>
          <w:p w14:paraId="10044BEA"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-$163</w:t>
            </w:r>
          </w:p>
        </w:tc>
        <w:tc>
          <w:tcPr>
            <w:tcW w:w="466" w:type="pct"/>
            <w:shd w:val="clear" w:color="000000" w:fill="FFFFFF"/>
            <w:vAlign w:val="center"/>
            <w:hideMark/>
          </w:tcPr>
          <w:p w14:paraId="0FE1128C"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-$199</w:t>
            </w:r>
          </w:p>
        </w:tc>
        <w:tc>
          <w:tcPr>
            <w:tcW w:w="466" w:type="pct"/>
            <w:shd w:val="clear" w:color="000000" w:fill="FFFFFF"/>
            <w:vAlign w:val="center"/>
            <w:hideMark/>
          </w:tcPr>
          <w:p w14:paraId="489143B9"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-$388</w:t>
            </w:r>
          </w:p>
        </w:tc>
        <w:tc>
          <w:tcPr>
            <w:tcW w:w="466" w:type="pct"/>
            <w:shd w:val="clear" w:color="000000" w:fill="FFFFFF"/>
            <w:vAlign w:val="center"/>
            <w:hideMark/>
          </w:tcPr>
          <w:p w14:paraId="07DFF943"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-$652</w:t>
            </w:r>
          </w:p>
        </w:tc>
        <w:tc>
          <w:tcPr>
            <w:tcW w:w="466" w:type="pct"/>
            <w:shd w:val="clear" w:color="000000" w:fill="FFFFFF"/>
            <w:vAlign w:val="center"/>
            <w:hideMark/>
          </w:tcPr>
          <w:p w14:paraId="366A25C7"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-$991</w:t>
            </w:r>
          </w:p>
        </w:tc>
        <w:tc>
          <w:tcPr>
            <w:tcW w:w="466" w:type="pct"/>
            <w:shd w:val="clear" w:color="000000" w:fill="FFFFFF"/>
            <w:vAlign w:val="center"/>
            <w:hideMark/>
          </w:tcPr>
          <w:p w14:paraId="2138241A"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-$1,406</w:t>
            </w:r>
          </w:p>
        </w:tc>
        <w:tc>
          <w:tcPr>
            <w:tcW w:w="466" w:type="pct"/>
            <w:shd w:val="clear" w:color="000000" w:fill="FFFFFF"/>
            <w:vAlign w:val="center"/>
            <w:hideMark/>
          </w:tcPr>
          <w:p w14:paraId="01CDC700"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-$1,899</w:t>
            </w:r>
          </w:p>
        </w:tc>
        <w:tc>
          <w:tcPr>
            <w:tcW w:w="470" w:type="pct"/>
            <w:shd w:val="clear" w:color="000000" w:fill="FFFFFF"/>
            <w:vAlign w:val="center"/>
            <w:hideMark/>
          </w:tcPr>
          <w:p w14:paraId="4E57FE66"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-$2,471</w:t>
            </w:r>
          </w:p>
        </w:tc>
      </w:tr>
      <w:tr w:rsidR="007B5BAF" w:rsidRPr="002C1E2B" w14:paraId="36A377B1" w14:textId="77777777" w:rsidTr="007B5BAF">
        <w:trPr>
          <w:trHeight w:val="315"/>
        </w:trPr>
        <w:tc>
          <w:tcPr>
            <w:tcW w:w="880" w:type="pct"/>
            <w:shd w:val="clear" w:color="000000" w:fill="DBE5F1"/>
            <w:noWrap/>
            <w:vAlign w:val="center"/>
            <w:hideMark/>
          </w:tcPr>
          <w:p w14:paraId="208B19C7" w14:textId="77777777" w:rsidR="007B5BAF" w:rsidRPr="002C1E2B" w:rsidRDefault="007B5BAF" w:rsidP="007B5BAF">
            <w:pPr>
              <w:spacing w:before="60" w:after="60"/>
              <w:jc w:val="right"/>
              <w:rPr>
                <w:rFonts w:ascii="Calibri" w:eastAsia="Times New Roman" w:hAnsi="Calibri" w:cs="Times New Roman"/>
                <w:bCs/>
                <w:sz w:val="20"/>
                <w:szCs w:val="20"/>
                <w:lang w:eastAsia="en-AU"/>
              </w:rPr>
            </w:pPr>
            <w:r w:rsidRPr="002C1E2B">
              <w:rPr>
                <w:rFonts w:ascii="Calibri" w:eastAsia="Times New Roman" w:hAnsi="Calibri" w:cs="Times New Roman"/>
                <w:bCs/>
                <w:sz w:val="20"/>
                <w:szCs w:val="20"/>
                <w:lang w:eastAsia="en-AU"/>
              </w:rPr>
              <w:t>$200,000</w:t>
            </w:r>
          </w:p>
        </w:tc>
        <w:tc>
          <w:tcPr>
            <w:tcW w:w="388" w:type="pct"/>
            <w:shd w:val="clear" w:color="000000" w:fill="FFFFFF"/>
            <w:vAlign w:val="center"/>
            <w:hideMark/>
          </w:tcPr>
          <w:p w14:paraId="1368AC15"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-$169</w:t>
            </w:r>
          </w:p>
        </w:tc>
        <w:tc>
          <w:tcPr>
            <w:tcW w:w="465" w:type="pct"/>
            <w:shd w:val="clear" w:color="000000" w:fill="FFFFFF"/>
            <w:vAlign w:val="center"/>
            <w:hideMark/>
          </w:tcPr>
          <w:p w14:paraId="319E4B5D"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-$326</w:t>
            </w:r>
          </w:p>
        </w:tc>
        <w:tc>
          <w:tcPr>
            <w:tcW w:w="466" w:type="pct"/>
            <w:shd w:val="clear" w:color="000000" w:fill="FFFFFF"/>
            <w:vAlign w:val="center"/>
            <w:hideMark/>
          </w:tcPr>
          <w:p w14:paraId="20BE0F4C"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-$399</w:t>
            </w:r>
          </w:p>
        </w:tc>
        <w:tc>
          <w:tcPr>
            <w:tcW w:w="466" w:type="pct"/>
            <w:shd w:val="clear" w:color="000000" w:fill="FFFFFF"/>
            <w:vAlign w:val="center"/>
            <w:hideMark/>
          </w:tcPr>
          <w:p w14:paraId="365D884A"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-$776</w:t>
            </w:r>
          </w:p>
        </w:tc>
        <w:tc>
          <w:tcPr>
            <w:tcW w:w="466" w:type="pct"/>
            <w:shd w:val="clear" w:color="000000" w:fill="FFFFFF"/>
            <w:vAlign w:val="center"/>
            <w:hideMark/>
          </w:tcPr>
          <w:p w14:paraId="3D4242C5"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-$1,303</w:t>
            </w:r>
          </w:p>
        </w:tc>
        <w:tc>
          <w:tcPr>
            <w:tcW w:w="466" w:type="pct"/>
            <w:shd w:val="clear" w:color="000000" w:fill="FFFFFF"/>
            <w:vAlign w:val="center"/>
            <w:hideMark/>
          </w:tcPr>
          <w:p w14:paraId="320848C6"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-$1,982</w:t>
            </w:r>
          </w:p>
        </w:tc>
        <w:tc>
          <w:tcPr>
            <w:tcW w:w="466" w:type="pct"/>
            <w:shd w:val="clear" w:color="000000" w:fill="FFFFFF"/>
            <w:vAlign w:val="center"/>
            <w:hideMark/>
          </w:tcPr>
          <w:p w14:paraId="02DC992B"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-$2,813</w:t>
            </w:r>
          </w:p>
        </w:tc>
        <w:tc>
          <w:tcPr>
            <w:tcW w:w="466" w:type="pct"/>
            <w:shd w:val="clear" w:color="000000" w:fill="FFFFFF"/>
            <w:vAlign w:val="center"/>
            <w:hideMark/>
          </w:tcPr>
          <w:p w14:paraId="63ECB3CD"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-$3,799</w:t>
            </w:r>
          </w:p>
        </w:tc>
        <w:tc>
          <w:tcPr>
            <w:tcW w:w="470" w:type="pct"/>
            <w:shd w:val="clear" w:color="000000" w:fill="FFFFFF"/>
            <w:vAlign w:val="center"/>
            <w:hideMark/>
          </w:tcPr>
          <w:p w14:paraId="0ABAADA0"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-$4,941</w:t>
            </w:r>
          </w:p>
        </w:tc>
      </w:tr>
      <w:tr w:rsidR="007B5BAF" w:rsidRPr="002C1E2B" w14:paraId="5AEF6261" w14:textId="77777777" w:rsidTr="007B5BAF">
        <w:trPr>
          <w:trHeight w:val="315"/>
        </w:trPr>
        <w:tc>
          <w:tcPr>
            <w:tcW w:w="880" w:type="pct"/>
            <w:shd w:val="clear" w:color="000000" w:fill="DBE5F1"/>
            <w:noWrap/>
            <w:vAlign w:val="center"/>
            <w:hideMark/>
          </w:tcPr>
          <w:p w14:paraId="38338D5B" w14:textId="77777777" w:rsidR="007B5BAF" w:rsidRPr="002C1E2B" w:rsidRDefault="007B5BAF" w:rsidP="007B5BAF">
            <w:pPr>
              <w:spacing w:before="60" w:after="60"/>
              <w:jc w:val="right"/>
              <w:rPr>
                <w:rFonts w:ascii="Calibri" w:eastAsia="Times New Roman" w:hAnsi="Calibri" w:cs="Times New Roman"/>
                <w:bCs/>
                <w:sz w:val="20"/>
                <w:szCs w:val="20"/>
                <w:lang w:eastAsia="en-AU"/>
              </w:rPr>
            </w:pPr>
            <w:r w:rsidRPr="002C1E2B">
              <w:rPr>
                <w:rFonts w:ascii="Calibri" w:eastAsia="Times New Roman" w:hAnsi="Calibri" w:cs="Times New Roman"/>
                <w:bCs/>
                <w:sz w:val="20"/>
                <w:szCs w:val="20"/>
                <w:lang w:eastAsia="en-AU"/>
              </w:rPr>
              <w:t>$258,700</w:t>
            </w:r>
          </w:p>
        </w:tc>
        <w:tc>
          <w:tcPr>
            <w:tcW w:w="388" w:type="pct"/>
            <w:shd w:val="clear" w:color="000000" w:fill="FFFFFF"/>
            <w:vAlign w:val="center"/>
            <w:hideMark/>
          </w:tcPr>
          <w:p w14:paraId="2CC29D8C"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-$218</w:t>
            </w:r>
          </w:p>
        </w:tc>
        <w:tc>
          <w:tcPr>
            <w:tcW w:w="465" w:type="pct"/>
            <w:shd w:val="clear" w:color="000000" w:fill="FFFFFF"/>
            <w:vAlign w:val="center"/>
            <w:hideMark/>
          </w:tcPr>
          <w:p w14:paraId="4122D442" w14:textId="77777777" w:rsidR="007B5BAF" w:rsidRPr="002C1E2B" w:rsidRDefault="007B5BAF" w:rsidP="007B5BAF">
            <w:pPr>
              <w:spacing w:before="60" w:after="60"/>
              <w:jc w:val="right"/>
              <w:rPr>
                <w:rFonts w:ascii="Calibri" w:hAnsi="Calibri"/>
                <w:b/>
                <w:sz w:val="20"/>
                <w:szCs w:val="20"/>
              </w:rPr>
            </w:pPr>
            <w:r w:rsidRPr="002C1E2B">
              <w:rPr>
                <w:rFonts w:ascii="Calibri" w:hAnsi="Calibri"/>
                <w:b/>
                <w:sz w:val="20"/>
                <w:szCs w:val="20"/>
              </w:rPr>
              <w:t>-$421</w:t>
            </w:r>
          </w:p>
        </w:tc>
        <w:tc>
          <w:tcPr>
            <w:tcW w:w="466" w:type="pct"/>
            <w:shd w:val="clear" w:color="000000" w:fill="FFFFFF"/>
            <w:vAlign w:val="center"/>
            <w:hideMark/>
          </w:tcPr>
          <w:p w14:paraId="7035BDFE"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-$516</w:t>
            </w:r>
          </w:p>
        </w:tc>
        <w:tc>
          <w:tcPr>
            <w:tcW w:w="466" w:type="pct"/>
            <w:shd w:val="clear" w:color="000000" w:fill="FFFFFF"/>
            <w:vAlign w:val="center"/>
            <w:hideMark/>
          </w:tcPr>
          <w:p w14:paraId="58C6A731"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-$1,004</w:t>
            </w:r>
          </w:p>
        </w:tc>
        <w:tc>
          <w:tcPr>
            <w:tcW w:w="466" w:type="pct"/>
            <w:shd w:val="clear" w:color="000000" w:fill="FFFFFF"/>
            <w:vAlign w:val="center"/>
            <w:hideMark/>
          </w:tcPr>
          <w:p w14:paraId="5808EE9F"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-$1,686</w:t>
            </w:r>
          </w:p>
        </w:tc>
        <w:tc>
          <w:tcPr>
            <w:tcW w:w="466" w:type="pct"/>
            <w:shd w:val="clear" w:color="000000" w:fill="FFFFFF"/>
            <w:vAlign w:val="center"/>
            <w:hideMark/>
          </w:tcPr>
          <w:p w14:paraId="69B73236"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-$2,563</w:t>
            </w:r>
          </w:p>
        </w:tc>
        <w:tc>
          <w:tcPr>
            <w:tcW w:w="466" w:type="pct"/>
            <w:shd w:val="clear" w:color="000000" w:fill="FFFFFF"/>
            <w:vAlign w:val="center"/>
            <w:hideMark/>
          </w:tcPr>
          <w:p w14:paraId="340E2366"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-$3,638</w:t>
            </w:r>
          </w:p>
        </w:tc>
        <w:tc>
          <w:tcPr>
            <w:tcW w:w="466" w:type="pct"/>
            <w:shd w:val="clear" w:color="000000" w:fill="FFFFFF"/>
            <w:vAlign w:val="center"/>
            <w:hideMark/>
          </w:tcPr>
          <w:p w14:paraId="1D70DB78"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-$4,914</w:t>
            </w:r>
          </w:p>
        </w:tc>
        <w:tc>
          <w:tcPr>
            <w:tcW w:w="470" w:type="pct"/>
            <w:shd w:val="clear" w:color="000000" w:fill="FFFFFF"/>
            <w:vAlign w:val="center"/>
            <w:hideMark/>
          </w:tcPr>
          <w:p w14:paraId="0DA05527"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-$6,392</w:t>
            </w:r>
          </w:p>
        </w:tc>
      </w:tr>
      <w:tr w:rsidR="007B5BAF" w:rsidRPr="002C1E2B" w14:paraId="0882B1BC" w14:textId="77777777" w:rsidTr="007B5BAF">
        <w:trPr>
          <w:trHeight w:val="315"/>
        </w:trPr>
        <w:tc>
          <w:tcPr>
            <w:tcW w:w="880" w:type="pct"/>
            <w:shd w:val="clear" w:color="000000" w:fill="DBE5F1"/>
            <w:noWrap/>
            <w:vAlign w:val="center"/>
            <w:hideMark/>
          </w:tcPr>
          <w:p w14:paraId="2C9DF955" w14:textId="77777777" w:rsidR="007B5BAF" w:rsidRPr="002C1E2B" w:rsidRDefault="007B5BAF" w:rsidP="007B5BAF">
            <w:pPr>
              <w:spacing w:before="60" w:after="60"/>
              <w:jc w:val="right"/>
              <w:rPr>
                <w:rFonts w:ascii="Calibri" w:eastAsia="Times New Roman" w:hAnsi="Calibri" w:cs="Times New Roman"/>
                <w:bCs/>
                <w:sz w:val="20"/>
                <w:szCs w:val="20"/>
                <w:lang w:eastAsia="en-AU"/>
              </w:rPr>
            </w:pPr>
            <w:r w:rsidRPr="002C1E2B">
              <w:rPr>
                <w:rFonts w:ascii="Calibri" w:eastAsia="Times New Roman" w:hAnsi="Calibri" w:cs="Times New Roman"/>
                <w:bCs/>
                <w:sz w:val="20"/>
                <w:szCs w:val="20"/>
                <w:lang w:eastAsia="en-AU"/>
              </w:rPr>
              <w:t>$300,000</w:t>
            </w:r>
          </w:p>
        </w:tc>
        <w:tc>
          <w:tcPr>
            <w:tcW w:w="388" w:type="pct"/>
            <w:shd w:val="clear" w:color="000000" w:fill="FFFFFF"/>
            <w:vAlign w:val="center"/>
            <w:hideMark/>
          </w:tcPr>
          <w:p w14:paraId="43730067"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-$253</w:t>
            </w:r>
          </w:p>
        </w:tc>
        <w:tc>
          <w:tcPr>
            <w:tcW w:w="465" w:type="pct"/>
            <w:shd w:val="clear" w:color="000000" w:fill="FFFFFF"/>
            <w:vAlign w:val="center"/>
            <w:hideMark/>
          </w:tcPr>
          <w:p w14:paraId="2DE3570C"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-$489</w:t>
            </w:r>
          </w:p>
        </w:tc>
        <w:tc>
          <w:tcPr>
            <w:tcW w:w="466" w:type="pct"/>
            <w:shd w:val="clear" w:color="000000" w:fill="FFFFFF"/>
            <w:vAlign w:val="center"/>
            <w:hideMark/>
          </w:tcPr>
          <w:p w14:paraId="058F22DB"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-$598</w:t>
            </w:r>
          </w:p>
        </w:tc>
        <w:tc>
          <w:tcPr>
            <w:tcW w:w="466" w:type="pct"/>
            <w:shd w:val="clear" w:color="000000" w:fill="FFFFFF"/>
            <w:vAlign w:val="center"/>
            <w:hideMark/>
          </w:tcPr>
          <w:p w14:paraId="5F38E793"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-$1,165</w:t>
            </w:r>
          </w:p>
        </w:tc>
        <w:tc>
          <w:tcPr>
            <w:tcW w:w="466" w:type="pct"/>
            <w:shd w:val="clear" w:color="000000" w:fill="FFFFFF"/>
            <w:vAlign w:val="center"/>
            <w:hideMark/>
          </w:tcPr>
          <w:p w14:paraId="2518DF33"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-$1,955</w:t>
            </w:r>
          </w:p>
        </w:tc>
        <w:tc>
          <w:tcPr>
            <w:tcW w:w="466" w:type="pct"/>
            <w:shd w:val="clear" w:color="000000" w:fill="FFFFFF"/>
            <w:vAlign w:val="center"/>
            <w:hideMark/>
          </w:tcPr>
          <w:p w14:paraId="4637777A"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-$2,972</w:t>
            </w:r>
          </w:p>
        </w:tc>
        <w:tc>
          <w:tcPr>
            <w:tcW w:w="466" w:type="pct"/>
            <w:shd w:val="clear" w:color="000000" w:fill="FFFFFF"/>
            <w:vAlign w:val="center"/>
            <w:hideMark/>
          </w:tcPr>
          <w:p w14:paraId="58EF55E4"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-$4,219</w:t>
            </w:r>
          </w:p>
        </w:tc>
        <w:tc>
          <w:tcPr>
            <w:tcW w:w="466" w:type="pct"/>
            <w:shd w:val="clear" w:color="000000" w:fill="FFFFFF"/>
            <w:vAlign w:val="center"/>
            <w:hideMark/>
          </w:tcPr>
          <w:p w14:paraId="70BEEC1C"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-$5,698</w:t>
            </w:r>
          </w:p>
        </w:tc>
        <w:tc>
          <w:tcPr>
            <w:tcW w:w="470" w:type="pct"/>
            <w:shd w:val="clear" w:color="000000" w:fill="FFFFFF"/>
            <w:vAlign w:val="center"/>
            <w:hideMark/>
          </w:tcPr>
          <w:p w14:paraId="6774D7AB"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-$7,412</w:t>
            </w:r>
          </w:p>
        </w:tc>
      </w:tr>
      <w:tr w:rsidR="007B5BAF" w:rsidRPr="002C1E2B" w14:paraId="2C200E1B" w14:textId="77777777" w:rsidTr="007B5BAF">
        <w:trPr>
          <w:trHeight w:val="315"/>
        </w:trPr>
        <w:tc>
          <w:tcPr>
            <w:tcW w:w="880" w:type="pct"/>
            <w:shd w:val="clear" w:color="000000" w:fill="DBE5F1"/>
            <w:noWrap/>
            <w:vAlign w:val="center"/>
            <w:hideMark/>
          </w:tcPr>
          <w:p w14:paraId="18E94161" w14:textId="77777777" w:rsidR="007B5BAF" w:rsidRPr="002C1E2B" w:rsidRDefault="007B5BAF" w:rsidP="007B5BAF">
            <w:pPr>
              <w:spacing w:before="60" w:after="60"/>
              <w:jc w:val="right"/>
              <w:rPr>
                <w:rFonts w:ascii="Calibri" w:eastAsia="Times New Roman" w:hAnsi="Calibri" w:cs="Times New Roman"/>
                <w:bCs/>
                <w:sz w:val="20"/>
                <w:szCs w:val="20"/>
                <w:lang w:eastAsia="en-AU"/>
              </w:rPr>
            </w:pPr>
            <w:r w:rsidRPr="002C1E2B">
              <w:rPr>
                <w:rFonts w:ascii="Calibri" w:eastAsia="Times New Roman" w:hAnsi="Calibri" w:cs="Times New Roman"/>
                <w:bCs/>
                <w:sz w:val="20"/>
                <w:szCs w:val="20"/>
                <w:lang w:eastAsia="en-AU"/>
              </w:rPr>
              <w:t>$400,000</w:t>
            </w:r>
          </w:p>
        </w:tc>
        <w:tc>
          <w:tcPr>
            <w:tcW w:w="388" w:type="pct"/>
            <w:shd w:val="clear" w:color="000000" w:fill="FFFFFF"/>
            <w:vAlign w:val="center"/>
            <w:hideMark/>
          </w:tcPr>
          <w:p w14:paraId="477DF609"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-$337</w:t>
            </w:r>
          </w:p>
        </w:tc>
        <w:tc>
          <w:tcPr>
            <w:tcW w:w="465" w:type="pct"/>
            <w:shd w:val="clear" w:color="000000" w:fill="FFFFFF"/>
            <w:vAlign w:val="center"/>
            <w:hideMark/>
          </w:tcPr>
          <w:p w14:paraId="4654A244"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-$652</w:t>
            </w:r>
          </w:p>
        </w:tc>
        <w:tc>
          <w:tcPr>
            <w:tcW w:w="466" w:type="pct"/>
            <w:shd w:val="clear" w:color="000000" w:fill="FFFFFF"/>
            <w:vAlign w:val="center"/>
            <w:hideMark/>
          </w:tcPr>
          <w:p w14:paraId="37E1F33B"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-$797</w:t>
            </w:r>
          </w:p>
        </w:tc>
        <w:tc>
          <w:tcPr>
            <w:tcW w:w="466" w:type="pct"/>
            <w:shd w:val="clear" w:color="000000" w:fill="FFFFFF"/>
            <w:vAlign w:val="center"/>
            <w:hideMark/>
          </w:tcPr>
          <w:p w14:paraId="723CE0D1"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-$1,553</w:t>
            </w:r>
          </w:p>
        </w:tc>
        <w:tc>
          <w:tcPr>
            <w:tcW w:w="466" w:type="pct"/>
            <w:shd w:val="clear" w:color="000000" w:fill="FFFFFF"/>
            <w:vAlign w:val="center"/>
            <w:hideMark/>
          </w:tcPr>
          <w:p w14:paraId="2489AF95"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-$2,607</w:t>
            </w:r>
          </w:p>
        </w:tc>
        <w:tc>
          <w:tcPr>
            <w:tcW w:w="466" w:type="pct"/>
            <w:shd w:val="clear" w:color="000000" w:fill="FFFFFF"/>
            <w:vAlign w:val="center"/>
            <w:hideMark/>
          </w:tcPr>
          <w:p w14:paraId="5121B222"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-$3,963</w:t>
            </w:r>
          </w:p>
        </w:tc>
        <w:tc>
          <w:tcPr>
            <w:tcW w:w="466" w:type="pct"/>
            <w:shd w:val="clear" w:color="000000" w:fill="FFFFFF"/>
            <w:vAlign w:val="center"/>
            <w:hideMark/>
          </w:tcPr>
          <w:p w14:paraId="14BB9560"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-$5,626</w:t>
            </w:r>
          </w:p>
        </w:tc>
        <w:tc>
          <w:tcPr>
            <w:tcW w:w="466" w:type="pct"/>
            <w:shd w:val="clear" w:color="000000" w:fill="FFFFFF"/>
            <w:vAlign w:val="center"/>
            <w:hideMark/>
          </w:tcPr>
          <w:p w14:paraId="7B5E413D"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-$7,598</w:t>
            </w:r>
          </w:p>
        </w:tc>
        <w:tc>
          <w:tcPr>
            <w:tcW w:w="470" w:type="pct"/>
            <w:shd w:val="clear" w:color="000000" w:fill="FFFFFF"/>
            <w:vAlign w:val="center"/>
            <w:hideMark/>
          </w:tcPr>
          <w:p w14:paraId="69F9B84B"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-$9,883</w:t>
            </w:r>
          </w:p>
        </w:tc>
      </w:tr>
      <w:tr w:rsidR="007B5BAF" w:rsidRPr="002C1E2B" w14:paraId="6F82A4E0" w14:textId="77777777" w:rsidTr="007B5BAF">
        <w:trPr>
          <w:trHeight w:val="315"/>
        </w:trPr>
        <w:tc>
          <w:tcPr>
            <w:tcW w:w="880" w:type="pct"/>
            <w:shd w:val="clear" w:color="000000" w:fill="DBE5F1"/>
            <w:noWrap/>
            <w:vAlign w:val="center"/>
            <w:hideMark/>
          </w:tcPr>
          <w:p w14:paraId="64C9FB1F" w14:textId="77777777" w:rsidR="007B5BAF" w:rsidRPr="002C1E2B" w:rsidRDefault="007B5BAF" w:rsidP="007B5BAF">
            <w:pPr>
              <w:spacing w:before="60" w:after="60"/>
              <w:jc w:val="right"/>
              <w:rPr>
                <w:rFonts w:ascii="Calibri" w:eastAsia="Times New Roman" w:hAnsi="Calibri" w:cs="Times New Roman"/>
                <w:bCs/>
                <w:sz w:val="20"/>
                <w:szCs w:val="20"/>
                <w:lang w:eastAsia="en-AU"/>
              </w:rPr>
            </w:pPr>
            <w:r w:rsidRPr="002C1E2B">
              <w:rPr>
                <w:rFonts w:ascii="Calibri" w:eastAsia="Times New Roman" w:hAnsi="Calibri" w:cs="Times New Roman"/>
                <w:bCs/>
                <w:sz w:val="20"/>
                <w:szCs w:val="20"/>
                <w:lang w:eastAsia="en-AU"/>
              </w:rPr>
              <w:t>$500,000</w:t>
            </w:r>
          </w:p>
        </w:tc>
        <w:tc>
          <w:tcPr>
            <w:tcW w:w="388" w:type="pct"/>
            <w:shd w:val="clear" w:color="000000" w:fill="FFFFFF"/>
            <w:vAlign w:val="center"/>
            <w:hideMark/>
          </w:tcPr>
          <w:p w14:paraId="33B3C1E2"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-$421</w:t>
            </w:r>
          </w:p>
        </w:tc>
        <w:tc>
          <w:tcPr>
            <w:tcW w:w="465" w:type="pct"/>
            <w:shd w:val="clear" w:color="000000" w:fill="FFFFFF"/>
            <w:vAlign w:val="center"/>
            <w:hideMark/>
          </w:tcPr>
          <w:p w14:paraId="1221CAFA"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-$815</w:t>
            </w:r>
          </w:p>
        </w:tc>
        <w:tc>
          <w:tcPr>
            <w:tcW w:w="466" w:type="pct"/>
            <w:shd w:val="clear" w:color="000000" w:fill="FFFFFF"/>
            <w:vAlign w:val="center"/>
            <w:hideMark/>
          </w:tcPr>
          <w:p w14:paraId="3574A46D"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-$997</w:t>
            </w:r>
          </w:p>
        </w:tc>
        <w:tc>
          <w:tcPr>
            <w:tcW w:w="466" w:type="pct"/>
            <w:shd w:val="clear" w:color="000000" w:fill="FFFFFF"/>
            <w:vAlign w:val="center"/>
            <w:hideMark/>
          </w:tcPr>
          <w:p w14:paraId="56D4A7A3"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-$1,941</w:t>
            </w:r>
          </w:p>
        </w:tc>
        <w:tc>
          <w:tcPr>
            <w:tcW w:w="466" w:type="pct"/>
            <w:shd w:val="clear" w:color="000000" w:fill="FFFFFF"/>
            <w:vAlign w:val="center"/>
            <w:hideMark/>
          </w:tcPr>
          <w:p w14:paraId="37300157"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-$3,259</w:t>
            </w:r>
          </w:p>
        </w:tc>
        <w:tc>
          <w:tcPr>
            <w:tcW w:w="466" w:type="pct"/>
            <w:shd w:val="clear" w:color="000000" w:fill="FFFFFF"/>
            <w:vAlign w:val="center"/>
            <w:hideMark/>
          </w:tcPr>
          <w:p w14:paraId="47B03A60"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-$4,954</w:t>
            </w:r>
          </w:p>
        </w:tc>
        <w:tc>
          <w:tcPr>
            <w:tcW w:w="466" w:type="pct"/>
            <w:shd w:val="clear" w:color="000000" w:fill="FFFFFF"/>
            <w:vAlign w:val="center"/>
            <w:hideMark/>
          </w:tcPr>
          <w:p w14:paraId="4EBC5190"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-$7,032</w:t>
            </w:r>
          </w:p>
        </w:tc>
        <w:tc>
          <w:tcPr>
            <w:tcW w:w="466" w:type="pct"/>
            <w:shd w:val="clear" w:color="000000" w:fill="FFFFFF"/>
            <w:vAlign w:val="center"/>
            <w:hideMark/>
          </w:tcPr>
          <w:p w14:paraId="2991CF3D"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-$9,497</w:t>
            </w:r>
          </w:p>
        </w:tc>
        <w:tc>
          <w:tcPr>
            <w:tcW w:w="470" w:type="pct"/>
            <w:shd w:val="clear" w:color="000000" w:fill="FFFFFF"/>
            <w:vAlign w:val="center"/>
            <w:hideMark/>
          </w:tcPr>
          <w:p w14:paraId="59C82D67" w14:textId="77777777" w:rsidR="007B5BAF" w:rsidRPr="002C1E2B" w:rsidRDefault="007B5BAF" w:rsidP="007B5BAF">
            <w:pPr>
              <w:spacing w:before="60" w:after="60"/>
              <w:jc w:val="right"/>
              <w:rPr>
                <w:rFonts w:ascii="Calibri" w:hAnsi="Calibri"/>
                <w:sz w:val="20"/>
                <w:szCs w:val="20"/>
              </w:rPr>
            </w:pPr>
            <w:r w:rsidRPr="002C1E2B">
              <w:rPr>
                <w:rFonts w:ascii="Calibri" w:hAnsi="Calibri"/>
                <w:sz w:val="20"/>
                <w:szCs w:val="20"/>
              </w:rPr>
              <w:t>-$12,354</w:t>
            </w:r>
          </w:p>
        </w:tc>
      </w:tr>
    </w:tbl>
    <w:p w14:paraId="01FC2B20" w14:textId="77777777" w:rsidR="007B5BAF" w:rsidRPr="002C1E2B" w:rsidRDefault="007B5BAF" w:rsidP="007B5BAF">
      <w:pPr>
        <w:pStyle w:val="BodyText"/>
      </w:pPr>
    </w:p>
    <w:p w14:paraId="420F26F1" w14:textId="77777777" w:rsidR="007B5BAF" w:rsidRPr="002C1E2B" w:rsidRDefault="007B5BAF" w:rsidP="007B5BAF">
      <w:pPr>
        <w:pStyle w:val="BodyText"/>
      </w:pPr>
    </w:p>
    <w:p w14:paraId="5A55CDDC" w14:textId="77777777" w:rsidR="007B5BAF" w:rsidRPr="002C1E2B" w:rsidRDefault="007B5BAF">
      <w:pPr>
        <w:spacing w:after="200" w:line="276" w:lineRule="auto"/>
        <w:rPr>
          <w:rFonts w:asciiTheme="majorHAnsi" w:eastAsiaTheme="majorEastAsia" w:hAnsiTheme="majorHAnsi" w:cstheme="majorBidi"/>
          <w:b/>
          <w:bCs/>
          <w:sz w:val="28"/>
          <w:szCs w:val="28"/>
        </w:rPr>
      </w:pPr>
      <w:r w:rsidRPr="002C1E2B">
        <w:br w:type="page"/>
      </w:r>
    </w:p>
    <w:p w14:paraId="28C74764" w14:textId="77777777" w:rsidR="00EF1195" w:rsidRPr="002C1E2B" w:rsidRDefault="00EF1195" w:rsidP="00EF1195">
      <w:pPr>
        <w:pStyle w:val="Heading1"/>
        <w:numPr>
          <w:ilvl w:val="0"/>
          <w:numId w:val="1"/>
        </w:numPr>
      </w:pPr>
      <w:bookmarkStart w:id="330" w:name="_Toc476739314"/>
      <w:bookmarkStart w:id="331" w:name="_Toc476585868"/>
      <w:r w:rsidRPr="002C1E2B">
        <w:lastRenderedPageBreak/>
        <w:t>Consultation note</w:t>
      </w:r>
      <w:bookmarkEnd w:id="330"/>
      <w:bookmarkEnd w:id="331"/>
      <w:r w:rsidRPr="002C1E2B">
        <w:t xml:space="preserve"> </w:t>
      </w:r>
    </w:p>
    <w:p w14:paraId="000A9256" w14:textId="77777777" w:rsidR="00EF1195" w:rsidRPr="002C1E2B" w:rsidRDefault="00EF1195" w:rsidP="00EF1195">
      <w:pPr>
        <w:pStyle w:val="HeadingA"/>
        <w:rPr>
          <w:rFonts w:cstheme="majorHAnsi"/>
          <w:i/>
        </w:rPr>
      </w:pPr>
      <w:r w:rsidRPr="002C1E2B">
        <w:rPr>
          <w:rFonts w:cstheme="majorHAnsi"/>
        </w:rPr>
        <w:t xml:space="preserve">Retirement Villages (Contractual Arrangements) Regulations </w:t>
      </w:r>
      <w:r w:rsidRPr="002C1E2B">
        <w:rPr>
          <w:rFonts w:cstheme="majorHAnsi"/>
        </w:rPr>
        <w:br/>
        <w:t>Regulatory Impact Statement</w:t>
      </w:r>
    </w:p>
    <w:p w14:paraId="309C99E7" w14:textId="77777777" w:rsidR="00EF1195" w:rsidRPr="002C1E2B" w:rsidRDefault="00EF1195" w:rsidP="00EF1195">
      <w:pPr>
        <w:pStyle w:val="HeadingU5"/>
        <w:spacing w:after="120"/>
      </w:pPr>
      <w:r w:rsidRPr="002C1E2B">
        <w:t>Purpose of this consultation</w:t>
      </w:r>
    </w:p>
    <w:p w14:paraId="02C8F04A" w14:textId="77777777" w:rsidR="00EF1195" w:rsidRPr="002C1E2B" w:rsidRDefault="00EF1195" w:rsidP="00EF1195">
      <w:pPr>
        <w:pStyle w:val="BodyText"/>
      </w:pPr>
      <w:r w:rsidRPr="002C1E2B">
        <w:t xml:space="preserve">The Retirement Villages (Contractual Arrangements) Regulations 2006 (the Regulations) regulate contractual arrangements between retirement village operators and their residents. The Regulations are due to expire on 31 July 2017 and Consumer Affairs Victoria (CAV) has proposed that they are remade, with an amendment to the aged care rule (required as a result of recent changes to aged care payments under the Commonwealth </w:t>
      </w:r>
      <w:r w:rsidRPr="002C1E2B">
        <w:rPr>
          <w:i/>
        </w:rPr>
        <w:t>Aged Care Act 1997</w:t>
      </w:r>
      <w:r w:rsidRPr="002C1E2B">
        <w:t xml:space="preserve">). </w:t>
      </w:r>
    </w:p>
    <w:p w14:paraId="71B6FEED" w14:textId="77777777" w:rsidR="00EF1195" w:rsidRPr="002C1E2B" w:rsidRDefault="00EF1195" w:rsidP="00EF1195">
      <w:pPr>
        <w:pStyle w:val="BodyText"/>
      </w:pPr>
      <w:r w:rsidRPr="002C1E2B">
        <w:t xml:space="preserve">Before the Regulations are remade, CAV is required to conduct an analysis of their costs and benefits and consult on the proposed options – through a process known as a Regulatory Impact Statement (RIS). CAV has engaged NERA Economic Consulting to prepare the RIS. </w:t>
      </w:r>
    </w:p>
    <w:p w14:paraId="145EC536" w14:textId="77777777" w:rsidR="00EF1195" w:rsidRPr="002C1E2B" w:rsidRDefault="00EF1195" w:rsidP="00EF1195">
      <w:pPr>
        <w:pStyle w:val="BodyText"/>
        <w:rPr>
          <w:rFonts w:cstheme="minorHAnsi"/>
          <w:color w:val="000000"/>
        </w:rPr>
      </w:pPr>
      <w:r w:rsidRPr="002C1E2B">
        <w:rPr>
          <w:rFonts w:cstheme="minorHAnsi"/>
        </w:rPr>
        <w:t xml:space="preserve">The purpose of NERA’s consultation is to identify the potential costs and benefits of the proposed options, and to collect data to quantify these costs and benefits. The RIS will be released for a formal public consultation process in mid-2017, where there will be a further opportunity to comment on the analysis and the proposed options. </w:t>
      </w:r>
      <w:r w:rsidRPr="002C1E2B">
        <w:rPr>
          <w:rFonts w:cstheme="minorHAnsi"/>
          <w:color w:val="000000"/>
        </w:rPr>
        <w:t xml:space="preserve"> </w:t>
      </w:r>
    </w:p>
    <w:p w14:paraId="12C05D72" w14:textId="77777777" w:rsidR="00EF1195" w:rsidRPr="002C1E2B" w:rsidRDefault="00EF1195" w:rsidP="00EF1195">
      <w:pPr>
        <w:pStyle w:val="BodyText"/>
        <w:rPr>
          <w:b/>
          <w:i/>
        </w:rPr>
      </w:pPr>
      <w:r w:rsidRPr="002C1E2B">
        <w:rPr>
          <w:b/>
          <w:i/>
        </w:rPr>
        <w:t>The aged care rule</w:t>
      </w:r>
    </w:p>
    <w:p w14:paraId="78CD940F" w14:textId="77777777" w:rsidR="00EF1195" w:rsidRPr="002C1E2B" w:rsidRDefault="00EF1195" w:rsidP="00EF1195">
      <w:pPr>
        <w:pStyle w:val="BodyText"/>
        <w:rPr>
          <w:b/>
          <w:i/>
        </w:rPr>
      </w:pPr>
      <w:r w:rsidRPr="002C1E2B">
        <w:t>The ‘aged care rule’ is contained in regulation 6. It was introduced in 2006 to ensure the process for refunding residents’ exit entitlements does not interfere with their entry into aged care. The rule requires a village operator, on request, to pay the accommodation bond that a resident is required to pay to an aged care provider for entry into aged care. The rule applies to residents who entered retirement village contracts after 31 July 2006.</w:t>
      </w:r>
    </w:p>
    <w:p w14:paraId="01B605C1" w14:textId="77777777" w:rsidR="00EF1195" w:rsidRPr="002C1E2B" w:rsidRDefault="00EF1195" w:rsidP="00EF1195">
      <w:pPr>
        <w:pStyle w:val="BodyText"/>
      </w:pPr>
      <w:r w:rsidRPr="002C1E2B">
        <w:t>The Commonwealth Government changed the Aged Care Act in July 2014, to the effect that aged care providers can no longer require residents to pay an accommodation bond, now called a refundable accommodation deposit (RAD). Residents now have the choice of paying for their aged care by a RAD, non-refundable daily accommodation payments (DAP), or a combination of a RAD and DAP.</w:t>
      </w:r>
    </w:p>
    <w:p w14:paraId="3F076BCB" w14:textId="77777777" w:rsidR="00EF1195" w:rsidRPr="002C1E2B" w:rsidRDefault="00EF1195" w:rsidP="00EF1195">
      <w:pPr>
        <w:pStyle w:val="BodyText"/>
      </w:pPr>
      <w:r w:rsidRPr="002C1E2B">
        <w:t>The changes also removed a distinction in aged care between high and low care. Previously, accommodation bonds could only be required from residents entering low care accommodation. Now residents entering high or low care accommodation can elect to pay a RAD.</w:t>
      </w:r>
    </w:p>
    <w:p w14:paraId="1ABF2ACF" w14:textId="77777777" w:rsidR="00EF1195" w:rsidRPr="002C1E2B" w:rsidRDefault="00EF1195" w:rsidP="00EF1195">
      <w:pPr>
        <w:pStyle w:val="HeadingU5"/>
        <w:spacing w:after="120"/>
      </w:pPr>
      <w:r w:rsidRPr="002C1E2B">
        <w:t>Proposed options for the Regulations</w:t>
      </w:r>
    </w:p>
    <w:p w14:paraId="32DA0C6F" w14:textId="77777777" w:rsidR="00EF1195" w:rsidRPr="002C1E2B" w:rsidRDefault="00EF1195" w:rsidP="00EF1195">
      <w:pPr>
        <w:pStyle w:val="BodyText"/>
      </w:pPr>
      <w:r w:rsidRPr="002C1E2B">
        <w:rPr>
          <w:rStyle w:val="BodyTextChar"/>
          <w:lang w:val="en-AU"/>
        </w:rPr>
        <w:t xml:space="preserve">Three options have been developed by CAV in consultation with stakeholders representing retirement village operators and residents. All of the options considered result in the Regulations being remade, with each option providing a variation to the aged care rule. </w:t>
      </w:r>
    </w:p>
    <w:p w14:paraId="721BD1DE" w14:textId="77777777" w:rsidR="00EF1195" w:rsidRPr="002C1E2B" w:rsidRDefault="00EF1195" w:rsidP="00EF1195">
      <w:pPr>
        <w:pStyle w:val="ListBullet"/>
      </w:pPr>
      <w:r w:rsidRPr="002C1E2B">
        <w:rPr>
          <w:b/>
        </w:rPr>
        <w:t xml:space="preserve">Option 1 </w:t>
      </w:r>
      <w:r w:rsidRPr="002C1E2B">
        <w:t xml:space="preserve">– </w:t>
      </w:r>
      <w:r w:rsidRPr="002C1E2B">
        <w:rPr>
          <w:b/>
        </w:rPr>
        <w:t>renew the Regulations and</w:t>
      </w:r>
      <w:r w:rsidRPr="002C1E2B">
        <w:t xml:space="preserve"> </w:t>
      </w:r>
      <w:r w:rsidRPr="002C1E2B">
        <w:rPr>
          <w:b/>
        </w:rPr>
        <w:t xml:space="preserve">apply a DAP or RAD rule to new and existing residents – </w:t>
      </w:r>
      <w:r w:rsidRPr="002C1E2B">
        <w:t xml:space="preserve">amend the aged care rule to require retirement village operators to, on request, pay either the </w:t>
      </w:r>
      <w:r w:rsidRPr="002C1E2B">
        <w:rPr>
          <w:b/>
        </w:rPr>
        <w:t xml:space="preserve">DAP or RAD </w:t>
      </w:r>
      <w:r w:rsidRPr="002C1E2B">
        <w:t xml:space="preserve">that non-owner residents, who entered retirement </w:t>
      </w:r>
      <w:r w:rsidRPr="002C1E2B">
        <w:lastRenderedPageBreak/>
        <w:t>village contracts after 31 July 2006, are required to pay to an aged care provider for entry into aged care;</w:t>
      </w:r>
    </w:p>
    <w:p w14:paraId="304F1FCB" w14:textId="77777777" w:rsidR="00EF1195" w:rsidRPr="002C1E2B" w:rsidRDefault="00EF1195" w:rsidP="00EF1195">
      <w:pPr>
        <w:pStyle w:val="ListBullet"/>
      </w:pPr>
      <w:r w:rsidRPr="002C1E2B">
        <w:rPr>
          <w:b/>
        </w:rPr>
        <w:t>Option 2</w:t>
      </w:r>
      <w:r w:rsidRPr="002C1E2B">
        <w:t xml:space="preserve"> – </w:t>
      </w:r>
      <w:r w:rsidRPr="002C1E2B">
        <w:rPr>
          <w:b/>
        </w:rPr>
        <w:t>renew the Regulations and apply a DAP or RAD rule to existing residents, and a DAP rule only to new residents</w:t>
      </w:r>
      <w:r w:rsidRPr="002C1E2B">
        <w:t xml:space="preserve"> – amend the aged care rule to require retirement village operators to, on request, pay either the </w:t>
      </w:r>
      <w:r w:rsidRPr="002C1E2B">
        <w:rPr>
          <w:b/>
        </w:rPr>
        <w:t xml:space="preserve">DAP or RAD </w:t>
      </w:r>
      <w:r w:rsidRPr="002C1E2B">
        <w:t>that non-owner residents, who entered retirement village contracts after 31 July 2006 and before 1 August 2017, are required to pay to an aged care provider for entry into aged care. Residents who enter into contracts after 1 August 2017 would only be eligible for a DAP based rule.</w:t>
      </w:r>
    </w:p>
    <w:p w14:paraId="66838908" w14:textId="77777777" w:rsidR="00EF1195" w:rsidRPr="002C1E2B" w:rsidRDefault="00EF1195" w:rsidP="00EF1195">
      <w:pPr>
        <w:pStyle w:val="ListBullet"/>
        <w:ind w:left="357" w:hanging="357"/>
      </w:pPr>
      <w:r w:rsidRPr="002C1E2B">
        <w:rPr>
          <w:b/>
        </w:rPr>
        <w:t>Option 3</w:t>
      </w:r>
      <w:r w:rsidRPr="002C1E2B">
        <w:t xml:space="preserve"> – </w:t>
      </w:r>
      <w:r w:rsidRPr="002C1E2B">
        <w:rPr>
          <w:b/>
        </w:rPr>
        <w:t xml:space="preserve">renew the Regulations and apply a DAP rule only to both new and existing residents </w:t>
      </w:r>
      <w:r w:rsidRPr="002C1E2B">
        <w:t xml:space="preserve">– amend the aged care rule to require retirement village operators to, on request, pay the </w:t>
      </w:r>
      <w:r w:rsidRPr="002C1E2B">
        <w:rPr>
          <w:b/>
        </w:rPr>
        <w:t xml:space="preserve">DAP </w:t>
      </w:r>
      <w:r w:rsidRPr="002C1E2B">
        <w:t>that non-owner residents, who entered retirement village contracts after 31 July 2006, are required to pay to an aged care provider for entry into aged care. No resident would be eligible for a RAD based rule.</w:t>
      </w:r>
    </w:p>
    <w:p w14:paraId="5F2CF363" w14:textId="77777777" w:rsidR="00EF1195" w:rsidRPr="002C1E2B" w:rsidRDefault="00EF1195" w:rsidP="00EF1195">
      <w:pPr>
        <w:pStyle w:val="BodyText"/>
        <w:rPr>
          <w:rStyle w:val="BodyTextChar"/>
          <w:lang w:val="en-AU"/>
        </w:rPr>
      </w:pPr>
      <w:r w:rsidRPr="002C1E2B">
        <w:rPr>
          <w:rStyle w:val="BodyTextChar"/>
          <w:lang w:val="en-AU"/>
        </w:rPr>
        <w:t>The options will be compared against a scenario where the Regulations would expire and the contractual arrangements between residents and operators would be governed by only the RV Act, the RN Regulations, guidance issued by CAV, and contractual law.</w:t>
      </w:r>
    </w:p>
    <w:p w14:paraId="5A8203FD" w14:textId="77777777" w:rsidR="00EF1195" w:rsidRPr="002C1E2B" w:rsidRDefault="00EF1195" w:rsidP="00EF1195">
      <w:pPr>
        <w:pStyle w:val="HeadingU5"/>
      </w:pPr>
      <w:r w:rsidRPr="002C1E2B">
        <w:t>Consultation questions</w:t>
      </w:r>
    </w:p>
    <w:p w14:paraId="48DFF7BF" w14:textId="77777777" w:rsidR="00EF1195" w:rsidRPr="002C1E2B" w:rsidRDefault="00EF1195" w:rsidP="00EF1195">
      <w:pPr>
        <w:pStyle w:val="BodyText"/>
        <w:rPr>
          <w:b/>
          <w:i/>
        </w:rPr>
      </w:pPr>
      <w:r w:rsidRPr="002C1E2B">
        <w:rPr>
          <w:b/>
          <w:i/>
        </w:rPr>
        <w:t>Impact of renewing the Regulations</w:t>
      </w:r>
    </w:p>
    <w:p w14:paraId="5330375F" w14:textId="77777777" w:rsidR="00EF1195" w:rsidRPr="002C1E2B" w:rsidRDefault="00EF1195" w:rsidP="00EF1195">
      <w:pPr>
        <w:pStyle w:val="ListBullet"/>
        <w:spacing w:after="240"/>
        <w:ind w:left="357" w:hanging="357"/>
      </w:pPr>
      <w:r w:rsidRPr="002C1E2B">
        <w:t>Have the Regulations been effective to-date, do they need to be renewed?</w:t>
      </w:r>
    </w:p>
    <w:p w14:paraId="7BC9214F" w14:textId="77777777" w:rsidR="00EF1195" w:rsidRPr="002C1E2B" w:rsidRDefault="00EF1195" w:rsidP="00EF1195">
      <w:pPr>
        <w:pStyle w:val="ListBullet2"/>
      </w:pPr>
      <w:r w:rsidRPr="002C1E2B">
        <w:t>How widely used are the six month rule exemptions provided for in regulation 5? Is it required?</w:t>
      </w:r>
    </w:p>
    <w:p w14:paraId="6E0FBFD1" w14:textId="77777777" w:rsidR="00EF1195" w:rsidRPr="002C1E2B" w:rsidRDefault="00EF1195" w:rsidP="00EF1195">
      <w:pPr>
        <w:pStyle w:val="ListBullet2"/>
      </w:pPr>
      <w:r w:rsidRPr="002C1E2B">
        <w:t xml:space="preserve">Does the aged care rule effectively facilitate the transition of residents from retirement villages to aged care? In light of the changes to the Aged Care Act, is it still required, does the rule need amendment? </w:t>
      </w:r>
    </w:p>
    <w:p w14:paraId="6D3EB952" w14:textId="77777777" w:rsidR="00EF1195" w:rsidRPr="002C1E2B" w:rsidRDefault="00EF1195" w:rsidP="00EF1195">
      <w:pPr>
        <w:pStyle w:val="ListBullet2"/>
      </w:pPr>
      <w:r w:rsidRPr="002C1E2B">
        <w:t>Do regulations 7 and 8 (and Schedules 3 and 4) provide sufficient clarity for the calculation of residents’ refundable in-going contributions? Are they required to be renewed?</w:t>
      </w:r>
    </w:p>
    <w:p w14:paraId="1A587D7F" w14:textId="77777777" w:rsidR="00EF1195" w:rsidRPr="002C1E2B" w:rsidRDefault="00EF1195" w:rsidP="00EF1195">
      <w:pPr>
        <w:pStyle w:val="ListBullet2"/>
        <w:spacing w:after="240"/>
        <w:ind w:left="714" w:hanging="357"/>
      </w:pPr>
      <w:r w:rsidRPr="002C1E2B">
        <w:t>Have the new contractual requirements that came into effect in 2014 (regulation 8B-8H) been operating effectively? Is there any evidence of their impact?</w:t>
      </w:r>
    </w:p>
    <w:p w14:paraId="4FD32A9B" w14:textId="77777777" w:rsidR="00EF1195" w:rsidRPr="002C1E2B" w:rsidRDefault="00EF1195" w:rsidP="00EF1195">
      <w:pPr>
        <w:pStyle w:val="BodyText"/>
        <w:keepNext/>
        <w:rPr>
          <w:b/>
          <w:i/>
        </w:rPr>
      </w:pPr>
      <w:r w:rsidRPr="002C1E2B">
        <w:rPr>
          <w:b/>
          <w:i/>
        </w:rPr>
        <w:t>Impact of changes to the Aged Care Act</w:t>
      </w:r>
    </w:p>
    <w:p w14:paraId="7316625C" w14:textId="77777777" w:rsidR="00EF1195" w:rsidRPr="002C1E2B" w:rsidRDefault="00EF1195" w:rsidP="00EF1195">
      <w:pPr>
        <w:pStyle w:val="ListBullet"/>
      </w:pPr>
      <w:r w:rsidRPr="002C1E2B">
        <w:t>In your experience, what has been the effect of the changes to the Aged Care Act in 2014 on the operation of the aged care rule?</w:t>
      </w:r>
    </w:p>
    <w:p w14:paraId="3CC84C66" w14:textId="77777777" w:rsidR="00EF1195" w:rsidRPr="002C1E2B" w:rsidRDefault="00EF1195" w:rsidP="00EF1195">
      <w:pPr>
        <w:pStyle w:val="ListBullet2"/>
      </w:pPr>
      <w:r w:rsidRPr="002C1E2B">
        <w:t>Has it increased requests for retirement villages to pay RADs?</w:t>
      </w:r>
    </w:p>
    <w:p w14:paraId="6B27AAF6" w14:textId="77777777" w:rsidR="00EF1195" w:rsidRPr="002C1E2B" w:rsidRDefault="00EF1195" w:rsidP="00EF1195">
      <w:pPr>
        <w:pStyle w:val="ListBullet2"/>
      </w:pPr>
      <w:r w:rsidRPr="002C1E2B">
        <w:t>What impacts has this had on retirement village operators and the sector?</w:t>
      </w:r>
    </w:p>
    <w:p w14:paraId="6BD68B43" w14:textId="77777777" w:rsidR="00EF1195" w:rsidRPr="002C1E2B" w:rsidRDefault="00EF1195" w:rsidP="00EF1195">
      <w:pPr>
        <w:pStyle w:val="ListBullet2"/>
      </w:pPr>
      <w:r w:rsidRPr="002C1E2B">
        <w:t>How has it affected residents’ ability to transition to aged care?</w:t>
      </w:r>
    </w:p>
    <w:p w14:paraId="20A978C3" w14:textId="77777777" w:rsidR="00EF1195" w:rsidRPr="002C1E2B" w:rsidRDefault="00EF1195" w:rsidP="00EF1195">
      <w:pPr>
        <w:pStyle w:val="ListBullet2"/>
      </w:pPr>
      <w:r w:rsidRPr="002C1E2B">
        <w:t>Are you able to provide any data or evidence to support your answers?</w:t>
      </w:r>
    </w:p>
    <w:p w14:paraId="208A8837" w14:textId="77777777" w:rsidR="00EF1195" w:rsidRPr="002C1E2B" w:rsidRDefault="00EF1195" w:rsidP="00EF1195">
      <w:pPr>
        <w:pStyle w:val="ListBullet"/>
        <w:spacing w:after="240"/>
      </w:pPr>
      <w:r w:rsidRPr="002C1E2B">
        <w:lastRenderedPageBreak/>
        <w:t>In your experience, what proportion of retirement village residents entering aged care choose to pay for their aged care using DAPs or RADs? What factors influence this choice?</w:t>
      </w:r>
    </w:p>
    <w:p w14:paraId="7D98625F" w14:textId="77777777" w:rsidR="00EF1195" w:rsidRPr="002C1E2B" w:rsidRDefault="00EF1195" w:rsidP="00EF1195">
      <w:pPr>
        <w:pStyle w:val="BodyText"/>
        <w:keepNext/>
        <w:rPr>
          <w:b/>
          <w:i/>
        </w:rPr>
      </w:pPr>
      <w:r w:rsidRPr="002C1E2B">
        <w:rPr>
          <w:b/>
          <w:i/>
        </w:rPr>
        <w:t xml:space="preserve">Impact of options for the aged care rule </w:t>
      </w:r>
    </w:p>
    <w:p w14:paraId="5A02BFC9" w14:textId="77777777" w:rsidR="00EF1195" w:rsidRPr="002C1E2B" w:rsidRDefault="00EF1195" w:rsidP="00EF1195">
      <w:pPr>
        <w:pStyle w:val="ListBullet"/>
      </w:pPr>
      <w:r w:rsidRPr="002C1E2B">
        <w:t xml:space="preserve">How do you think the three options will impact retirement village operators and residents? </w:t>
      </w:r>
    </w:p>
    <w:p w14:paraId="368463CD" w14:textId="77777777" w:rsidR="00EF1195" w:rsidRPr="002C1E2B" w:rsidRDefault="00EF1195" w:rsidP="00EF1195">
      <w:pPr>
        <w:pStyle w:val="ListBullet2"/>
      </w:pPr>
      <w:r w:rsidRPr="002C1E2B">
        <w:t>How will they affect demand for the take-up of DAP and RAD based payments?</w:t>
      </w:r>
    </w:p>
    <w:p w14:paraId="0FF58AE3" w14:textId="77777777" w:rsidR="00EF1195" w:rsidRPr="002C1E2B" w:rsidRDefault="00EF1195" w:rsidP="00EF1195">
      <w:pPr>
        <w:pStyle w:val="ListBullet2"/>
      </w:pPr>
      <w:r w:rsidRPr="002C1E2B">
        <w:t>What financial impacts will they have on residents and operators?</w:t>
      </w:r>
    </w:p>
    <w:p w14:paraId="59DDF104" w14:textId="77777777" w:rsidR="00EF1195" w:rsidRPr="002C1E2B" w:rsidRDefault="00EF1195" w:rsidP="00EF1195">
      <w:pPr>
        <w:pStyle w:val="ListBullet2"/>
      </w:pPr>
      <w:r w:rsidRPr="002C1E2B">
        <w:t>How will they impact the ability of residents to transition to aged care?</w:t>
      </w:r>
    </w:p>
    <w:p w14:paraId="32741C64" w14:textId="77777777" w:rsidR="00EF1195" w:rsidRPr="002C1E2B" w:rsidRDefault="00EF1195" w:rsidP="00EF1195">
      <w:pPr>
        <w:pStyle w:val="ListBullet2"/>
      </w:pPr>
      <w:r w:rsidRPr="002C1E2B">
        <w:t>Do you think they will impact the financial viability of retirement village operators?</w:t>
      </w:r>
    </w:p>
    <w:p w14:paraId="2B71FE6C" w14:textId="77777777" w:rsidR="00EF1195" w:rsidRPr="002C1E2B" w:rsidRDefault="00EF1195" w:rsidP="00EF1195">
      <w:pPr>
        <w:pStyle w:val="ListBullet2"/>
        <w:spacing w:after="240"/>
        <w:ind w:left="714" w:hanging="357"/>
      </w:pPr>
      <w:r w:rsidRPr="002C1E2B">
        <w:t>Are you able to provide any data or evidence to support your answers?</w:t>
      </w:r>
    </w:p>
    <w:p w14:paraId="4F3A43C2" w14:textId="77777777" w:rsidR="00EF1195" w:rsidRPr="002C1E2B" w:rsidRDefault="00EF1195" w:rsidP="00EF1195">
      <w:pPr>
        <w:pStyle w:val="Heading1"/>
        <w:numPr>
          <w:ilvl w:val="0"/>
          <w:numId w:val="1"/>
        </w:numPr>
      </w:pPr>
      <w:bookmarkStart w:id="332" w:name="_Toc476739315"/>
      <w:bookmarkStart w:id="333" w:name="_Toc476585869"/>
      <w:r w:rsidRPr="002C1E2B">
        <w:lastRenderedPageBreak/>
        <w:t>Stakeholder consultation timeline</w:t>
      </w:r>
      <w:bookmarkEnd w:id="332"/>
      <w:bookmarkEnd w:id="333"/>
      <w:r w:rsidRPr="002C1E2B">
        <w:t xml:space="preserve"> </w:t>
      </w:r>
    </w:p>
    <w:p w14:paraId="0946511B" w14:textId="77777777" w:rsidR="00EF1195" w:rsidRPr="002C1E2B" w:rsidRDefault="00EF1195" w:rsidP="00D57D67">
      <w:pPr>
        <w:pStyle w:val="Caption"/>
      </w:pPr>
      <w:r w:rsidRPr="002C1E2B">
        <w:t xml:space="preserve">Table </w:t>
      </w:r>
      <w:r w:rsidRPr="002C1E2B">
        <w:fldChar w:fldCharType="begin"/>
      </w:r>
      <w:r w:rsidRPr="002C1E2B">
        <w:instrText xml:space="preserve"> STYLEREF 1 \s </w:instrText>
      </w:r>
      <w:r w:rsidRPr="002C1E2B">
        <w:fldChar w:fldCharType="separate"/>
      </w:r>
      <w:r w:rsidR="00BE6CE4">
        <w:rPr>
          <w:noProof/>
        </w:rPr>
        <w:t>H</w:t>
      </w:r>
      <w:r w:rsidRPr="002C1E2B">
        <w:fldChar w:fldCharType="end"/>
      </w:r>
      <w:r w:rsidRPr="002C1E2B">
        <w:t>.</w:t>
      </w:r>
      <w:r w:rsidRPr="002C1E2B">
        <w:fldChar w:fldCharType="begin"/>
      </w:r>
      <w:r w:rsidRPr="002C1E2B">
        <w:instrText xml:space="preserve"> SEQ Table \* ARABIC \s 1 </w:instrText>
      </w:r>
      <w:r w:rsidRPr="002C1E2B">
        <w:fldChar w:fldCharType="separate"/>
      </w:r>
      <w:r w:rsidR="00BE6CE4">
        <w:rPr>
          <w:noProof/>
        </w:rPr>
        <w:t>1</w:t>
      </w:r>
      <w:r w:rsidRPr="002C1E2B">
        <w:fldChar w:fldCharType="end"/>
      </w:r>
      <w:r w:rsidRPr="002C1E2B">
        <w:t xml:space="preserve"> Stakeholder consultation timeline</w:t>
      </w:r>
    </w:p>
    <w:tbl>
      <w:tblPr>
        <w:tblStyle w:val="NERA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7114"/>
      </w:tblGrid>
      <w:tr w:rsidR="00EF1195" w:rsidRPr="002C1E2B" w14:paraId="0FC0797F" w14:textId="77777777" w:rsidTr="007F5D69">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05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F497D" w:themeFill="text2"/>
            <w:vAlign w:val="center"/>
          </w:tcPr>
          <w:p w14:paraId="69A2344D" w14:textId="77777777" w:rsidR="00EF1195" w:rsidRPr="002C1E2B" w:rsidRDefault="00EF1195" w:rsidP="007F5D69">
            <w:pPr>
              <w:pStyle w:val="TableHeader-White"/>
              <w:keepNext/>
              <w:keepLines/>
              <w:spacing w:before="0" w:after="120"/>
              <w:rPr>
                <w:sz w:val="20"/>
                <w:szCs w:val="18"/>
              </w:rPr>
            </w:pPr>
            <w:r w:rsidRPr="002C1E2B">
              <w:rPr>
                <w:sz w:val="20"/>
                <w:szCs w:val="18"/>
              </w:rPr>
              <w:t>Timing</w:t>
            </w:r>
          </w:p>
        </w:tc>
        <w:tc>
          <w:tcPr>
            <w:tcW w:w="3945" w:type="pct"/>
            <w:tcBorders>
              <w:bottom w:val="none" w:sz="0" w:space="0" w:color="auto"/>
            </w:tcBorders>
            <w:shd w:val="clear" w:color="auto" w:fill="1F497D" w:themeFill="text2"/>
            <w:vAlign w:val="center"/>
          </w:tcPr>
          <w:p w14:paraId="0EBD505B" w14:textId="77777777" w:rsidR="00EF1195" w:rsidRPr="002C1E2B" w:rsidRDefault="00EF1195" w:rsidP="007F5D69">
            <w:pPr>
              <w:pStyle w:val="TableHeader-White"/>
              <w:keepNext/>
              <w:keepLines/>
              <w:spacing w:before="0" w:after="120"/>
              <w:cnfStyle w:val="100000000000" w:firstRow="1" w:lastRow="0" w:firstColumn="0" w:lastColumn="0" w:oddVBand="0" w:evenVBand="0" w:oddHBand="0" w:evenHBand="0" w:firstRowFirstColumn="0" w:firstRowLastColumn="0" w:lastRowFirstColumn="0" w:lastRowLastColumn="0"/>
              <w:rPr>
                <w:sz w:val="20"/>
                <w:szCs w:val="18"/>
              </w:rPr>
            </w:pPr>
            <w:r w:rsidRPr="002C1E2B">
              <w:rPr>
                <w:sz w:val="20"/>
                <w:szCs w:val="18"/>
              </w:rPr>
              <w:t>Consultation</w:t>
            </w:r>
          </w:p>
        </w:tc>
      </w:tr>
      <w:tr w:rsidR="00EF1195" w:rsidRPr="002C1E2B" w14:paraId="26608794" w14:textId="77777777" w:rsidTr="007F5D69">
        <w:tc>
          <w:tcPr>
            <w:cnfStyle w:val="001000000000" w:firstRow="0" w:lastRow="0" w:firstColumn="1" w:lastColumn="0" w:oddVBand="0" w:evenVBand="0" w:oddHBand="0" w:evenHBand="0" w:firstRowFirstColumn="0" w:firstRowLastColumn="0" w:lastRowFirstColumn="0" w:lastRowLastColumn="0"/>
            <w:tcW w:w="1055" w:type="pct"/>
            <w:tcBorders>
              <w:left w:val="single" w:sz="4" w:space="0" w:color="auto"/>
              <w:bottom w:val="single" w:sz="4" w:space="0" w:color="auto"/>
            </w:tcBorders>
          </w:tcPr>
          <w:p w14:paraId="6601A6B8" w14:textId="77777777" w:rsidR="00EF1195" w:rsidRPr="002C1E2B" w:rsidRDefault="00EF1195" w:rsidP="007F5D69">
            <w:pPr>
              <w:pStyle w:val="TableText"/>
              <w:rPr>
                <w:rFonts w:ascii="Calibri" w:hAnsi="Calibri"/>
                <w:color w:val="000000"/>
              </w:rPr>
            </w:pPr>
            <w:r w:rsidRPr="002C1E2B">
              <w:rPr>
                <w:rFonts w:ascii="Calibri" w:hAnsi="Calibri"/>
                <w:color w:val="000000"/>
              </w:rPr>
              <w:t>1 July 2014</w:t>
            </w:r>
          </w:p>
        </w:tc>
        <w:tc>
          <w:tcPr>
            <w:tcW w:w="3945" w:type="pct"/>
            <w:tcBorders>
              <w:bottom w:val="single" w:sz="4" w:space="0" w:color="auto"/>
            </w:tcBorders>
          </w:tcPr>
          <w:p w14:paraId="6865D9C7" w14:textId="77777777" w:rsidR="00EF1195" w:rsidRPr="002C1E2B" w:rsidRDefault="00EF1195" w:rsidP="007F5D69">
            <w:pPr>
              <w:pStyle w:val="BodyText"/>
              <w:spacing w:after="120"/>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2C1E2B">
              <w:rPr>
                <w:rFonts w:ascii="Calibri" w:hAnsi="Calibri" w:cs="Arial"/>
                <w:sz w:val="20"/>
                <w:szCs w:val="20"/>
              </w:rPr>
              <w:t xml:space="preserve">Changes to the Aged Care Act 1997 (Cth) commenced. </w:t>
            </w:r>
          </w:p>
        </w:tc>
      </w:tr>
      <w:tr w:rsidR="00EF1195" w:rsidRPr="002C1E2B" w14:paraId="1D9B42B4" w14:textId="77777777" w:rsidTr="007F5D69">
        <w:tc>
          <w:tcPr>
            <w:cnfStyle w:val="001000000000" w:firstRow="0" w:lastRow="0" w:firstColumn="1" w:lastColumn="0" w:oddVBand="0" w:evenVBand="0" w:oddHBand="0" w:evenHBand="0" w:firstRowFirstColumn="0" w:firstRowLastColumn="0" w:lastRowFirstColumn="0" w:lastRowLastColumn="0"/>
            <w:tcW w:w="1055" w:type="pct"/>
            <w:tcBorders>
              <w:left w:val="single" w:sz="4" w:space="0" w:color="auto"/>
              <w:bottom w:val="single" w:sz="4" w:space="0" w:color="auto"/>
            </w:tcBorders>
          </w:tcPr>
          <w:p w14:paraId="603DFBE6" w14:textId="77777777" w:rsidR="00EF1195" w:rsidRPr="002C1E2B" w:rsidRDefault="00EF1195" w:rsidP="007F5D69">
            <w:pPr>
              <w:pStyle w:val="TableText"/>
              <w:spacing w:before="0" w:after="120"/>
              <w:rPr>
                <w:rFonts w:ascii="Calibri" w:hAnsi="Calibri"/>
                <w:color w:val="000000"/>
              </w:rPr>
            </w:pPr>
            <w:r w:rsidRPr="002C1E2B">
              <w:rPr>
                <w:rFonts w:ascii="Calibri" w:hAnsi="Calibri"/>
                <w:color w:val="000000"/>
              </w:rPr>
              <w:t>October 2014</w:t>
            </w:r>
          </w:p>
        </w:tc>
        <w:tc>
          <w:tcPr>
            <w:tcW w:w="3945" w:type="pct"/>
            <w:tcBorders>
              <w:bottom w:val="single" w:sz="4" w:space="0" w:color="auto"/>
            </w:tcBorders>
          </w:tcPr>
          <w:p w14:paraId="44F59D2B" w14:textId="77777777" w:rsidR="00EF1195" w:rsidRPr="002C1E2B" w:rsidRDefault="00EF1195" w:rsidP="007F5D69">
            <w:pPr>
              <w:pStyle w:val="BodyText"/>
              <w:spacing w:after="120"/>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2C1E2B">
              <w:rPr>
                <w:rFonts w:ascii="Calibri" w:hAnsi="Calibri" w:cs="Arial"/>
                <w:sz w:val="20"/>
                <w:szCs w:val="20"/>
              </w:rPr>
              <w:t xml:space="preserve">PCA submitted a report to the Minister for Consumer Affairs, recommending the aged care rule to be amended to reflect changes to the Aged Care Act. </w:t>
            </w:r>
          </w:p>
        </w:tc>
      </w:tr>
      <w:tr w:rsidR="00EF1195" w:rsidRPr="002C1E2B" w14:paraId="5BCDD1D9" w14:textId="77777777" w:rsidTr="007F5D69">
        <w:tc>
          <w:tcPr>
            <w:cnfStyle w:val="001000000000" w:firstRow="0" w:lastRow="0" w:firstColumn="1" w:lastColumn="0" w:oddVBand="0" w:evenVBand="0" w:oddHBand="0" w:evenHBand="0" w:firstRowFirstColumn="0" w:firstRowLastColumn="0" w:lastRowFirstColumn="0" w:lastRowLastColumn="0"/>
            <w:tcW w:w="1055" w:type="pct"/>
            <w:tcBorders>
              <w:top w:val="single" w:sz="4" w:space="0" w:color="auto"/>
              <w:left w:val="single" w:sz="4" w:space="0" w:color="auto"/>
              <w:bottom w:val="single" w:sz="4" w:space="0" w:color="auto"/>
            </w:tcBorders>
          </w:tcPr>
          <w:p w14:paraId="685AC330" w14:textId="77777777" w:rsidR="00EF1195" w:rsidRPr="002C1E2B" w:rsidRDefault="00EF1195" w:rsidP="007F5D69">
            <w:pPr>
              <w:pStyle w:val="TableText"/>
              <w:spacing w:before="0" w:after="120"/>
              <w:rPr>
                <w:rFonts w:ascii="Calibri" w:hAnsi="Calibri"/>
                <w:color w:val="000000"/>
              </w:rPr>
            </w:pPr>
            <w:r w:rsidRPr="002C1E2B">
              <w:rPr>
                <w:rFonts w:ascii="Calibri" w:hAnsi="Calibri"/>
                <w:color w:val="000000"/>
              </w:rPr>
              <w:t>December 2014</w:t>
            </w:r>
          </w:p>
        </w:tc>
        <w:tc>
          <w:tcPr>
            <w:tcW w:w="3945" w:type="pct"/>
            <w:tcBorders>
              <w:top w:val="single" w:sz="4" w:space="0" w:color="auto"/>
              <w:bottom w:val="single" w:sz="4" w:space="0" w:color="auto"/>
            </w:tcBorders>
          </w:tcPr>
          <w:p w14:paraId="7CFEF36F" w14:textId="77777777" w:rsidR="00EF1195" w:rsidRPr="002C1E2B" w:rsidRDefault="00EF1195" w:rsidP="007F5D69">
            <w:pPr>
              <w:pStyle w:val="BodyText"/>
              <w:spacing w:after="120"/>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2C1E2B">
              <w:rPr>
                <w:rFonts w:ascii="Calibri" w:hAnsi="Calibri" w:cs="Arial"/>
                <w:sz w:val="20"/>
                <w:szCs w:val="20"/>
              </w:rPr>
              <w:t>CAV responded to the PCA report and invited PCA to discuss the potential impacts of changes to the aged care rule under the Aged Care Act.</w:t>
            </w:r>
          </w:p>
        </w:tc>
      </w:tr>
      <w:tr w:rsidR="00EF1195" w:rsidRPr="002C1E2B" w14:paraId="29FCAD0F" w14:textId="77777777" w:rsidTr="007F5D69">
        <w:tc>
          <w:tcPr>
            <w:cnfStyle w:val="001000000000" w:firstRow="0" w:lastRow="0" w:firstColumn="1" w:lastColumn="0" w:oddVBand="0" w:evenVBand="0" w:oddHBand="0" w:evenHBand="0" w:firstRowFirstColumn="0" w:firstRowLastColumn="0" w:lastRowFirstColumn="0" w:lastRowLastColumn="0"/>
            <w:tcW w:w="1055" w:type="pct"/>
            <w:tcBorders>
              <w:top w:val="single" w:sz="4" w:space="0" w:color="auto"/>
              <w:left w:val="none" w:sz="0" w:space="0" w:color="auto"/>
              <w:bottom w:val="single" w:sz="4" w:space="0" w:color="auto"/>
              <w:right w:val="none" w:sz="0" w:space="0" w:color="auto"/>
              <w:tl2br w:val="none" w:sz="0" w:space="0" w:color="auto"/>
              <w:tr2bl w:val="none" w:sz="0" w:space="0" w:color="auto"/>
            </w:tcBorders>
          </w:tcPr>
          <w:p w14:paraId="01F85AA9" w14:textId="77777777" w:rsidR="00EF1195" w:rsidRPr="002C1E2B" w:rsidRDefault="00EF1195" w:rsidP="007F5D69">
            <w:pPr>
              <w:pStyle w:val="TableText"/>
              <w:spacing w:before="0" w:after="120"/>
              <w:rPr>
                <w:rFonts w:ascii="Calibri" w:hAnsi="Calibri"/>
                <w:color w:val="000000"/>
              </w:rPr>
            </w:pPr>
            <w:r w:rsidRPr="002C1E2B">
              <w:rPr>
                <w:rFonts w:ascii="Calibri" w:hAnsi="Calibri"/>
                <w:color w:val="000000"/>
              </w:rPr>
              <w:t>June 2015</w:t>
            </w:r>
          </w:p>
        </w:tc>
        <w:tc>
          <w:tcPr>
            <w:tcW w:w="3945" w:type="pct"/>
            <w:tcBorders>
              <w:top w:val="single" w:sz="4" w:space="0" w:color="auto"/>
              <w:bottom w:val="single" w:sz="4" w:space="0" w:color="auto"/>
            </w:tcBorders>
          </w:tcPr>
          <w:p w14:paraId="2FBABD4B" w14:textId="77777777" w:rsidR="00EF1195" w:rsidRPr="002C1E2B" w:rsidRDefault="00EF1195" w:rsidP="007F5D69">
            <w:pPr>
              <w:pStyle w:val="BodyText"/>
              <w:spacing w:after="120"/>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2C1E2B">
              <w:rPr>
                <w:rFonts w:ascii="Calibri" w:hAnsi="Calibri" w:cs="Arial"/>
                <w:sz w:val="20"/>
                <w:szCs w:val="20"/>
              </w:rPr>
              <w:t>CAV hosted a roundtable of industry bodies and resident groups to discuss the future of the aged care rule. The PCA, CALC, RRVV, HAAG, COTA Victoria and LASA participated in the roundtable.</w:t>
            </w:r>
          </w:p>
        </w:tc>
      </w:tr>
      <w:tr w:rsidR="00EF1195" w:rsidRPr="002C1E2B" w14:paraId="710994F5" w14:textId="77777777" w:rsidTr="007F5D69">
        <w:tc>
          <w:tcPr>
            <w:cnfStyle w:val="001000000000" w:firstRow="0" w:lastRow="0" w:firstColumn="1" w:lastColumn="0" w:oddVBand="0" w:evenVBand="0" w:oddHBand="0" w:evenHBand="0" w:firstRowFirstColumn="0" w:firstRowLastColumn="0" w:lastRowFirstColumn="0" w:lastRowLastColumn="0"/>
            <w:tcW w:w="1055" w:type="pct"/>
            <w:tcBorders>
              <w:left w:val="single" w:sz="4" w:space="0" w:color="auto"/>
              <w:bottom w:val="single" w:sz="4" w:space="0" w:color="auto"/>
            </w:tcBorders>
          </w:tcPr>
          <w:p w14:paraId="5D87D584" w14:textId="77777777" w:rsidR="00EF1195" w:rsidRPr="002C1E2B" w:rsidRDefault="00EF1195" w:rsidP="007F5D69">
            <w:pPr>
              <w:pStyle w:val="TableText"/>
              <w:spacing w:before="0" w:after="120"/>
              <w:rPr>
                <w:rFonts w:ascii="Calibri" w:hAnsi="Calibri"/>
                <w:color w:val="000000"/>
              </w:rPr>
            </w:pPr>
            <w:r w:rsidRPr="002C1E2B">
              <w:rPr>
                <w:rFonts w:ascii="Calibri" w:hAnsi="Calibri"/>
                <w:color w:val="000000"/>
              </w:rPr>
              <w:t>December 2015</w:t>
            </w:r>
          </w:p>
        </w:tc>
        <w:tc>
          <w:tcPr>
            <w:tcW w:w="3945" w:type="pct"/>
            <w:tcBorders>
              <w:bottom w:val="single" w:sz="4" w:space="0" w:color="auto"/>
            </w:tcBorders>
          </w:tcPr>
          <w:p w14:paraId="3F170437" w14:textId="77777777" w:rsidR="00EF1195" w:rsidRPr="002C1E2B" w:rsidRDefault="00EF1195" w:rsidP="007F5D69">
            <w:pPr>
              <w:pStyle w:val="BodyText"/>
              <w:spacing w:after="120"/>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2C1E2B">
              <w:rPr>
                <w:rFonts w:ascii="Calibri" w:hAnsi="Calibri" w:cs="Arial"/>
                <w:sz w:val="20"/>
                <w:szCs w:val="20"/>
              </w:rPr>
              <w:t>The Minister for Consumer Affairs approved a review to assess the impacts on the retirement village industry and residents of the changes in the Aged Care Act.</w:t>
            </w:r>
          </w:p>
        </w:tc>
      </w:tr>
      <w:tr w:rsidR="00EF1195" w:rsidRPr="002C1E2B" w14:paraId="290D3F71" w14:textId="77777777" w:rsidTr="007F5D69">
        <w:tc>
          <w:tcPr>
            <w:cnfStyle w:val="001000000000" w:firstRow="0" w:lastRow="0" w:firstColumn="1" w:lastColumn="0" w:oddVBand="0" w:evenVBand="0" w:oddHBand="0" w:evenHBand="0" w:firstRowFirstColumn="0" w:firstRowLastColumn="0" w:lastRowFirstColumn="0" w:lastRowLastColumn="0"/>
            <w:tcW w:w="1055" w:type="pct"/>
            <w:tcBorders>
              <w:top w:val="single" w:sz="4" w:space="0" w:color="auto"/>
              <w:left w:val="single" w:sz="4" w:space="0" w:color="auto"/>
              <w:bottom w:val="single" w:sz="4" w:space="0" w:color="auto"/>
            </w:tcBorders>
          </w:tcPr>
          <w:p w14:paraId="17A47930" w14:textId="77777777" w:rsidR="00EF1195" w:rsidRPr="002C1E2B" w:rsidRDefault="00EF1195" w:rsidP="007F5D69">
            <w:pPr>
              <w:pStyle w:val="TableText"/>
              <w:spacing w:before="0" w:after="120"/>
              <w:rPr>
                <w:rFonts w:ascii="Calibri" w:hAnsi="Calibri"/>
                <w:color w:val="000000"/>
              </w:rPr>
            </w:pPr>
            <w:r w:rsidRPr="002C1E2B">
              <w:rPr>
                <w:rFonts w:ascii="Calibri" w:hAnsi="Calibri"/>
                <w:color w:val="000000"/>
              </w:rPr>
              <w:t>April 2016</w:t>
            </w:r>
          </w:p>
        </w:tc>
        <w:tc>
          <w:tcPr>
            <w:tcW w:w="3945" w:type="pct"/>
            <w:tcBorders>
              <w:top w:val="single" w:sz="4" w:space="0" w:color="auto"/>
              <w:bottom w:val="single" w:sz="4" w:space="0" w:color="auto"/>
            </w:tcBorders>
          </w:tcPr>
          <w:p w14:paraId="1BC9D56C" w14:textId="77777777" w:rsidR="00EF1195" w:rsidRPr="002C1E2B" w:rsidRDefault="00EF1195" w:rsidP="007F5D69">
            <w:pPr>
              <w:pStyle w:val="BodyText"/>
              <w:spacing w:after="120"/>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2C1E2B">
              <w:rPr>
                <w:rFonts w:ascii="Calibri" w:hAnsi="Calibri" w:cs="Arial"/>
                <w:sz w:val="20"/>
                <w:szCs w:val="20"/>
              </w:rPr>
              <w:t>CAV engaged an independent consultant to assess the impacts on residents and retirement village operators of a range of options to amend the aged care rule, including the PCA’s recommended approach.</w:t>
            </w:r>
          </w:p>
        </w:tc>
      </w:tr>
      <w:tr w:rsidR="00EF1195" w:rsidRPr="002C1E2B" w14:paraId="1B59E29A" w14:textId="77777777" w:rsidTr="007F5D69">
        <w:tc>
          <w:tcPr>
            <w:cnfStyle w:val="001000000000" w:firstRow="0" w:lastRow="0" w:firstColumn="1" w:lastColumn="0" w:oddVBand="0" w:evenVBand="0" w:oddHBand="0" w:evenHBand="0" w:firstRowFirstColumn="0" w:firstRowLastColumn="0" w:lastRowFirstColumn="0" w:lastRowLastColumn="0"/>
            <w:tcW w:w="1055" w:type="pct"/>
            <w:tcBorders>
              <w:top w:val="single" w:sz="4" w:space="0" w:color="auto"/>
              <w:left w:val="none" w:sz="0" w:space="0" w:color="auto"/>
              <w:bottom w:val="single" w:sz="4" w:space="0" w:color="auto"/>
              <w:right w:val="none" w:sz="0" w:space="0" w:color="auto"/>
              <w:tl2br w:val="none" w:sz="0" w:space="0" w:color="auto"/>
              <w:tr2bl w:val="none" w:sz="0" w:space="0" w:color="auto"/>
            </w:tcBorders>
          </w:tcPr>
          <w:p w14:paraId="7C479628" w14:textId="77777777" w:rsidR="00EF1195" w:rsidRPr="002C1E2B" w:rsidRDefault="00EF1195" w:rsidP="007F5D69">
            <w:pPr>
              <w:pStyle w:val="TableText"/>
              <w:spacing w:before="0" w:after="120"/>
              <w:rPr>
                <w:rFonts w:ascii="Calibri" w:hAnsi="Calibri"/>
                <w:color w:val="000000"/>
              </w:rPr>
            </w:pPr>
            <w:r w:rsidRPr="002C1E2B">
              <w:rPr>
                <w:rFonts w:ascii="Calibri" w:hAnsi="Calibri"/>
                <w:color w:val="000000"/>
              </w:rPr>
              <w:t>June 2016</w:t>
            </w:r>
          </w:p>
        </w:tc>
        <w:tc>
          <w:tcPr>
            <w:tcW w:w="3945" w:type="pct"/>
            <w:tcBorders>
              <w:top w:val="single" w:sz="4" w:space="0" w:color="auto"/>
              <w:bottom w:val="single" w:sz="4" w:space="0" w:color="auto"/>
            </w:tcBorders>
          </w:tcPr>
          <w:p w14:paraId="61588101" w14:textId="77777777" w:rsidR="00EF1195" w:rsidRPr="002C1E2B" w:rsidRDefault="00EF1195" w:rsidP="007F5D69">
            <w:pPr>
              <w:pStyle w:val="BodyText"/>
              <w:spacing w:after="120"/>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highlight w:val="yellow"/>
              </w:rPr>
            </w:pPr>
            <w:r w:rsidRPr="002C1E2B">
              <w:rPr>
                <w:rFonts w:ascii="Calibri" w:hAnsi="Calibri" w:cs="Arial"/>
                <w:sz w:val="20"/>
                <w:szCs w:val="20"/>
              </w:rPr>
              <w:t>CAV engaged with industry bodies and resident groups to discuss the required changes to the Regulations to develop a set of proposed options for a new aged care rule.</w:t>
            </w:r>
          </w:p>
        </w:tc>
      </w:tr>
      <w:tr w:rsidR="00EF1195" w:rsidRPr="002C1E2B" w14:paraId="4311BC37" w14:textId="77777777" w:rsidTr="007F5D69">
        <w:tc>
          <w:tcPr>
            <w:cnfStyle w:val="001000000000" w:firstRow="0" w:lastRow="0" w:firstColumn="1" w:lastColumn="0" w:oddVBand="0" w:evenVBand="0" w:oddHBand="0" w:evenHBand="0" w:firstRowFirstColumn="0" w:firstRowLastColumn="0" w:lastRowFirstColumn="0" w:lastRowLastColumn="0"/>
            <w:tcW w:w="1055" w:type="pct"/>
            <w:tcBorders>
              <w:top w:val="single" w:sz="4" w:space="0" w:color="auto"/>
              <w:left w:val="single" w:sz="4" w:space="0" w:color="auto"/>
              <w:bottom w:val="single" w:sz="4" w:space="0" w:color="auto"/>
            </w:tcBorders>
          </w:tcPr>
          <w:p w14:paraId="6256DC40" w14:textId="77777777" w:rsidR="00EF1195" w:rsidRPr="002C1E2B" w:rsidRDefault="00EF1195" w:rsidP="007F5D69">
            <w:pPr>
              <w:pStyle w:val="TableText"/>
              <w:spacing w:before="0" w:after="120"/>
              <w:rPr>
                <w:rFonts w:ascii="Calibri" w:hAnsi="Calibri"/>
                <w:color w:val="000000"/>
              </w:rPr>
            </w:pPr>
            <w:r w:rsidRPr="002C1E2B">
              <w:rPr>
                <w:rFonts w:ascii="Calibri" w:hAnsi="Calibri"/>
                <w:color w:val="000000"/>
              </w:rPr>
              <w:t>September 2016</w:t>
            </w:r>
          </w:p>
        </w:tc>
        <w:tc>
          <w:tcPr>
            <w:tcW w:w="3945" w:type="pct"/>
            <w:tcBorders>
              <w:top w:val="single" w:sz="4" w:space="0" w:color="auto"/>
              <w:bottom w:val="single" w:sz="4" w:space="0" w:color="auto"/>
            </w:tcBorders>
          </w:tcPr>
          <w:p w14:paraId="394C66D5" w14:textId="77777777" w:rsidR="00EF1195" w:rsidRPr="002C1E2B" w:rsidRDefault="00EF1195" w:rsidP="007F5D69">
            <w:pPr>
              <w:pStyle w:val="BodyText"/>
              <w:spacing w:after="120"/>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2C1E2B">
              <w:rPr>
                <w:rFonts w:ascii="Calibri" w:hAnsi="Calibri" w:cs="Arial"/>
                <w:sz w:val="20"/>
                <w:szCs w:val="20"/>
              </w:rPr>
              <w:t xml:space="preserve">A coalition of CALC, RRVV, HAAG and COTAV provided feedback to CAV on the findings of the independent consultant’s report. </w:t>
            </w:r>
          </w:p>
        </w:tc>
      </w:tr>
      <w:tr w:rsidR="00EF1195" w:rsidRPr="002C1E2B" w14:paraId="552DED72" w14:textId="77777777" w:rsidTr="007F5D69">
        <w:tc>
          <w:tcPr>
            <w:cnfStyle w:val="001000000000" w:firstRow="0" w:lastRow="0" w:firstColumn="1" w:lastColumn="0" w:oddVBand="0" w:evenVBand="0" w:oddHBand="0" w:evenHBand="0" w:firstRowFirstColumn="0" w:firstRowLastColumn="0" w:lastRowFirstColumn="0" w:lastRowLastColumn="0"/>
            <w:tcW w:w="1055" w:type="pct"/>
            <w:tcBorders>
              <w:top w:val="single" w:sz="4" w:space="0" w:color="auto"/>
              <w:left w:val="none" w:sz="0" w:space="0" w:color="auto"/>
              <w:bottom w:val="single" w:sz="4" w:space="0" w:color="auto"/>
              <w:right w:val="none" w:sz="0" w:space="0" w:color="auto"/>
              <w:tl2br w:val="none" w:sz="0" w:space="0" w:color="auto"/>
              <w:tr2bl w:val="none" w:sz="0" w:space="0" w:color="auto"/>
            </w:tcBorders>
          </w:tcPr>
          <w:p w14:paraId="1A6E64B9" w14:textId="77777777" w:rsidR="00EF1195" w:rsidRPr="002C1E2B" w:rsidRDefault="00EF1195" w:rsidP="007F5D69">
            <w:pPr>
              <w:pStyle w:val="TableText"/>
              <w:spacing w:before="0" w:after="120"/>
              <w:rPr>
                <w:rFonts w:ascii="Calibri" w:hAnsi="Calibri"/>
                <w:color w:val="000000"/>
              </w:rPr>
            </w:pPr>
            <w:r w:rsidRPr="002C1E2B">
              <w:rPr>
                <w:rFonts w:ascii="Calibri" w:hAnsi="Calibri"/>
                <w:color w:val="000000"/>
              </w:rPr>
              <w:t>October 2016</w:t>
            </w:r>
          </w:p>
        </w:tc>
        <w:tc>
          <w:tcPr>
            <w:tcW w:w="3945" w:type="pct"/>
            <w:tcBorders>
              <w:top w:val="single" w:sz="4" w:space="0" w:color="auto"/>
              <w:bottom w:val="single" w:sz="4" w:space="0" w:color="auto"/>
            </w:tcBorders>
          </w:tcPr>
          <w:p w14:paraId="181ABF69" w14:textId="77777777" w:rsidR="00EF1195" w:rsidRPr="002C1E2B" w:rsidRDefault="00EF1195" w:rsidP="007F5D69">
            <w:pPr>
              <w:pStyle w:val="BodyText"/>
              <w:spacing w:after="120"/>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2C1E2B">
              <w:rPr>
                <w:rFonts w:ascii="Calibri" w:hAnsi="Calibri" w:cs="Arial"/>
                <w:sz w:val="20"/>
                <w:szCs w:val="20"/>
              </w:rPr>
              <w:t>CAV corresponded with industry bodies and resident groups including CALC, RRVV, HAAG, COTAV, LASA and PCA advising that the Regulations would sunset on 31 July 2017 and a RIS was being prepared to remake these regulations and to assess proposed reforms for the formulation of a new aged care rule. Industry bodies and resident groups were invited to provide feedback on the proposed reforms.</w:t>
            </w:r>
          </w:p>
        </w:tc>
      </w:tr>
      <w:tr w:rsidR="00EF1195" w:rsidRPr="002C1E2B" w14:paraId="7663B94B" w14:textId="77777777" w:rsidTr="007F5D69">
        <w:tc>
          <w:tcPr>
            <w:cnfStyle w:val="001000000000" w:firstRow="0" w:lastRow="0" w:firstColumn="1" w:lastColumn="0" w:oddVBand="0" w:evenVBand="0" w:oddHBand="0" w:evenHBand="0" w:firstRowFirstColumn="0" w:firstRowLastColumn="0" w:lastRowFirstColumn="0" w:lastRowLastColumn="0"/>
            <w:tcW w:w="1055" w:type="pct"/>
            <w:tcBorders>
              <w:left w:val="single" w:sz="4" w:space="0" w:color="auto"/>
              <w:bottom w:val="single" w:sz="4" w:space="0" w:color="auto"/>
            </w:tcBorders>
          </w:tcPr>
          <w:p w14:paraId="5DFB0122" w14:textId="77777777" w:rsidR="00EF1195" w:rsidRPr="002C1E2B" w:rsidRDefault="00EF1195" w:rsidP="007F5D69">
            <w:pPr>
              <w:pStyle w:val="TableText"/>
              <w:spacing w:before="0" w:after="120"/>
              <w:rPr>
                <w:rFonts w:ascii="Calibri" w:hAnsi="Calibri"/>
                <w:color w:val="000000"/>
              </w:rPr>
            </w:pPr>
            <w:r w:rsidRPr="002C1E2B">
              <w:rPr>
                <w:rFonts w:ascii="Calibri" w:hAnsi="Calibri"/>
                <w:color w:val="000000"/>
              </w:rPr>
              <w:t>November 2016</w:t>
            </w:r>
          </w:p>
        </w:tc>
        <w:tc>
          <w:tcPr>
            <w:tcW w:w="3945" w:type="pct"/>
            <w:tcBorders>
              <w:bottom w:val="single" w:sz="4" w:space="0" w:color="auto"/>
            </w:tcBorders>
          </w:tcPr>
          <w:p w14:paraId="01676393" w14:textId="77777777" w:rsidR="00EF1195" w:rsidRPr="002C1E2B" w:rsidRDefault="00EF1195" w:rsidP="007F5D69">
            <w:pPr>
              <w:pStyle w:val="BodyText"/>
              <w:spacing w:after="120"/>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2C1E2B">
              <w:rPr>
                <w:rFonts w:ascii="Calibri" w:hAnsi="Calibri" w:cs="Arial"/>
                <w:sz w:val="20"/>
                <w:szCs w:val="20"/>
              </w:rPr>
              <w:t xml:space="preserve">CAV received feedback from CALC, RRVV, HAAG, COTAV and PCA on the proposed reforms. CALC, RRVV, HAAG and COTAV jointly responded to the proposed reforms. </w:t>
            </w:r>
          </w:p>
        </w:tc>
      </w:tr>
      <w:tr w:rsidR="00EF1195" w:rsidRPr="002C1E2B" w14:paraId="79C54D5A" w14:textId="77777777" w:rsidTr="007F5D69">
        <w:tc>
          <w:tcPr>
            <w:cnfStyle w:val="001000000000" w:firstRow="0" w:lastRow="0" w:firstColumn="1" w:lastColumn="0" w:oddVBand="0" w:evenVBand="0" w:oddHBand="0" w:evenHBand="0" w:firstRowFirstColumn="0" w:firstRowLastColumn="0" w:lastRowFirstColumn="0" w:lastRowLastColumn="0"/>
            <w:tcW w:w="1055" w:type="pct"/>
            <w:tcBorders>
              <w:left w:val="none" w:sz="0" w:space="0" w:color="auto"/>
              <w:bottom w:val="single" w:sz="4" w:space="0" w:color="auto"/>
              <w:right w:val="none" w:sz="0" w:space="0" w:color="auto"/>
              <w:tl2br w:val="none" w:sz="0" w:space="0" w:color="auto"/>
              <w:tr2bl w:val="none" w:sz="0" w:space="0" w:color="auto"/>
            </w:tcBorders>
          </w:tcPr>
          <w:p w14:paraId="6AC8699B" w14:textId="77777777" w:rsidR="00EF1195" w:rsidRPr="002C1E2B" w:rsidRDefault="00EF1195" w:rsidP="007F5D69">
            <w:pPr>
              <w:pStyle w:val="TableText"/>
              <w:spacing w:before="0" w:after="120"/>
              <w:rPr>
                <w:rFonts w:ascii="Calibri" w:hAnsi="Calibri"/>
                <w:color w:val="000000"/>
              </w:rPr>
            </w:pPr>
            <w:r w:rsidRPr="002C1E2B">
              <w:rPr>
                <w:rFonts w:ascii="Calibri" w:hAnsi="Calibri"/>
                <w:color w:val="000000"/>
              </w:rPr>
              <w:t>January 2017</w:t>
            </w:r>
          </w:p>
        </w:tc>
        <w:tc>
          <w:tcPr>
            <w:tcW w:w="3945" w:type="pct"/>
            <w:tcBorders>
              <w:bottom w:val="single" w:sz="4" w:space="0" w:color="auto"/>
            </w:tcBorders>
          </w:tcPr>
          <w:p w14:paraId="2588522D" w14:textId="77777777" w:rsidR="00EF1195" w:rsidRPr="002C1E2B" w:rsidRDefault="00EF1195" w:rsidP="007F5D69">
            <w:pPr>
              <w:pStyle w:val="BodyText"/>
              <w:spacing w:after="120"/>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2C1E2B">
              <w:rPr>
                <w:rFonts w:ascii="Calibri" w:hAnsi="Calibri" w:cs="Arial"/>
                <w:sz w:val="20"/>
                <w:szCs w:val="20"/>
              </w:rPr>
              <w:t>NERA consulted with industry bodies and resident groups (PCA, CALC, RRVV, HAAG, COTAV and LASA) to gather feedback on the potential costs and benefits associated with the proposed regulatory options as input to the impact analysis of the RIS.</w:t>
            </w:r>
          </w:p>
        </w:tc>
      </w:tr>
    </w:tbl>
    <w:p w14:paraId="21358110" w14:textId="77777777" w:rsidR="00EF1195" w:rsidRPr="002C1E2B" w:rsidRDefault="00EF1195" w:rsidP="00EF1195">
      <w:pPr>
        <w:spacing w:after="200" w:line="276" w:lineRule="auto"/>
      </w:pPr>
      <w:r w:rsidRPr="002C1E2B">
        <w:br w:type="page"/>
      </w:r>
    </w:p>
    <w:p w14:paraId="1CA516F6" w14:textId="77777777" w:rsidR="00EF1195" w:rsidRPr="002C1E2B" w:rsidRDefault="00EF1195" w:rsidP="00EF1195">
      <w:pPr>
        <w:pStyle w:val="Heading1"/>
        <w:numPr>
          <w:ilvl w:val="0"/>
          <w:numId w:val="1"/>
        </w:numPr>
      </w:pPr>
      <w:bookmarkStart w:id="334" w:name="_Toc476739316"/>
      <w:bookmarkStart w:id="335" w:name="_Toc476585870"/>
      <w:r w:rsidRPr="002C1E2B">
        <w:lastRenderedPageBreak/>
        <w:t>Draft Retirement Villages (Contractual Arrangements) Regulations 2017</w:t>
      </w:r>
      <w:bookmarkEnd w:id="334"/>
      <w:bookmarkEnd w:id="335"/>
    </w:p>
    <w:p w14:paraId="2050E74F" w14:textId="77777777" w:rsidR="007F5D69" w:rsidRPr="002C1E2B" w:rsidRDefault="007F5D69">
      <w:pPr>
        <w:spacing w:after="200" w:line="276" w:lineRule="auto"/>
        <w:rPr>
          <w:rFonts w:asciiTheme="majorHAnsi" w:eastAsiaTheme="majorEastAsia" w:hAnsiTheme="majorHAnsi" w:cstheme="majorBidi"/>
          <w:sz w:val="36"/>
          <w:szCs w:val="36"/>
        </w:rPr>
      </w:pPr>
      <w:r w:rsidRPr="002C1E2B">
        <w:br w:type="page"/>
      </w:r>
    </w:p>
    <w:p w14:paraId="5AC67373" w14:textId="77777777" w:rsidR="004F056C" w:rsidRPr="002C1E2B" w:rsidRDefault="004F056C" w:rsidP="004F056C">
      <w:pPr>
        <w:pStyle w:val="HeadingUNoTOC"/>
        <w:rPr>
          <w:lang w:val="en-AU"/>
        </w:rPr>
      </w:pPr>
      <w:r w:rsidRPr="002C1E2B">
        <w:rPr>
          <w:lang w:val="en-AU"/>
        </w:rPr>
        <w:lastRenderedPageBreak/>
        <w:t>Report qualifications/assumptions and limiting conditions</w:t>
      </w:r>
    </w:p>
    <w:p w14:paraId="0A47F3FF" w14:textId="77777777" w:rsidR="004F056C" w:rsidRPr="002C1E2B" w:rsidRDefault="004F056C" w:rsidP="004F056C">
      <w:r w:rsidRPr="002C1E2B">
        <w:t xml:space="preserve">This report is for the exclusive use of the NERA Economic Consulting client named herein. There are no third party beneficiaries with respect to this report, and NERA Economic Consulting does not accept any liability to any third party.  </w:t>
      </w:r>
    </w:p>
    <w:p w14:paraId="056842B9" w14:textId="77777777" w:rsidR="004F056C" w:rsidRPr="002C1E2B" w:rsidRDefault="004F056C" w:rsidP="004F056C">
      <w:r w:rsidRPr="002C1E2B">
        <w:t>Information furnished by others, upon which all or portions of this report are based, is believed to be reliable but has not been independently verified, unless otherwise expressly indicated. Public information and sector and statistical data are from sources we deem to be reliable; however, we make no representation as to the accuracy or completeness of such information. The findings contained in this report may contain predictions based on current data and historical trends. Any such predictions are subject to inherent risks and uncertainties. NERA Economic Consulting accepts no responsibility for actual results or future events.</w:t>
      </w:r>
    </w:p>
    <w:p w14:paraId="0BD478D2" w14:textId="77777777" w:rsidR="004F056C" w:rsidRPr="002C1E2B" w:rsidRDefault="004F056C" w:rsidP="004F056C">
      <w:r w:rsidRPr="002C1E2B">
        <w:t xml:space="preserve">The opinions expressed in this report are valid only for the purpose stated herein and as of the date of this report. No obligation is assumed to revise this report to reflect changes, events or conditions, which occur subsequent to the date hereof.  </w:t>
      </w:r>
    </w:p>
    <w:p w14:paraId="712BB9F2" w14:textId="77777777" w:rsidR="00136D7F" w:rsidRPr="002C1E2B" w:rsidRDefault="004F056C" w:rsidP="004F056C">
      <w:pPr>
        <w:pStyle w:val="BodyText"/>
        <w:sectPr w:rsidR="00136D7F" w:rsidRPr="002C1E2B" w:rsidSect="00166B4D">
          <w:pgSz w:w="11907" w:h="16839" w:code="1"/>
          <w:pgMar w:top="1915" w:right="1440" w:bottom="1440" w:left="1440" w:header="835" w:footer="202" w:gutter="0"/>
          <w:cols w:space="708"/>
          <w:docGrid w:linePitch="360"/>
        </w:sectPr>
      </w:pPr>
      <w:r w:rsidRPr="002C1E2B">
        <w:t>All decisions in connection with the implementation or use of advice or recommendations contained in this report are the sole responsibility of the client. This report does not represent investment advice nor does it provide an opinion regarding the fairness of any transaction to any and all parties.</w:t>
      </w:r>
    </w:p>
    <w:tbl>
      <w:tblPr>
        <w:tblpPr w:leftFromText="187" w:rightFromText="187" w:vertAnchor="page" w:tblpX="990" w:tblpY="2305"/>
        <w:tblOverlap w:val="never"/>
        <w:tblW w:w="8644" w:type="dxa"/>
        <w:tblBorders>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238"/>
        <w:gridCol w:w="270"/>
        <w:gridCol w:w="4136"/>
      </w:tblGrid>
      <w:tr w:rsidR="00136D7F" w:rsidRPr="002C1E2B" w14:paraId="654B3244" w14:textId="77777777" w:rsidTr="0038555D">
        <w:trPr>
          <w:trHeight w:hRule="exact" w:val="1436"/>
        </w:trPr>
        <w:tc>
          <w:tcPr>
            <w:tcW w:w="4238" w:type="dxa"/>
            <w:tcBorders>
              <w:bottom w:val="nil"/>
              <w:right w:val="nil"/>
            </w:tcBorders>
          </w:tcPr>
          <w:p w14:paraId="358978D1" w14:textId="77777777" w:rsidR="00136D7F" w:rsidRPr="002C1E2B" w:rsidRDefault="00166B4D" w:rsidP="0038555D">
            <w:r w:rsidRPr="002C1E2B">
              <w:rPr>
                <w:noProof/>
                <w:lang w:eastAsia="en-AU"/>
              </w:rPr>
              <w:lastRenderedPageBreak/>
              <w:drawing>
                <wp:anchor distT="0" distB="0" distL="114300" distR="114300" simplePos="0" relativeHeight="251659776" behindDoc="0" locked="0" layoutInCell="1" allowOverlap="1" wp14:anchorId="5E62CC7C" wp14:editId="0F4B9C46">
                  <wp:simplePos x="0" y="0"/>
                  <wp:positionH relativeFrom="column">
                    <wp:posOffset>0</wp:posOffset>
                  </wp:positionH>
                  <wp:positionV relativeFrom="paragraph">
                    <wp:posOffset>182880</wp:posOffset>
                  </wp:positionV>
                  <wp:extent cx="1403286" cy="424370"/>
                  <wp:effectExtent l="0" t="0" r="6985" b="0"/>
                  <wp:wrapNone/>
                  <wp:docPr id="1" name="Picture 1" descr="NER_WSTD_Blu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cstate="print">
                            <a:extLst>
                              <a:ext uri="{28A0092B-C50C-407E-A947-70E740481C1C}">
                                <a14:useLocalDpi xmlns:a14="http://schemas.microsoft.com/office/drawing/2010/main" val="0"/>
                              </a:ext>
                            </a:extLst>
                          </a:blip>
                          <a:stretch>
                            <a:fillRect/>
                          </a:stretch>
                        </pic:blipFill>
                        <pic:spPr>
                          <a:xfrm>
                            <a:off x="0" y="0"/>
                            <a:ext cx="1403286" cy="424370"/>
                          </a:xfrm>
                          <a:prstGeom prst="rect">
                            <a:avLst/>
                          </a:prstGeom>
                        </pic:spPr>
                      </pic:pic>
                    </a:graphicData>
                  </a:graphic>
                  <wp14:sizeRelH relativeFrom="margin">
                    <wp14:pctWidth>0</wp14:pctWidth>
                  </wp14:sizeRelH>
                  <wp14:sizeRelV relativeFrom="margin">
                    <wp14:pctHeight>0</wp14:pctHeight>
                  </wp14:sizeRelV>
                </wp:anchor>
              </w:drawing>
            </w:r>
          </w:p>
        </w:tc>
        <w:tc>
          <w:tcPr>
            <w:tcW w:w="270" w:type="dxa"/>
            <w:tcBorders>
              <w:top w:val="nil"/>
              <w:left w:val="nil"/>
              <w:bottom w:val="nil"/>
              <w:right w:val="nil"/>
            </w:tcBorders>
          </w:tcPr>
          <w:p w14:paraId="75ECC629" w14:textId="77777777" w:rsidR="00136D7F" w:rsidRPr="002C1E2B" w:rsidRDefault="00136D7F" w:rsidP="0038555D">
            <w:pPr>
              <w:pStyle w:val="AddressBlock"/>
            </w:pPr>
          </w:p>
        </w:tc>
        <w:tc>
          <w:tcPr>
            <w:tcW w:w="4136" w:type="dxa"/>
            <w:tcBorders>
              <w:top w:val="nil"/>
              <w:left w:val="nil"/>
              <w:bottom w:val="nil"/>
            </w:tcBorders>
          </w:tcPr>
          <w:p w14:paraId="177B03BD" w14:textId="77777777" w:rsidR="00136D7F" w:rsidRPr="002C1E2B" w:rsidRDefault="00136D7F" w:rsidP="0038555D">
            <w:pPr>
              <w:pStyle w:val="AddressBlock"/>
            </w:pPr>
          </w:p>
        </w:tc>
      </w:tr>
      <w:tr w:rsidR="00136D7F" w:rsidRPr="002C1E2B" w14:paraId="566D6B54" w14:textId="77777777" w:rsidTr="0038555D">
        <w:trPr>
          <w:trHeight w:hRule="exact" w:val="1571"/>
        </w:trPr>
        <w:tc>
          <w:tcPr>
            <w:tcW w:w="4238" w:type="dxa"/>
            <w:tcBorders>
              <w:top w:val="nil"/>
              <w:bottom w:val="nil"/>
              <w:right w:val="nil"/>
            </w:tcBorders>
          </w:tcPr>
          <w:p w14:paraId="10D434EC" w14:textId="77777777" w:rsidR="00136D7F" w:rsidRPr="002C1E2B" w:rsidRDefault="00166B4D" w:rsidP="0038555D">
            <w:pPr>
              <w:pStyle w:val="AddressBlock"/>
            </w:pPr>
            <w:r w:rsidRPr="002C1E2B">
              <w:t>NERA Economic Consulting</w:t>
            </w:r>
            <w:r w:rsidRPr="002C1E2B">
              <w:br/>
              <w:t>727 Collins Street</w:t>
            </w:r>
            <w:r w:rsidRPr="002C1E2B">
              <w:br/>
              <w:t>Melbourne, VIC 3008</w:t>
            </w:r>
            <w:r w:rsidRPr="002C1E2B">
              <w:br/>
              <w:t>Australia</w:t>
            </w:r>
            <w:r w:rsidRPr="002C1E2B">
              <w:br/>
              <w:t>Tel: 61 3 9623 9800  Fax: 61 3 8640 0800</w:t>
            </w:r>
            <w:r w:rsidRPr="002C1E2B">
              <w:br/>
              <w:t>www.nera.com</w:t>
            </w:r>
          </w:p>
        </w:tc>
        <w:tc>
          <w:tcPr>
            <w:tcW w:w="270" w:type="dxa"/>
            <w:tcBorders>
              <w:top w:val="nil"/>
              <w:left w:val="nil"/>
              <w:bottom w:val="nil"/>
              <w:right w:val="nil"/>
            </w:tcBorders>
          </w:tcPr>
          <w:p w14:paraId="37FEE986" w14:textId="77777777" w:rsidR="00136D7F" w:rsidRPr="002C1E2B" w:rsidRDefault="00136D7F" w:rsidP="0038555D">
            <w:pPr>
              <w:pStyle w:val="AddressBlock"/>
            </w:pPr>
          </w:p>
        </w:tc>
        <w:tc>
          <w:tcPr>
            <w:tcW w:w="4136" w:type="dxa"/>
            <w:tcBorders>
              <w:top w:val="nil"/>
              <w:left w:val="nil"/>
              <w:bottom w:val="nil"/>
            </w:tcBorders>
          </w:tcPr>
          <w:p w14:paraId="49517E77" w14:textId="77777777" w:rsidR="00136D7F" w:rsidRPr="002C1E2B" w:rsidRDefault="00136D7F" w:rsidP="0038555D">
            <w:pPr>
              <w:pStyle w:val="AddressBlock"/>
            </w:pPr>
          </w:p>
        </w:tc>
      </w:tr>
      <w:tr w:rsidR="00136D7F" w:rsidRPr="002C1E2B" w14:paraId="375DC26D" w14:textId="77777777" w:rsidTr="0038555D">
        <w:trPr>
          <w:trHeight w:hRule="exact" w:val="1267"/>
        </w:trPr>
        <w:tc>
          <w:tcPr>
            <w:tcW w:w="4238" w:type="dxa"/>
            <w:tcBorders>
              <w:top w:val="nil"/>
              <w:bottom w:val="nil"/>
              <w:right w:val="nil"/>
            </w:tcBorders>
            <w:vAlign w:val="bottom"/>
          </w:tcPr>
          <w:p w14:paraId="3EBB5606" w14:textId="77777777" w:rsidR="00136D7F" w:rsidRPr="002C1E2B" w:rsidRDefault="00136D7F" w:rsidP="0038555D"/>
        </w:tc>
        <w:tc>
          <w:tcPr>
            <w:tcW w:w="270" w:type="dxa"/>
            <w:tcBorders>
              <w:top w:val="nil"/>
              <w:left w:val="nil"/>
              <w:bottom w:val="nil"/>
              <w:right w:val="nil"/>
            </w:tcBorders>
          </w:tcPr>
          <w:p w14:paraId="33DFFC39" w14:textId="77777777" w:rsidR="00136D7F" w:rsidRPr="002C1E2B" w:rsidRDefault="00136D7F" w:rsidP="0038555D">
            <w:pPr>
              <w:pStyle w:val="AddressBlock"/>
            </w:pPr>
          </w:p>
        </w:tc>
        <w:tc>
          <w:tcPr>
            <w:tcW w:w="4136" w:type="dxa"/>
            <w:tcBorders>
              <w:top w:val="nil"/>
              <w:left w:val="nil"/>
              <w:bottom w:val="nil"/>
            </w:tcBorders>
          </w:tcPr>
          <w:p w14:paraId="32DBDA98" w14:textId="77777777" w:rsidR="00136D7F" w:rsidRPr="002C1E2B" w:rsidRDefault="00136D7F" w:rsidP="0038555D">
            <w:pPr>
              <w:pStyle w:val="AddressBlock"/>
            </w:pPr>
          </w:p>
        </w:tc>
      </w:tr>
      <w:tr w:rsidR="00136D7F" w:rsidRPr="002C1E2B" w14:paraId="25BDE307" w14:textId="77777777" w:rsidTr="0038555D">
        <w:trPr>
          <w:trHeight w:hRule="exact" w:val="1267"/>
        </w:trPr>
        <w:tc>
          <w:tcPr>
            <w:tcW w:w="4238" w:type="dxa"/>
            <w:tcBorders>
              <w:top w:val="nil"/>
              <w:bottom w:val="nil"/>
              <w:right w:val="nil"/>
            </w:tcBorders>
            <w:vAlign w:val="bottom"/>
          </w:tcPr>
          <w:p w14:paraId="22F894D5" w14:textId="77777777" w:rsidR="00136D7F" w:rsidRPr="002C1E2B" w:rsidRDefault="00136D7F" w:rsidP="0038555D"/>
        </w:tc>
        <w:tc>
          <w:tcPr>
            <w:tcW w:w="270" w:type="dxa"/>
            <w:tcBorders>
              <w:top w:val="nil"/>
              <w:left w:val="nil"/>
              <w:bottom w:val="nil"/>
              <w:right w:val="nil"/>
            </w:tcBorders>
          </w:tcPr>
          <w:p w14:paraId="357282ED" w14:textId="77777777" w:rsidR="00136D7F" w:rsidRPr="002C1E2B" w:rsidRDefault="00136D7F" w:rsidP="0038555D">
            <w:pPr>
              <w:pStyle w:val="AddressBlock"/>
            </w:pPr>
          </w:p>
        </w:tc>
        <w:tc>
          <w:tcPr>
            <w:tcW w:w="4136" w:type="dxa"/>
            <w:tcBorders>
              <w:top w:val="nil"/>
              <w:left w:val="nil"/>
              <w:bottom w:val="nil"/>
            </w:tcBorders>
          </w:tcPr>
          <w:p w14:paraId="051585E2" w14:textId="77777777" w:rsidR="00136D7F" w:rsidRPr="002C1E2B" w:rsidRDefault="00136D7F" w:rsidP="0038555D">
            <w:pPr>
              <w:pStyle w:val="AddressBlock"/>
            </w:pPr>
          </w:p>
        </w:tc>
      </w:tr>
      <w:tr w:rsidR="00E71835" w:rsidRPr="002C1E2B" w14:paraId="7AC8ED3D" w14:textId="77777777" w:rsidTr="0038555D">
        <w:trPr>
          <w:trHeight w:hRule="exact" w:val="1267"/>
        </w:trPr>
        <w:tc>
          <w:tcPr>
            <w:tcW w:w="4238" w:type="dxa"/>
            <w:tcBorders>
              <w:top w:val="nil"/>
              <w:bottom w:val="nil"/>
              <w:right w:val="nil"/>
            </w:tcBorders>
            <w:vAlign w:val="bottom"/>
          </w:tcPr>
          <w:p w14:paraId="00BB58AA" w14:textId="77777777" w:rsidR="00E71835" w:rsidRPr="002C1E2B" w:rsidRDefault="00E71835" w:rsidP="0038555D"/>
        </w:tc>
        <w:tc>
          <w:tcPr>
            <w:tcW w:w="270" w:type="dxa"/>
            <w:tcBorders>
              <w:top w:val="nil"/>
              <w:left w:val="nil"/>
              <w:bottom w:val="nil"/>
              <w:right w:val="nil"/>
            </w:tcBorders>
          </w:tcPr>
          <w:p w14:paraId="2E45326C" w14:textId="77777777" w:rsidR="00E71835" w:rsidRPr="002C1E2B" w:rsidRDefault="00E71835" w:rsidP="0038555D">
            <w:pPr>
              <w:pStyle w:val="AddressBlock"/>
            </w:pPr>
          </w:p>
        </w:tc>
        <w:tc>
          <w:tcPr>
            <w:tcW w:w="4136" w:type="dxa"/>
            <w:tcBorders>
              <w:top w:val="nil"/>
              <w:left w:val="nil"/>
              <w:bottom w:val="nil"/>
            </w:tcBorders>
          </w:tcPr>
          <w:p w14:paraId="2FAC29B6" w14:textId="77777777" w:rsidR="00E71835" w:rsidRPr="002C1E2B" w:rsidRDefault="00E71835" w:rsidP="0038555D">
            <w:pPr>
              <w:pStyle w:val="AddressBlock"/>
            </w:pPr>
          </w:p>
        </w:tc>
      </w:tr>
      <w:bookmarkEnd w:id="286"/>
    </w:tbl>
    <w:p w14:paraId="0942359C" w14:textId="77777777" w:rsidR="009702E0" w:rsidRPr="002C1E2B" w:rsidRDefault="009702E0" w:rsidP="00136D7F"/>
    <w:sectPr w:rsidR="009702E0" w:rsidRPr="002C1E2B" w:rsidSect="00166B4D">
      <w:headerReference w:type="default" r:id="rId55"/>
      <w:footerReference w:type="default" r:id="rId56"/>
      <w:headerReference w:type="first" r:id="rId57"/>
      <w:footerReference w:type="first" r:id="rId58"/>
      <w:pgSz w:w="11907" w:h="16839" w:code="1"/>
      <w:pgMar w:top="1915" w:right="1440" w:bottom="1440" w:left="1440" w:header="835" w:footer="43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B9ACEE" w14:textId="77777777" w:rsidR="003A6A67" w:rsidRDefault="003A6A67">
      <w:pPr>
        <w:spacing w:after="0"/>
      </w:pPr>
      <w:r>
        <w:separator/>
      </w:r>
    </w:p>
  </w:endnote>
  <w:endnote w:type="continuationSeparator" w:id="0">
    <w:p w14:paraId="351A1B63" w14:textId="77777777" w:rsidR="003A6A67" w:rsidRDefault="003A6A67">
      <w:pPr>
        <w:spacing w:after="0"/>
      </w:pPr>
      <w:r>
        <w:continuationSeparator/>
      </w:r>
    </w:p>
  </w:endnote>
  <w:endnote w:type="continuationNotice" w:id="1">
    <w:p w14:paraId="2B550583" w14:textId="77777777" w:rsidR="003A6A67" w:rsidRDefault="003A6A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D57F6" w14:textId="77777777" w:rsidR="00FB35E2" w:rsidRPr="00D92972" w:rsidRDefault="00FB35E2">
    <w:pPr>
      <w:framePr w:wrap="around" w:vAnchor="text" w:hAnchor="margin" w:xAlign="right" w:y="1"/>
      <w:rPr>
        <w:rStyle w:val="PageNumber"/>
      </w:rPr>
    </w:pPr>
    <w:r w:rsidRPr="00D92972">
      <w:rPr>
        <w:rStyle w:val="PageNumber"/>
      </w:rPr>
      <w:fldChar w:fldCharType="begin"/>
    </w:r>
    <w:r w:rsidRPr="00D92972">
      <w:rPr>
        <w:rStyle w:val="PageNumber"/>
      </w:rPr>
      <w:instrText xml:space="preserve">PAGE  </w:instrText>
    </w:r>
    <w:r w:rsidRPr="00D92972">
      <w:rPr>
        <w:rStyle w:val="PageNumber"/>
      </w:rPr>
      <w:fldChar w:fldCharType="separate"/>
    </w:r>
    <w:r>
      <w:rPr>
        <w:rStyle w:val="PageNumber"/>
        <w:noProof/>
      </w:rPr>
      <w:t>2</w:t>
    </w:r>
    <w:r w:rsidRPr="00D92972">
      <w:rPr>
        <w:rStyle w:val="PageNumber"/>
      </w:rPr>
      <w:fldChar w:fldCharType="end"/>
    </w:r>
  </w:p>
  <w:p w14:paraId="54145CFF" w14:textId="77777777" w:rsidR="00FB35E2" w:rsidRPr="00D92972" w:rsidRDefault="00FB35E2">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Look w:val="01E0" w:firstRow="1" w:lastRow="1" w:firstColumn="1" w:lastColumn="1" w:noHBand="0" w:noVBand="0"/>
    </w:tblPr>
    <w:tblGrid>
      <w:gridCol w:w="9214"/>
    </w:tblGrid>
    <w:tr w:rsidR="00FB35E2" w:rsidRPr="00721026" w14:paraId="150C75B5" w14:textId="77777777">
      <w:trPr>
        <w:trHeight w:hRule="exact" w:val="583"/>
      </w:trPr>
      <w:tc>
        <w:tcPr>
          <w:tcW w:w="9214" w:type="dxa"/>
        </w:tcPr>
        <w:p w14:paraId="61F1D1DA" w14:textId="77777777" w:rsidR="00FB35E2" w:rsidRPr="00D92972" w:rsidRDefault="00FB35E2" w:rsidP="0038555D">
          <w:pPr>
            <w:pStyle w:val="Logo"/>
            <w:jc w:val="right"/>
          </w:pPr>
        </w:p>
      </w:tc>
    </w:tr>
  </w:tbl>
  <w:p w14:paraId="1A0C6E9B" w14:textId="77777777" w:rsidR="00FB35E2" w:rsidRPr="00D92972" w:rsidRDefault="00FB35E2" w:rsidP="0038555D">
    <w:pP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AB2DA" w14:textId="77777777" w:rsidR="00FB35E2" w:rsidRDefault="00FB35E2" w:rsidP="00C544C9">
    <w:pPr>
      <w:pStyle w:val="ClientNameCrossRef"/>
      <w:rPr>
        <w:lang w:val="en-US"/>
      </w:rPr>
    </w:pPr>
    <w:r w:rsidRPr="00DE54AB">
      <w:rPr>
        <w:rStyle w:val="PageNumber"/>
        <w:lang w:val="en-US"/>
      </w:rPr>
      <w:fldChar w:fldCharType="begin"/>
    </w:r>
    <w:r w:rsidRPr="00DE54AB">
      <w:rPr>
        <w:rStyle w:val="PageNumber"/>
        <w:lang w:val="en-US"/>
      </w:rPr>
      <w:instrText xml:space="preserve"> PAGE   \* MERGEFORMAT </w:instrText>
    </w:r>
    <w:r w:rsidRPr="00DE54AB">
      <w:rPr>
        <w:rStyle w:val="PageNumber"/>
        <w:lang w:val="en-US"/>
      </w:rPr>
      <w:fldChar w:fldCharType="separate"/>
    </w:r>
    <w:r>
      <w:rPr>
        <w:rStyle w:val="PageNumber"/>
        <w:noProof/>
        <w:lang w:val="en-US"/>
      </w:rPr>
      <w:t>i</w:t>
    </w:r>
    <w:r w:rsidRPr="00DE54AB">
      <w:rPr>
        <w:rStyle w:val="PageNumber"/>
        <w:lang w:val="en-US"/>
      </w:rPr>
      <w:fldChar w:fldCharType="end"/>
    </w:r>
    <w:r w:rsidRPr="00DE54AB">
      <w:rPr>
        <w:lang w:val="en-US"/>
      </w:rPr>
      <w:ptab w:relativeTo="margin" w:alignment="center" w:leader="none"/>
    </w:r>
    <w:r w:rsidRPr="00DE54AB">
      <w:rPr>
        <w:lang w:val="en-US"/>
      </w:rPr>
      <w:ptab w:relativeTo="margin" w:alignment="right" w:leader="none"/>
    </w:r>
    <w:r>
      <w:t>NERA Economic Consulting</w:t>
    </w:r>
  </w:p>
  <w:p w14:paraId="2D2C51F4" w14:textId="77777777" w:rsidR="00FB35E2" w:rsidRPr="00171357" w:rsidRDefault="00FB35E2" w:rsidP="00C06BE4">
    <w:pPr>
      <w:pStyle w:val="DocNum"/>
      <w:jc w:val="right"/>
      <w:rPr>
        <w:rFonts w:ascii="Times New Roman" w:hAnsi="Times New Roman"/>
        <w:sz w:val="20"/>
      </w:rPr>
    </w:pPr>
    <w:r>
      <w:fldChar w:fldCharType="begin"/>
    </w:r>
    <w:r>
      <w:instrText xml:space="preserve"> DOCVARIABLE "DocNum" </w:instrText>
    </w:r>
    <w:r>
      <w:fldChar w:fldCharType="separate"/>
    </w:r>
    <w:r w:rsidR="00BE6CE4">
      <w:t xml:space="preserve"> </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5C0DC" w14:textId="77777777" w:rsidR="00FB35E2" w:rsidRDefault="00FB35E2" w:rsidP="006B0710">
    <w:pPr>
      <w:pStyle w:val="ClientNameCrossRef"/>
      <w:rPr>
        <w:rStyle w:val="PageNumber"/>
        <w:lang w:val="en-US"/>
      </w:rPr>
    </w:pPr>
    <w:r>
      <w:t>NERA Economic Consulting</w:t>
    </w:r>
    <w:r w:rsidRPr="00DE54AB">
      <w:rPr>
        <w:lang w:val="en-US"/>
      </w:rPr>
      <w:ptab w:relativeTo="margin" w:alignment="center" w:leader="none"/>
    </w:r>
    <w:r w:rsidRPr="00DE54AB">
      <w:rPr>
        <w:lang w:val="en-US"/>
      </w:rPr>
      <w:ptab w:relativeTo="margin" w:alignment="right" w:leader="none"/>
    </w:r>
    <w:r w:rsidRPr="00DE54AB">
      <w:rPr>
        <w:rStyle w:val="PageNumber"/>
        <w:lang w:val="en-US"/>
      </w:rPr>
      <w:fldChar w:fldCharType="begin"/>
    </w:r>
    <w:r w:rsidRPr="00DE54AB">
      <w:rPr>
        <w:rStyle w:val="PageNumber"/>
        <w:lang w:val="en-US"/>
      </w:rPr>
      <w:instrText xml:space="preserve"> PAGE   \* MERGEFORMAT </w:instrText>
    </w:r>
    <w:r w:rsidRPr="00DE54AB">
      <w:rPr>
        <w:rStyle w:val="PageNumber"/>
        <w:lang w:val="en-US"/>
      </w:rPr>
      <w:fldChar w:fldCharType="separate"/>
    </w:r>
    <w:r w:rsidR="00BE6CE4">
      <w:rPr>
        <w:rStyle w:val="PageNumber"/>
        <w:noProof/>
        <w:lang w:val="en-US"/>
      </w:rPr>
      <w:t>xiii</w:t>
    </w:r>
    <w:r w:rsidRPr="00DE54AB">
      <w:rPr>
        <w:rStyle w:val="PageNumber"/>
        <w:lang w:val="en-US"/>
      </w:rPr>
      <w:fldChar w:fldCharType="end"/>
    </w:r>
  </w:p>
  <w:p w14:paraId="5C649728" w14:textId="77777777" w:rsidR="00FB35E2" w:rsidRPr="00171357" w:rsidRDefault="00FB35E2" w:rsidP="00D70380">
    <w:pPr>
      <w:pStyle w:val="DocNum"/>
    </w:pPr>
    <w:r>
      <w:fldChar w:fldCharType="begin"/>
    </w:r>
    <w:r>
      <w:instrText xml:space="preserve"> DOCVARIABLE "DocNum" </w:instrText>
    </w:r>
    <w:r>
      <w:fldChar w:fldCharType="separate"/>
    </w:r>
    <w:r w:rsidR="00BE6CE4">
      <w:t xml:space="preserve">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DA6AB" w14:textId="77777777" w:rsidR="00FB35E2" w:rsidRDefault="00FB35E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FB596" w14:textId="77777777" w:rsidR="00FB35E2" w:rsidRDefault="00FB35E2" w:rsidP="006B0710">
    <w:pPr>
      <w:pStyle w:val="ClientNameCrossRef"/>
      <w:rPr>
        <w:rStyle w:val="PageNumber"/>
        <w:lang w:val="en-US"/>
      </w:rPr>
    </w:pPr>
    <w:r>
      <w:t>NERA Economic Consulting</w:t>
    </w:r>
    <w:r w:rsidRPr="00DE54AB">
      <w:rPr>
        <w:lang w:val="en-US"/>
      </w:rPr>
      <w:ptab w:relativeTo="margin" w:alignment="center" w:leader="none"/>
    </w:r>
    <w:r w:rsidRPr="00DE54AB">
      <w:rPr>
        <w:lang w:val="en-US"/>
      </w:rPr>
      <w:ptab w:relativeTo="margin" w:alignment="right" w:leader="none"/>
    </w:r>
    <w:r w:rsidRPr="00DE54AB">
      <w:rPr>
        <w:rStyle w:val="PageNumber"/>
        <w:lang w:val="en-US"/>
      </w:rPr>
      <w:fldChar w:fldCharType="begin"/>
    </w:r>
    <w:r w:rsidRPr="00DE54AB">
      <w:rPr>
        <w:rStyle w:val="PageNumber"/>
        <w:lang w:val="en-US"/>
      </w:rPr>
      <w:instrText xml:space="preserve"> PAGE   \* MERGEFORMAT </w:instrText>
    </w:r>
    <w:r w:rsidRPr="00DE54AB">
      <w:rPr>
        <w:rStyle w:val="PageNumber"/>
        <w:lang w:val="en-US"/>
      </w:rPr>
      <w:fldChar w:fldCharType="separate"/>
    </w:r>
    <w:r w:rsidR="00BE6CE4">
      <w:rPr>
        <w:rStyle w:val="PageNumber"/>
        <w:noProof/>
        <w:lang w:val="en-US"/>
      </w:rPr>
      <w:t>9</w:t>
    </w:r>
    <w:r w:rsidRPr="00DE54AB">
      <w:rPr>
        <w:rStyle w:val="PageNumber"/>
        <w:lang w:val="en-US"/>
      </w:rPr>
      <w:fldChar w:fldCharType="end"/>
    </w:r>
  </w:p>
  <w:p w14:paraId="47861AE0" w14:textId="77777777" w:rsidR="00FB35E2" w:rsidRPr="00171357" w:rsidRDefault="00FB35E2" w:rsidP="00D70380">
    <w:pPr>
      <w:pStyle w:val="DocNum"/>
    </w:pPr>
    <w:r>
      <w:fldChar w:fldCharType="begin"/>
    </w:r>
    <w:r>
      <w:instrText xml:space="preserve"> DOCVARIABLE "DocNum" </w:instrText>
    </w:r>
    <w:r>
      <w:fldChar w:fldCharType="separate"/>
    </w:r>
    <w:r w:rsidR="00BE6CE4">
      <w:t xml:space="preserve"> </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49"/>
      <w:gridCol w:w="2565"/>
    </w:tblGrid>
    <w:tr w:rsidR="00FB35E2" w:rsidRPr="00AC305B" w14:paraId="2E307B52" w14:textId="77777777" w:rsidTr="00825F43">
      <w:trPr>
        <w:cantSplit/>
        <w:trHeight w:val="590"/>
      </w:trPr>
      <w:tc>
        <w:tcPr>
          <w:tcW w:w="6649" w:type="dxa"/>
          <w:tcBorders>
            <w:top w:val="nil"/>
            <w:left w:val="nil"/>
            <w:bottom w:val="nil"/>
            <w:right w:val="nil"/>
          </w:tcBorders>
          <w:tcMar>
            <w:right w:w="144" w:type="dxa"/>
          </w:tcMar>
          <w:vAlign w:val="bottom"/>
        </w:tcPr>
        <w:p w14:paraId="2767462A" w14:textId="77777777" w:rsidR="00FB35E2" w:rsidRPr="00AC305B" w:rsidRDefault="00FB35E2" w:rsidP="0038555D">
          <w:pPr>
            <w:pStyle w:val="Legalcopy"/>
            <w:framePr w:hSpace="0" w:vSpace="0" w:wrap="auto" w:yAlign="inline"/>
            <w:rPr>
              <w:sz w:val="16"/>
              <w:szCs w:val="16"/>
            </w:rPr>
          </w:pPr>
          <w:r>
            <w:rPr>
              <w:sz w:val="16"/>
              <w:szCs w:val="16"/>
              <w:lang w:val="en-US"/>
            </w:rPr>
            <w:t>NERA Australia Pty Ltd, ABN 34 092 959 665</w:t>
          </w:r>
        </w:p>
      </w:tc>
      <w:tc>
        <w:tcPr>
          <w:tcW w:w="2565" w:type="dxa"/>
          <w:tcBorders>
            <w:top w:val="nil"/>
            <w:left w:val="nil"/>
            <w:bottom w:val="nil"/>
            <w:right w:val="nil"/>
          </w:tcBorders>
          <w:vAlign w:val="bottom"/>
        </w:tcPr>
        <w:p w14:paraId="3FFB7E7E" w14:textId="77777777" w:rsidR="00FB35E2" w:rsidRPr="00AC305B" w:rsidRDefault="00FB35E2" w:rsidP="0038555D">
          <w:pPr>
            <w:pStyle w:val="Legalcopy"/>
            <w:framePr w:hSpace="0" w:vSpace="0" w:wrap="auto" w:yAlign="inline"/>
            <w:rPr>
              <w:sz w:val="16"/>
              <w:szCs w:val="16"/>
            </w:rPr>
          </w:pPr>
        </w:p>
      </w:tc>
    </w:tr>
  </w:tbl>
  <w:p w14:paraId="14F7C093" w14:textId="77777777" w:rsidR="00FB35E2" w:rsidRDefault="00FB35E2"/>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B4B35" w14:textId="77777777" w:rsidR="00FB35E2" w:rsidRPr="00DE54AB" w:rsidRDefault="00FB35E2" w:rsidP="0038555D">
    <w:pPr>
      <w:spacing w:before="360" w:after="64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B4E6B1" w14:textId="77777777" w:rsidR="003A6A67" w:rsidRDefault="003A6A67" w:rsidP="00FC014B">
      <w:r>
        <w:separator/>
      </w:r>
    </w:p>
  </w:footnote>
  <w:footnote w:type="continuationSeparator" w:id="0">
    <w:p w14:paraId="59004F85" w14:textId="77777777" w:rsidR="003A6A67" w:rsidRDefault="003A6A67" w:rsidP="00FC014B">
      <w:r>
        <w:continuationSeparator/>
      </w:r>
    </w:p>
  </w:footnote>
  <w:footnote w:type="continuationNotice" w:id="1">
    <w:p w14:paraId="6452D020" w14:textId="77777777" w:rsidR="003A6A67" w:rsidRDefault="003A6A67">
      <w:pPr>
        <w:spacing w:after="0"/>
      </w:pPr>
    </w:p>
  </w:footnote>
  <w:footnote w:id="2">
    <w:p w14:paraId="4C0F67E1" w14:textId="77777777" w:rsidR="00FB35E2" w:rsidRPr="006E6843" w:rsidRDefault="00FB35E2" w:rsidP="00610577">
      <w:pPr>
        <w:pStyle w:val="FootnoteText"/>
      </w:pPr>
      <w:r>
        <w:rPr>
          <w:rStyle w:val="FootnoteReference"/>
        </w:rPr>
        <w:footnoteRef/>
      </w:r>
      <w:r>
        <w:t xml:space="preserve"> These financial impacts are an average between 2018 and 2037 (the period of analysis).</w:t>
      </w:r>
    </w:p>
  </w:footnote>
  <w:footnote w:id="3">
    <w:p w14:paraId="06110426" w14:textId="77777777" w:rsidR="00FB35E2" w:rsidRPr="005D68E2" w:rsidRDefault="00FB35E2" w:rsidP="003D236D">
      <w:pPr>
        <w:pStyle w:val="FootnoteText"/>
      </w:pPr>
      <w:r>
        <w:rPr>
          <w:rStyle w:val="FootnoteReference"/>
        </w:rPr>
        <w:footnoteRef/>
      </w:r>
      <w:r>
        <w:t xml:space="preserve"> </w:t>
      </w:r>
      <w:r w:rsidRPr="00792DDB">
        <w:t xml:space="preserve">In </w:t>
      </w:r>
      <w:r>
        <w:t>December 2015</w:t>
      </w:r>
      <w:r w:rsidRPr="00792DDB">
        <w:t xml:space="preserve">, it was found that </w:t>
      </w:r>
      <w:r>
        <w:t xml:space="preserve">between 80 per cent and 90 per cent of Australian retirement villages offer </w:t>
      </w:r>
      <w:proofErr w:type="gramStart"/>
      <w:r>
        <w:t>either  leasehold</w:t>
      </w:r>
      <w:proofErr w:type="gramEnd"/>
      <w:r>
        <w:t xml:space="preserve"> or loan licence (equivalent to a leasehold in Victoria) tenure</w:t>
      </w:r>
      <w:r w:rsidRPr="00792DDB">
        <w:t>. Source</w:t>
      </w:r>
      <w:r>
        <w:t xml:space="preserve">: </w:t>
      </w:r>
      <w:r>
        <w:rPr>
          <w:color w:val="000000"/>
        </w:rPr>
        <w:t xml:space="preserve">Productivity Commission 2015, </w:t>
      </w:r>
      <w:r>
        <w:rPr>
          <w:i/>
          <w:iCs/>
          <w:color w:val="000000"/>
        </w:rPr>
        <w:t>Housing Decisions of Older Australians</w:t>
      </w:r>
      <w:r>
        <w:rPr>
          <w:iCs/>
          <w:color w:val="000000"/>
        </w:rPr>
        <w:t>, Commission Research Paper, Canberra.</w:t>
      </w:r>
    </w:p>
  </w:footnote>
  <w:footnote w:id="4">
    <w:p w14:paraId="55D8DE60" w14:textId="77777777" w:rsidR="00FB35E2" w:rsidRPr="004E2D1C" w:rsidRDefault="00FB35E2" w:rsidP="00AC3672">
      <w:pPr>
        <w:pStyle w:val="FootnoteText"/>
        <w:rPr>
          <w:color w:val="FF0000"/>
        </w:rPr>
      </w:pPr>
      <w:r w:rsidRPr="00B22210">
        <w:rPr>
          <w:rStyle w:val="FootnoteReference"/>
        </w:rPr>
        <w:footnoteRef/>
      </w:r>
      <w:r w:rsidRPr="00B22210">
        <w:t xml:space="preserve"> The average in-</w:t>
      </w:r>
      <w:r>
        <w:t>going</w:t>
      </w:r>
      <w:r w:rsidRPr="00B22210">
        <w:t xml:space="preserve"> contribution in 2016 was estimated to be $398,000 (based on a two-bedroom independent living unit). Source: </w:t>
      </w:r>
      <w:r w:rsidRPr="006A4835">
        <w:t xml:space="preserve">PricewaterhouseCoopers (on behalf of the </w:t>
      </w:r>
      <w:r>
        <w:t xml:space="preserve">Property Council of Australia), </w:t>
      </w:r>
      <w:r w:rsidRPr="006A4835">
        <w:rPr>
          <w:i/>
        </w:rPr>
        <w:t>Retirement Census 2016</w:t>
      </w:r>
      <w:r>
        <w:rPr>
          <w:i/>
        </w:rPr>
        <w:t xml:space="preserve"> (abstract).</w:t>
      </w:r>
    </w:p>
  </w:footnote>
  <w:footnote w:id="5">
    <w:p w14:paraId="7BD7E808" w14:textId="77777777" w:rsidR="00FB35E2" w:rsidRPr="005803A0" w:rsidRDefault="00FB35E2" w:rsidP="00614FDF">
      <w:pPr>
        <w:pStyle w:val="FootnoteText"/>
      </w:pPr>
      <w:r>
        <w:rPr>
          <w:rStyle w:val="FootnoteReference"/>
        </w:rPr>
        <w:footnoteRef/>
      </w:r>
      <w:r>
        <w:t xml:space="preserve"> Note that regulations 1 to 4 refer to the definitions and objectives.</w:t>
      </w:r>
    </w:p>
  </w:footnote>
  <w:footnote w:id="6">
    <w:p w14:paraId="24ED6EF9" w14:textId="77777777" w:rsidR="00FB35E2" w:rsidRPr="00414008" w:rsidRDefault="00FB35E2" w:rsidP="003D236D">
      <w:pPr>
        <w:pStyle w:val="FootnoteText"/>
        <w:rPr>
          <w:lang w:val="en-US"/>
        </w:rPr>
      </w:pPr>
      <w:r>
        <w:rPr>
          <w:rStyle w:val="FootnoteReference"/>
        </w:rPr>
        <w:footnoteRef/>
      </w:r>
      <w:r>
        <w:t xml:space="preserve"> </w:t>
      </w:r>
      <w:r w:rsidRPr="00414008">
        <w:t xml:space="preserve">The DAP is calculated on an equivalent basis of the provider’s RAD – using a prescribed formula and </w:t>
      </w:r>
      <w:r>
        <w:t>the</w:t>
      </w:r>
      <w:r w:rsidRPr="00414008">
        <w:t xml:space="preserve"> maximum interest rate (MPIR)</w:t>
      </w:r>
      <w:r>
        <w:t>, currently equal to</w:t>
      </w:r>
      <w:r w:rsidRPr="00414008">
        <w:t xml:space="preserve"> </w:t>
      </w:r>
      <w:r>
        <w:t>5.76</w:t>
      </w:r>
      <w:r w:rsidRPr="00414008">
        <w:t xml:space="preserve"> per cent per annum.</w:t>
      </w:r>
    </w:p>
  </w:footnote>
  <w:footnote w:id="7">
    <w:p w14:paraId="43C707DF" w14:textId="77777777" w:rsidR="00FB35E2" w:rsidRPr="003914A4" w:rsidRDefault="00FB35E2" w:rsidP="00865309">
      <w:pPr>
        <w:pStyle w:val="FootnoteText"/>
        <w:rPr>
          <w:lang w:val="en-US"/>
        </w:rPr>
      </w:pPr>
      <w:r>
        <w:rPr>
          <w:rStyle w:val="FootnoteReference"/>
        </w:rPr>
        <w:footnoteRef/>
      </w:r>
      <w:r>
        <w:t xml:space="preserve"> </w:t>
      </w:r>
      <w:r>
        <w:rPr>
          <w:lang w:val="en-US"/>
        </w:rPr>
        <w:t xml:space="preserve">Property Council of Australia 2016, </w:t>
      </w:r>
      <w:r w:rsidRPr="00792DDB">
        <w:rPr>
          <w:i/>
          <w:lang w:val="en-US"/>
        </w:rPr>
        <w:t>Submission to the Parliamentary Inquiry into the Retirement Housing Sector</w:t>
      </w:r>
      <w:r>
        <w:rPr>
          <w:lang w:val="en-US"/>
        </w:rPr>
        <w:t xml:space="preserve">, </w:t>
      </w:r>
      <w:r w:rsidRPr="0091571A">
        <w:t>Legislative Council Standing Committee on Legal and Social Issues</w:t>
      </w:r>
      <w:r>
        <w:t>, Victoria</w:t>
      </w:r>
      <w:r>
        <w:rPr>
          <w:lang w:val="en-US"/>
        </w:rPr>
        <w:t xml:space="preserve"> </w:t>
      </w:r>
    </w:p>
  </w:footnote>
  <w:footnote w:id="8">
    <w:p w14:paraId="4585BF71" w14:textId="77777777" w:rsidR="00FB35E2" w:rsidRPr="000670B1" w:rsidRDefault="00FB35E2" w:rsidP="003D236D">
      <w:pPr>
        <w:pStyle w:val="FootnoteText"/>
      </w:pPr>
      <w:r>
        <w:rPr>
          <w:rStyle w:val="FootnoteReference"/>
        </w:rPr>
        <w:footnoteRef/>
      </w:r>
      <w:r>
        <w:t xml:space="preserve"> </w:t>
      </w:r>
      <w:r w:rsidRPr="006A4835">
        <w:t xml:space="preserve">PricewaterhouseCoopers (on behalf of the </w:t>
      </w:r>
      <w:r>
        <w:t xml:space="preserve">Property Council of Australia), </w:t>
      </w:r>
      <w:r w:rsidRPr="006A4835">
        <w:rPr>
          <w:i/>
        </w:rPr>
        <w:t>Retirement Census 2016</w:t>
      </w:r>
      <w:r>
        <w:rPr>
          <w:i/>
        </w:rPr>
        <w:t xml:space="preserve"> (abstract),</w:t>
      </w:r>
      <w:r w:rsidRPr="000C252F">
        <w:rPr>
          <w:i/>
        </w:rPr>
        <w:t xml:space="preserve"> </w:t>
      </w:r>
      <w:r w:rsidRPr="006A4835">
        <w:rPr>
          <w:i/>
        </w:rPr>
        <w:t>Retirement Census 201</w:t>
      </w:r>
      <w:r>
        <w:rPr>
          <w:i/>
        </w:rPr>
        <w:t>5 (abstract),</w:t>
      </w:r>
      <w:r w:rsidRPr="000C252F">
        <w:rPr>
          <w:i/>
        </w:rPr>
        <w:t xml:space="preserve"> </w:t>
      </w:r>
      <w:r>
        <w:rPr>
          <w:i/>
        </w:rPr>
        <w:t>Retirement Census 2014 (abstract)</w:t>
      </w:r>
    </w:p>
  </w:footnote>
  <w:footnote w:id="9">
    <w:p w14:paraId="370E2C31" w14:textId="77777777" w:rsidR="00FB35E2" w:rsidRPr="000670B1" w:rsidRDefault="00FB35E2" w:rsidP="003D236D">
      <w:pPr>
        <w:pStyle w:val="FootnoteText"/>
        <w:ind w:left="90" w:hanging="90"/>
      </w:pPr>
      <w:r>
        <w:rPr>
          <w:rStyle w:val="FootnoteReference"/>
        </w:rPr>
        <w:footnoteRef/>
      </w:r>
      <w:r>
        <w:t xml:space="preserve"> The average current tenure describes the average length of time that residents surveyed have stayed in a retirement village including both new and old residents. The average total tenure describes the average length of time from entry to exit that residents stay in retirement villages. Source: </w:t>
      </w:r>
      <w:r w:rsidRPr="006A4835">
        <w:t xml:space="preserve">PricewaterhouseCoopers (on behalf of the </w:t>
      </w:r>
      <w:r>
        <w:t xml:space="preserve">Property Council of Australia), </w:t>
      </w:r>
      <w:r w:rsidRPr="006A4835">
        <w:rPr>
          <w:i/>
        </w:rPr>
        <w:t>Retirement Census 2016</w:t>
      </w:r>
      <w:r>
        <w:rPr>
          <w:i/>
        </w:rPr>
        <w:t xml:space="preserve"> (abstract)</w:t>
      </w:r>
    </w:p>
  </w:footnote>
  <w:footnote w:id="10">
    <w:p w14:paraId="35C21AFC" w14:textId="77777777" w:rsidR="00FB35E2" w:rsidRPr="00866669" w:rsidRDefault="00FB35E2" w:rsidP="003D236D">
      <w:pPr>
        <w:pStyle w:val="FootnoteText"/>
        <w:rPr>
          <w:i/>
        </w:rPr>
      </w:pPr>
      <w:r>
        <w:rPr>
          <w:rStyle w:val="FootnoteReference"/>
        </w:rPr>
        <w:footnoteRef/>
      </w:r>
      <w:r>
        <w:t xml:space="preserve"> Grant Thornton, Property Council of Australia and the Retirement Living Council 2014, </w:t>
      </w:r>
      <w:r w:rsidRPr="00866669">
        <w:rPr>
          <w:i/>
        </w:rPr>
        <w:t xml:space="preserve">The effect of the Victorian Aged Care Rule on the retirement village sector  </w:t>
      </w:r>
    </w:p>
  </w:footnote>
  <w:footnote w:id="11">
    <w:p w14:paraId="7291FE73" w14:textId="77777777" w:rsidR="00FB35E2" w:rsidRPr="007A490B" w:rsidRDefault="00FB35E2">
      <w:pPr>
        <w:pStyle w:val="FootnoteText"/>
        <w:rPr>
          <w:lang w:val="en-US"/>
        </w:rPr>
      </w:pPr>
      <w:r>
        <w:rPr>
          <w:rStyle w:val="FootnoteReference"/>
        </w:rPr>
        <w:footnoteRef/>
      </w:r>
      <w:r>
        <w:t xml:space="preserve"> </w:t>
      </w:r>
      <w:r w:rsidRPr="006A4835">
        <w:t>PricewaterhouseCoopers (on behalf of the Property Council of Australia)</w:t>
      </w:r>
      <w:r>
        <w:t xml:space="preserve"> </w:t>
      </w:r>
      <w:r w:rsidRPr="006A4835">
        <w:t xml:space="preserve">2016, </w:t>
      </w:r>
      <w:r w:rsidRPr="006A4835">
        <w:rPr>
          <w:i/>
        </w:rPr>
        <w:t>Retirement Census 2016</w:t>
      </w:r>
      <w:r>
        <w:rPr>
          <w:i/>
        </w:rPr>
        <w:t xml:space="preserve"> (abstract).</w:t>
      </w:r>
    </w:p>
  </w:footnote>
  <w:footnote w:id="12">
    <w:p w14:paraId="65DB77DD" w14:textId="77777777" w:rsidR="00FB35E2" w:rsidRPr="008E2736" w:rsidRDefault="00FB35E2" w:rsidP="003D236D">
      <w:pPr>
        <w:pStyle w:val="FootnoteText"/>
      </w:pPr>
      <w:r>
        <w:rPr>
          <w:rStyle w:val="FootnoteReference"/>
        </w:rPr>
        <w:footnoteRef/>
      </w:r>
      <w:r>
        <w:t xml:space="preserve"> Australian Bureau of Statistics, </w:t>
      </w:r>
      <w:r w:rsidRPr="008E2736">
        <w:t>Quarterly Population Estimates (ERP), by State/Territory, Sex and Age</w:t>
      </w:r>
      <w:r>
        <w:t xml:space="preserve">, cat. </w:t>
      </w:r>
      <w:proofErr w:type="gramStart"/>
      <w:r>
        <w:t>no</w:t>
      </w:r>
      <w:proofErr w:type="gramEnd"/>
      <w:r>
        <w:t>. 3101.0.</w:t>
      </w:r>
    </w:p>
  </w:footnote>
  <w:footnote w:id="13">
    <w:p w14:paraId="2F923D51" w14:textId="77777777" w:rsidR="00FB35E2" w:rsidRPr="008C53FD" w:rsidRDefault="00FB35E2" w:rsidP="003D236D">
      <w:pPr>
        <w:pStyle w:val="FootnoteText"/>
        <w:rPr>
          <w:lang w:val="en-US"/>
        </w:rPr>
      </w:pPr>
      <w:r>
        <w:rPr>
          <w:rStyle w:val="FootnoteReference"/>
        </w:rPr>
        <w:footnoteRef/>
      </w:r>
      <w:r>
        <w:t xml:space="preserve"> </w:t>
      </w:r>
      <w:r w:rsidRPr="006A4835">
        <w:t>PricewaterhouseCoopers (on behalf of the Property Council of Australia)</w:t>
      </w:r>
      <w:r>
        <w:t xml:space="preserve"> </w:t>
      </w:r>
      <w:r w:rsidRPr="006A4835">
        <w:t xml:space="preserve">2016, </w:t>
      </w:r>
      <w:r w:rsidRPr="006A4835">
        <w:rPr>
          <w:i/>
        </w:rPr>
        <w:t>Retirement Census 2016</w:t>
      </w:r>
      <w:r>
        <w:rPr>
          <w:i/>
        </w:rPr>
        <w:t xml:space="preserve"> (abstract).</w:t>
      </w:r>
    </w:p>
  </w:footnote>
  <w:footnote w:id="14">
    <w:p w14:paraId="184712B6" w14:textId="77777777" w:rsidR="00FB35E2" w:rsidRPr="00D6489C" w:rsidRDefault="00FB35E2" w:rsidP="003D236D">
      <w:pPr>
        <w:pStyle w:val="FootnoteText"/>
        <w:rPr>
          <w:lang w:val="en-US"/>
        </w:rPr>
      </w:pPr>
      <w:r>
        <w:rPr>
          <w:rStyle w:val="FootnoteReference"/>
        </w:rPr>
        <w:footnoteRef/>
      </w:r>
      <w:r>
        <w:t xml:space="preserve"> National Ageing Research Institute (NARI) 2016, </w:t>
      </w:r>
      <w:r w:rsidRPr="00D57D67">
        <w:rPr>
          <w:i/>
        </w:rPr>
        <w:t>Retirement Village Residents’ Experiences of Contracts and Outcomes: Pilot Project, Synopsis of Results</w:t>
      </w:r>
      <w:r>
        <w:t>, page 15.</w:t>
      </w:r>
    </w:p>
  </w:footnote>
  <w:footnote w:id="15">
    <w:p w14:paraId="79A59220" w14:textId="77777777" w:rsidR="00FB35E2" w:rsidRPr="0091571A" w:rsidRDefault="00FB35E2">
      <w:pPr>
        <w:pStyle w:val="FootnoteText"/>
      </w:pPr>
      <w:r>
        <w:rPr>
          <w:rStyle w:val="FootnoteReference"/>
        </w:rPr>
        <w:footnoteRef/>
      </w:r>
      <w:r>
        <w:t xml:space="preserve"> CAV, </w:t>
      </w:r>
      <w:r w:rsidRPr="00EB1DAB">
        <w:rPr>
          <w:i/>
        </w:rPr>
        <w:t>Public register of retirement villages</w:t>
      </w:r>
      <w:r>
        <w:t xml:space="preserve">, viewed January 2017, &lt; </w:t>
      </w:r>
      <w:r w:rsidRPr="00EB1DAB">
        <w:t>https://www.consumer.vic.gov.au/housing-and-accommodation/retirement-villages/choosing-a-retirement-village/public-register-of-retirement-villages</w:t>
      </w:r>
      <w:r>
        <w:t>&gt;, accessed February 2016</w:t>
      </w:r>
    </w:p>
  </w:footnote>
  <w:footnote w:id="16">
    <w:p w14:paraId="5FE3D6CD" w14:textId="77777777" w:rsidR="00FB35E2" w:rsidRPr="0091571A" w:rsidRDefault="00FB35E2">
      <w:pPr>
        <w:pStyle w:val="FootnoteText"/>
      </w:pPr>
      <w:r>
        <w:rPr>
          <w:rStyle w:val="FootnoteReference"/>
        </w:rPr>
        <w:footnoteRef/>
      </w:r>
      <w:r>
        <w:t xml:space="preserve"> </w:t>
      </w:r>
      <w:r w:rsidRPr="0091571A">
        <w:t>R</w:t>
      </w:r>
      <w:r>
        <w:t>esidents of Retirement Villages Victoria</w:t>
      </w:r>
      <w:r w:rsidRPr="0091571A">
        <w:t xml:space="preserve"> 2016, </w:t>
      </w:r>
      <w:r w:rsidRPr="00792DDB">
        <w:rPr>
          <w:i/>
        </w:rPr>
        <w:t>Submission to the Inquiry into the Retirement Housing Sector</w:t>
      </w:r>
      <w:r>
        <w:t xml:space="preserve">, </w:t>
      </w:r>
      <w:r w:rsidRPr="0091571A">
        <w:t>Legislative Council Standing Committee on Legal and Social Issues</w:t>
      </w:r>
      <w:r>
        <w:t>, Victoria</w:t>
      </w:r>
      <w:r w:rsidRPr="0091571A">
        <w:t>.</w:t>
      </w:r>
    </w:p>
  </w:footnote>
  <w:footnote w:id="17">
    <w:p w14:paraId="42B45602" w14:textId="77777777" w:rsidR="00FB35E2" w:rsidRPr="007A490B" w:rsidRDefault="00FB35E2">
      <w:pPr>
        <w:pStyle w:val="FootnoteText"/>
        <w:rPr>
          <w:lang w:val="en-US"/>
        </w:rPr>
      </w:pPr>
      <w:r>
        <w:rPr>
          <w:rStyle w:val="FootnoteReference"/>
        </w:rPr>
        <w:footnoteRef/>
      </w:r>
      <w:r>
        <w:t xml:space="preserve"> </w:t>
      </w:r>
      <w:r w:rsidRPr="006A4835">
        <w:t>PricewaterhouseCoopers (on behalf of the Property Council of Australia)</w:t>
      </w:r>
      <w:r>
        <w:t xml:space="preserve"> </w:t>
      </w:r>
      <w:r w:rsidRPr="006A4835">
        <w:t xml:space="preserve">2016, </w:t>
      </w:r>
      <w:r w:rsidRPr="006A4835">
        <w:rPr>
          <w:i/>
        </w:rPr>
        <w:t>Retirement Census 2016</w:t>
      </w:r>
      <w:r>
        <w:rPr>
          <w:i/>
        </w:rPr>
        <w:t xml:space="preserve"> (abstract).</w:t>
      </w:r>
    </w:p>
  </w:footnote>
  <w:footnote w:id="18">
    <w:p w14:paraId="1B5454E8" w14:textId="77777777" w:rsidR="00FB35E2" w:rsidRPr="00A8062F" w:rsidRDefault="00FB35E2" w:rsidP="003D236D">
      <w:pPr>
        <w:pStyle w:val="FootnoteText"/>
      </w:pPr>
      <w:r>
        <w:rPr>
          <w:rStyle w:val="FootnoteReference"/>
        </w:rPr>
        <w:footnoteRef/>
      </w:r>
      <w:r w:rsidRPr="00A8062F">
        <w:t xml:space="preserve"> Retirement Village Association</w:t>
      </w:r>
      <w:r>
        <w:t xml:space="preserve"> 2016, S</w:t>
      </w:r>
      <w:r w:rsidRPr="00A8062F">
        <w:t xml:space="preserve">ubmission to the </w:t>
      </w:r>
      <w:r w:rsidRPr="00EB1DAB">
        <w:rPr>
          <w:i/>
        </w:rPr>
        <w:t>‘Caring for Older Australians Inquiry Report’</w:t>
      </w:r>
      <w:r w:rsidRPr="00A8062F">
        <w:t>, Productivity Commission, Australian Government, Melbourne, August 2011, page.11.</w:t>
      </w:r>
    </w:p>
  </w:footnote>
  <w:footnote w:id="19">
    <w:p w14:paraId="0D4A1B61" w14:textId="77777777" w:rsidR="00FB35E2" w:rsidRPr="00F00936" w:rsidRDefault="00FB35E2" w:rsidP="003D236D">
      <w:pPr>
        <w:pStyle w:val="FootnoteText"/>
      </w:pPr>
      <w:r w:rsidRPr="008A4275">
        <w:rPr>
          <w:rStyle w:val="FootnoteReference"/>
        </w:rPr>
        <w:footnoteRef/>
      </w:r>
      <w:r w:rsidRPr="008A4275">
        <w:t xml:space="preserve"> </w:t>
      </w:r>
      <w:r>
        <w:t xml:space="preserve">Little, S. (2016), </w:t>
      </w:r>
      <w:r w:rsidRPr="00EB1DAB">
        <w:rPr>
          <w:i/>
        </w:rPr>
        <w:t>IBISWorld Industry Report OD5534, Coming of age: Revenue soars as retiring baby boomers drive industry demand</w:t>
      </w:r>
      <w:r>
        <w:t>, Retrieved from &lt;www.ibisworld.com&gt;.</w:t>
      </w:r>
    </w:p>
  </w:footnote>
  <w:footnote w:id="20">
    <w:p w14:paraId="6F091C92" w14:textId="77777777" w:rsidR="00FB35E2" w:rsidRPr="001E6D6D" w:rsidRDefault="00FB35E2" w:rsidP="00EC37A1">
      <w:pPr>
        <w:pStyle w:val="FootnoteText"/>
      </w:pPr>
      <w:r>
        <w:rPr>
          <w:rStyle w:val="FootnoteReference"/>
        </w:rPr>
        <w:footnoteRef/>
      </w:r>
      <w:r>
        <w:t xml:space="preserve"> W</w:t>
      </w:r>
      <w:r w:rsidRPr="001E6D6D">
        <w:t>hen prospective residents are selecting retirement villages</w:t>
      </w:r>
      <w:r>
        <w:t>.</w:t>
      </w:r>
    </w:p>
  </w:footnote>
  <w:footnote w:id="21">
    <w:p w14:paraId="4B9A000E" w14:textId="77777777" w:rsidR="00FB35E2" w:rsidRPr="006A4835" w:rsidRDefault="00FB35E2" w:rsidP="006549F5">
      <w:pPr>
        <w:pStyle w:val="FootnoteText"/>
      </w:pPr>
      <w:r w:rsidRPr="006A4835">
        <w:rPr>
          <w:rStyle w:val="FootnoteReference"/>
          <w:lang w:val="en-AU"/>
        </w:rPr>
        <w:footnoteRef/>
      </w:r>
      <w:r w:rsidRPr="006A4835">
        <w:t xml:space="preserve"> </w:t>
      </w:r>
      <w:r>
        <w:t>The n</w:t>
      </w:r>
      <w:r w:rsidRPr="006A4835">
        <w:t xml:space="preserve">ational average in-going </w:t>
      </w:r>
      <w:r>
        <w:t>contribution for a 2-bedroom unit is</w:t>
      </w:r>
      <w:r w:rsidRPr="006A4835">
        <w:t xml:space="preserve"> $398,000</w:t>
      </w:r>
      <w:r>
        <w:t xml:space="preserve"> in 2016</w:t>
      </w:r>
      <w:r w:rsidRPr="006A4835">
        <w:t xml:space="preserve"> ($385,00</w:t>
      </w:r>
      <w:r>
        <w:t xml:space="preserve">0 in 2015 and $375,000 in 2014). Source: </w:t>
      </w:r>
      <w:r w:rsidRPr="006A4835">
        <w:t xml:space="preserve">PricewaterhouseCoopers (on behalf of the Property Council of Australia) 2016, </w:t>
      </w:r>
      <w:r w:rsidRPr="006A4835">
        <w:rPr>
          <w:i/>
        </w:rPr>
        <w:t>Retirement Census 2016</w:t>
      </w:r>
      <w:r w:rsidRPr="006A4835">
        <w:t xml:space="preserve"> </w:t>
      </w:r>
      <w:r w:rsidRPr="00EB1DAB">
        <w:rPr>
          <w:i/>
        </w:rPr>
        <w:t>(abstract)</w:t>
      </w:r>
      <w:r>
        <w:rPr>
          <w:i/>
        </w:rPr>
        <w:t>,</w:t>
      </w:r>
      <w:r>
        <w:t xml:space="preserve"> page 6.</w:t>
      </w:r>
    </w:p>
  </w:footnote>
  <w:footnote w:id="22">
    <w:p w14:paraId="6E00EC07" w14:textId="77777777" w:rsidR="00FB35E2" w:rsidRPr="006A4835" w:rsidRDefault="00FB35E2" w:rsidP="006549F5">
      <w:pPr>
        <w:pStyle w:val="FootnoteText"/>
      </w:pPr>
      <w:r w:rsidRPr="006A4835">
        <w:rPr>
          <w:rStyle w:val="FootnoteReference"/>
          <w:lang w:val="en-AU"/>
        </w:rPr>
        <w:footnoteRef/>
      </w:r>
      <w:r w:rsidRPr="006A4835">
        <w:t xml:space="preserve"> </w:t>
      </w:r>
      <w:r>
        <w:t>U</w:t>
      </w:r>
      <w:r w:rsidRPr="006A4835">
        <w:t>nits are priced at the level of, or about 10 per cent below, the cost of local apartments</w:t>
      </w:r>
      <w:r>
        <w:t xml:space="preserve">. Source: </w:t>
      </w:r>
      <w:r w:rsidRPr="006A4835">
        <w:t>Grant Thornton 2014</w:t>
      </w:r>
      <w:r w:rsidRPr="00D6489C">
        <w:t xml:space="preserve">, </w:t>
      </w:r>
      <w:r w:rsidRPr="006A4835">
        <w:rPr>
          <w:i/>
        </w:rPr>
        <w:t>National overview of the retirement village sector</w:t>
      </w:r>
      <w:r>
        <w:t>, page</w:t>
      </w:r>
      <w:r w:rsidRPr="006A4835">
        <w:t xml:space="preserve"> </w:t>
      </w:r>
      <w:r>
        <w:t>4.</w:t>
      </w:r>
    </w:p>
  </w:footnote>
  <w:footnote w:id="23">
    <w:p w14:paraId="346BCBAB" w14:textId="77777777" w:rsidR="00FB35E2" w:rsidRPr="005F3A43" w:rsidRDefault="00FB35E2" w:rsidP="006549F5">
      <w:pPr>
        <w:pStyle w:val="FootnoteText"/>
      </w:pPr>
      <w:r>
        <w:rPr>
          <w:rStyle w:val="FootnoteReference"/>
        </w:rPr>
        <w:footnoteRef/>
      </w:r>
      <w:r>
        <w:t xml:space="preserve"> </w:t>
      </w:r>
      <w:r w:rsidRPr="006A4835">
        <w:t xml:space="preserve">PricewaterhouseCoopers (on behalf of the </w:t>
      </w:r>
      <w:r>
        <w:t xml:space="preserve">Property Council of Australia) 2016, </w:t>
      </w:r>
      <w:r w:rsidRPr="006A4835">
        <w:rPr>
          <w:i/>
        </w:rPr>
        <w:t>Retirement Census 2016</w:t>
      </w:r>
      <w:r>
        <w:rPr>
          <w:i/>
        </w:rPr>
        <w:t xml:space="preserve"> (abstract).</w:t>
      </w:r>
    </w:p>
  </w:footnote>
  <w:footnote w:id="24">
    <w:p w14:paraId="26713404" w14:textId="77777777" w:rsidR="00FB35E2" w:rsidRPr="006A4835" w:rsidRDefault="00FB35E2" w:rsidP="006549F5">
      <w:pPr>
        <w:pStyle w:val="FootnoteText"/>
      </w:pPr>
      <w:r w:rsidRPr="006A4835">
        <w:rPr>
          <w:rStyle w:val="FootnoteReference"/>
          <w:lang w:val="en-AU"/>
        </w:rPr>
        <w:footnoteRef/>
      </w:r>
      <w:r w:rsidRPr="006A4835">
        <w:t xml:space="preserve"> PricewaterhouseCoopers (on behalf of the </w:t>
      </w:r>
      <w:r>
        <w:t xml:space="preserve">Property Council of Australia) 2016, </w:t>
      </w:r>
      <w:r w:rsidRPr="006A4835">
        <w:rPr>
          <w:i/>
        </w:rPr>
        <w:t>Retirement Census 2016</w:t>
      </w:r>
      <w:r>
        <w:rPr>
          <w:i/>
        </w:rPr>
        <w:t xml:space="preserve"> (abstract),</w:t>
      </w:r>
      <w:r w:rsidRPr="000C252F">
        <w:rPr>
          <w:i/>
        </w:rPr>
        <w:t xml:space="preserve"> </w:t>
      </w:r>
      <w:r w:rsidRPr="006A4835">
        <w:rPr>
          <w:i/>
        </w:rPr>
        <w:t>Retirement Census 201</w:t>
      </w:r>
      <w:r>
        <w:rPr>
          <w:i/>
        </w:rPr>
        <w:t>5 (abstract),</w:t>
      </w:r>
      <w:r w:rsidRPr="000C252F">
        <w:rPr>
          <w:i/>
        </w:rPr>
        <w:t xml:space="preserve"> </w:t>
      </w:r>
      <w:r>
        <w:rPr>
          <w:i/>
        </w:rPr>
        <w:t>Retirement Census 2014 (abstract).</w:t>
      </w:r>
    </w:p>
  </w:footnote>
  <w:footnote w:id="25">
    <w:p w14:paraId="5FE54F93" w14:textId="77777777" w:rsidR="00FB35E2" w:rsidRPr="006A4835" w:rsidRDefault="00FB35E2" w:rsidP="00F25943">
      <w:pPr>
        <w:pStyle w:val="FootnoteText"/>
      </w:pPr>
      <w:r w:rsidRPr="006A4835">
        <w:rPr>
          <w:rStyle w:val="FootnoteReference"/>
          <w:lang w:val="en-AU"/>
        </w:rPr>
        <w:footnoteRef/>
      </w:r>
      <w:r w:rsidRPr="006A4835">
        <w:t xml:space="preserve"> </w:t>
      </w:r>
      <w:r>
        <w:t xml:space="preserve">Grant Thornton, Property Council of Australia and the Retirement Living Council 2014, </w:t>
      </w:r>
      <w:proofErr w:type="gramStart"/>
      <w:r w:rsidRPr="00866669">
        <w:rPr>
          <w:i/>
        </w:rPr>
        <w:t>The</w:t>
      </w:r>
      <w:proofErr w:type="gramEnd"/>
      <w:r w:rsidRPr="00866669">
        <w:rPr>
          <w:i/>
        </w:rPr>
        <w:t xml:space="preserve"> effect of the Victorian Aged Care Rule on</w:t>
      </w:r>
      <w:r>
        <w:rPr>
          <w:i/>
        </w:rPr>
        <w:t xml:space="preserve"> the retirement village sector.</w:t>
      </w:r>
    </w:p>
  </w:footnote>
  <w:footnote w:id="26">
    <w:p w14:paraId="7B2A973C" w14:textId="77777777" w:rsidR="00FB35E2" w:rsidRPr="006A4835" w:rsidRDefault="00FB35E2" w:rsidP="00F25943">
      <w:pPr>
        <w:pStyle w:val="FootnoteText"/>
        <w:rPr>
          <w:b/>
        </w:rPr>
      </w:pPr>
      <w:r w:rsidRPr="006A4835">
        <w:rPr>
          <w:rStyle w:val="FootnoteReference"/>
          <w:lang w:val="en-AU"/>
        </w:rPr>
        <w:footnoteRef/>
      </w:r>
      <w:r w:rsidRPr="006A4835">
        <w:t xml:space="preserve"> PricewaterhouseCoopers (on behalf of the </w:t>
      </w:r>
      <w:r>
        <w:t xml:space="preserve">Property Council of Australia), </w:t>
      </w:r>
      <w:r w:rsidRPr="006A4835">
        <w:rPr>
          <w:i/>
        </w:rPr>
        <w:t>Retirement Census 2016</w:t>
      </w:r>
      <w:r>
        <w:rPr>
          <w:i/>
        </w:rPr>
        <w:t>,</w:t>
      </w:r>
      <w:r w:rsidRPr="000C252F">
        <w:rPr>
          <w:i/>
        </w:rPr>
        <w:t xml:space="preserve"> </w:t>
      </w:r>
      <w:r w:rsidRPr="006A4835">
        <w:rPr>
          <w:i/>
        </w:rPr>
        <w:t>Retirement Census 201</w:t>
      </w:r>
      <w:r>
        <w:rPr>
          <w:i/>
        </w:rPr>
        <w:t>5,</w:t>
      </w:r>
      <w:r w:rsidRPr="000C252F">
        <w:rPr>
          <w:i/>
        </w:rPr>
        <w:t xml:space="preserve"> </w:t>
      </w:r>
      <w:r>
        <w:rPr>
          <w:i/>
        </w:rPr>
        <w:t>Retirement Census 2014.</w:t>
      </w:r>
    </w:p>
  </w:footnote>
  <w:footnote w:id="27">
    <w:p w14:paraId="2BF8DB06" w14:textId="77777777" w:rsidR="00FB35E2" w:rsidRPr="006A4835" w:rsidRDefault="00FB35E2" w:rsidP="00F25943">
      <w:pPr>
        <w:pStyle w:val="FootnoteText"/>
      </w:pPr>
      <w:r w:rsidRPr="006A4835">
        <w:rPr>
          <w:rStyle w:val="FootnoteReference"/>
          <w:lang w:val="en-AU"/>
        </w:rPr>
        <w:footnoteRef/>
      </w:r>
      <w:r w:rsidRPr="006A4835">
        <w:t xml:space="preserve"> </w:t>
      </w:r>
      <w:r>
        <w:t>T</w:t>
      </w:r>
      <w:r w:rsidRPr="006A4835">
        <w:t>he Victorian market penetration</w:t>
      </w:r>
      <w:r>
        <w:t xml:space="preserve"> of retirement villages was 5.3 per cent</w:t>
      </w:r>
      <w:r w:rsidRPr="006A4835">
        <w:t xml:space="preserve"> of the population over 65</w:t>
      </w:r>
      <w:r>
        <w:t xml:space="preserve">. Source: </w:t>
      </w:r>
      <w:r w:rsidRPr="006A4835">
        <w:t xml:space="preserve">Grant Thornton 2014, </w:t>
      </w:r>
      <w:r w:rsidRPr="006A4835">
        <w:rPr>
          <w:i/>
        </w:rPr>
        <w:t>National overview o</w:t>
      </w:r>
      <w:r>
        <w:rPr>
          <w:i/>
        </w:rPr>
        <w:t>f the retirement village sector</w:t>
      </w:r>
      <w:r>
        <w:t>, page 5.</w:t>
      </w:r>
    </w:p>
  </w:footnote>
  <w:footnote w:id="28">
    <w:p w14:paraId="04F7432F" w14:textId="77777777" w:rsidR="00FB35E2" w:rsidRPr="005B7B55" w:rsidRDefault="00FB35E2" w:rsidP="00F25943">
      <w:pPr>
        <w:pStyle w:val="FootnoteText"/>
        <w:rPr>
          <w:lang w:val="en-US"/>
        </w:rPr>
      </w:pPr>
      <w:r>
        <w:rPr>
          <w:rStyle w:val="FootnoteReference"/>
        </w:rPr>
        <w:footnoteRef/>
      </w:r>
      <w:r>
        <w:t xml:space="preserve"> </w:t>
      </w:r>
      <w:r w:rsidRPr="006A4835">
        <w:t xml:space="preserve">PricewaterhouseCoopers (on behalf of the </w:t>
      </w:r>
      <w:r>
        <w:t xml:space="preserve">Property Council of Australia) 2016, </w:t>
      </w:r>
      <w:r w:rsidRPr="006A4835">
        <w:rPr>
          <w:i/>
        </w:rPr>
        <w:t>Retirement Census 2016</w:t>
      </w:r>
      <w:r>
        <w:rPr>
          <w:i/>
        </w:rPr>
        <w:t>.</w:t>
      </w:r>
    </w:p>
  </w:footnote>
  <w:footnote w:id="29">
    <w:p w14:paraId="1CD918ED" w14:textId="77777777" w:rsidR="00FB35E2" w:rsidRPr="008B6C89" w:rsidRDefault="00FB35E2" w:rsidP="00F25943">
      <w:pPr>
        <w:pStyle w:val="FootnoteText"/>
      </w:pPr>
      <w:r>
        <w:rPr>
          <w:rStyle w:val="FootnoteReference"/>
        </w:rPr>
        <w:footnoteRef/>
      </w:r>
      <w:r>
        <w:t xml:space="preserve"> </w:t>
      </w:r>
      <w:proofErr w:type="spellStart"/>
      <w:r>
        <w:t>Hollingworth</w:t>
      </w:r>
      <w:proofErr w:type="spellEnd"/>
      <w:r>
        <w:t>, C. &amp; Barker, L. 2015, Three Behavioural Insights into Ageing Mind, viewed April 2017, retrieved from: &lt;behavioraleconomics.com/three-behavioral-insights-into-the-ageing-mind/&gt;.</w:t>
      </w:r>
    </w:p>
  </w:footnote>
  <w:footnote w:id="30">
    <w:p w14:paraId="4F9DEE13" w14:textId="77777777" w:rsidR="00FB35E2" w:rsidRPr="00AC119F" w:rsidRDefault="00FB35E2" w:rsidP="00F25943">
      <w:pPr>
        <w:pStyle w:val="FootnoteText"/>
        <w:rPr>
          <w:lang w:val="en-US"/>
        </w:rPr>
      </w:pPr>
      <w:r>
        <w:rPr>
          <w:rStyle w:val="FootnoteReference"/>
        </w:rPr>
        <w:footnoteRef/>
      </w:r>
      <w:r>
        <w:t xml:space="preserve"> CAV 2016, Number of enquiries and complaints relating to the sale of retirement village units. </w:t>
      </w:r>
    </w:p>
  </w:footnote>
  <w:footnote w:id="31">
    <w:p w14:paraId="78C32EA8" w14:textId="77777777" w:rsidR="00FB35E2" w:rsidRPr="006A4835" w:rsidRDefault="00FB35E2" w:rsidP="00F25943">
      <w:pPr>
        <w:pStyle w:val="FootnoteText"/>
      </w:pPr>
      <w:r w:rsidRPr="006A4835">
        <w:rPr>
          <w:rStyle w:val="FootnoteReference"/>
          <w:lang w:val="en-AU"/>
        </w:rPr>
        <w:footnoteRef/>
      </w:r>
      <w:r w:rsidRPr="006A4835">
        <w:t xml:space="preserve"> PricewaterhouseCoopers (on behalf of the </w:t>
      </w:r>
      <w:r>
        <w:t xml:space="preserve">Property Council of Australia) 2015, </w:t>
      </w:r>
      <w:r>
        <w:rPr>
          <w:i/>
        </w:rPr>
        <w:t>Retirement Census 2015 (abstract).</w:t>
      </w:r>
    </w:p>
  </w:footnote>
  <w:footnote w:id="32">
    <w:p w14:paraId="72E1E87A" w14:textId="77777777" w:rsidR="00FB35E2" w:rsidRPr="006A4835" w:rsidRDefault="00FB35E2" w:rsidP="00F25943">
      <w:pPr>
        <w:pStyle w:val="FootnoteText"/>
      </w:pPr>
      <w:r w:rsidRPr="006A4835">
        <w:rPr>
          <w:rStyle w:val="FootnoteReference"/>
          <w:lang w:val="en-AU"/>
        </w:rPr>
        <w:footnoteRef/>
      </w:r>
      <w:r w:rsidRPr="006A4835">
        <w:t xml:space="preserve"> Real Estate Institute of Victoria (REIV)</w:t>
      </w:r>
      <w:r>
        <w:t xml:space="preserve"> </w:t>
      </w:r>
      <w:r w:rsidRPr="006A4835">
        <w:t xml:space="preserve">2017, </w:t>
      </w:r>
      <w:r>
        <w:t>retrieved from: &lt;</w:t>
      </w:r>
      <w:r w:rsidRPr="0037130C">
        <w:t>http://www.reiv.com.au/property-data/median-prices/days-on-market</w:t>
      </w:r>
      <w:r>
        <w:t>&gt;.</w:t>
      </w:r>
    </w:p>
  </w:footnote>
  <w:footnote w:id="33">
    <w:p w14:paraId="5FA07D7D" w14:textId="77777777" w:rsidR="00FB35E2" w:rsidRPr="006A4835" w:rsidRDefault="00FB35E2" w:rsidP="00F25943">
      <w:pPr>
        <w:pStyle w:val="FootnoteText"/>
      </w:pPr>
      <w:r w:rsidRPr="006A4835">
        <w:rPr>
          <w:rStyle w:val="FootnoteReference"/>
          <w:lang w:val="en-AU"/>
        </w:rPr>
        <w:footnoteRef/>
      </w:r>
      <w:r w:rsidRPr="006A4835">
        <w:t xml:space="preserve"> </w:t>
      </w:r>
      <w:r>
        <w:t xml:space="preserve">Estimate based on resident numbers provided in </w:t>
      </w:r>
      <w:r w:rsidRPr="006A4835">
        <w:t xml:space="preserve">Grant Thornton (2014), </w:t>
      </w:r>
      <w:proofErr w:type="gramStart"/>
      <w:r w:rsidRPr="006A4835">
        <w:t>The</w:t>
      </w:r>
      <w:proofErr w:type="gramEnd"/>
      <w:r w:rsidRPr="006A4835">
        <w:t xml:space="preserve"> effect of the Victorian Aged Care Rule on the retirement village sector, (estimate of 60% of residents exiting villages to aged care)</w:t>
      </w:r>
      <w:r>
        <w:t>.</w:t>
      </w:r>
    </w:p>
  </w:footnote>
  <w:footnote w:id="34">
    <w:p w14:paraId="2AFB1747" w14:textId="77777777" w:rsidR="00FB35E2" w:rsidRPr="006A4835" w:rsidRDefault="00FB35E2" w:rsidP="00F25943">
      <w:pPr>
        <w:pStyle w:val="FootnoteText"/>
      </w:pPr>
      <w:r w:rsidRPr="006A4835">
        <w:rPr>
          <w:rStyle w:val="FootnoteReference"/>
          <w:lang w:val="en-AU"/>
        </w:rPr>
        <w:footnoteRef/>
      </w:r>
      <w:r w:rsidRPr="006A4835">
        <w:t xml:space="preserve"> A</w:t>
      </w:r>
      <w:r>
        <w:t xml:space="preserve">ged </w:t>
      </w:r>
      <w:r w:rsidRPr="006A4835">
        <w:t>C</w:t>
      </w:r>
      <w:r>
        <w:t xml:space="preserve">are </w:t>
      </w:r>
      <w:r w:rsidRPr="006A4835">
        <w:t>F</w:t>
      </w:r>
      <w:r>
        <w:t xml:space="preserve">inancing </w:t>
      </w:r>
      <w:r w:rsidRPr="006A4835">
        <w:t>A</w:t>
      </w:r>
      <w:r>
        <w:t xml:space="preserve">uthority (ACFA) 2016, </w:t>
      </w:r>
      <w:r w:rsidRPr="00B8484D">
        <w:rPr>
          <w:i/>
        </w:rPr>
        <w:t>Fourth report on the Funding and Financing of the Aged Care Sector</w:t>
      </w:r>
      <w:r>
        <w:t xml:space="preserve">, page 34, </w:t>
      </w:r>
      <w:r w:rsidRPr="00B8694B">
        <w:t xml:space="preserve">Commonwealth Government, </w:t>
      </w:r>
      <w:proofErr w:type="gramStart"/>
      <w:r w:rsidRPr="00B8694B">
        <w:t>Canberra</w:t>
      </w:r>
      <w:proofErr w:type="gramEnd"/>
      <w:r w:rsidRPr="00B8694B">
        <w:t>.</w:t>
      </w:r>
    </w:p>
  </w:footnote>
  <w:footnote w:id="35">
    <w:p w14:paraId="7DB8C3B9" w14:textId="77777777" w:rsidR="00FB35E2" w:rsidRPr="006A4835" w:rsidRDefault="00FB35E2" w:rsidP="00F25943">
      <w:pPr>
        <w:pStyle w:val="FootnoteText"/>
      </w:pPr>
      <w:r w:rsidRPr="006A4835">
        <w:rPr>
          <w:rStyle w:val="FootnoteReference"/>
          <w:lang w:val="en-AU"/>
        </w:rPr>
        <w:footnoteRef/>
      </w:r>
      <w:r w:rsidRPr="006A4835">
        <w:t xml:space="preserve"> </w:t>
      </w:r>
      <w:r w:rsidRPr="00B8694B">
        <w:t>Retirement Villages (Contractual Arrangements) Regulations 2006</w:t>
      </w:r>
      <w:r>
        <w:t xml:space="preserve">, </w:t>
      </w:r>
      <w:r w:rsidRPr="00B8694B">
        <w:t xml:space="preserve">Schedule 3 – </w:t>
      </w:r>
      <w:r w:rsidRPr="00B8484D">
        <w:t>Calculation of refundable in-going contribution based on market value)</w:t>
      </w:r>
    </w:p>
  </w:footnote>
  <w:footnote w:id="36">
    <w:p w14:paraId="3439949B" w14:textId="77777777" w:rsidR="00FB35E2" w:rsidRPr="006A4835" w:rsidRDefault="00FB35E2" w:rsidP="00F25943">
      <w:pPr>
        <w:pStyle w:val="FootnoteText"/>
      </w:pPr>
      <w:r w:rsidRPr="006A4835">
        <w:rPr>
          <w:rStyle w:val="FootnoteReference"/>
          <w:lang w:val="en-AU"/>
        </w:rPr>
        <w:footnoteRef/>
      </w:r>
      <w:r w:rsidRPr="006A4835">
        <w:t xml:space="preserve"> </w:t>
      </w:r>
      <w:r w:rsidRPr="00086BBB">
        <w:t>Retirement Villages (Contractual Arrangements) Regulations 2006</w:t>
      </w:r>
      <w:r>
        <w:t xml:space="preserve">, </w:t>
      </w:r>
      <w:r w:rsidRPr="00086BBB">
        <w:t xml:space="preserve">Schedule </w:t>
      </w:r>
      <w:r>
        <w:t>4</w:t>
      </w:r>
      <w:r w:rsidRPr="00086BBB">
        <w:t xml:space="preserve"> – </w:t>
      </w:r>
      <w:r w:rsidRPr="00B8694B">
        <w:t>Calculation of refundable in</w:t>
      </w:r>
      <w:r w:rsidRPr="00B8694B">
        <w:rPr>
          <w:rFonts w:ascii="MS Mincho" w:eastAsia="MS Mincho" w:hAnsi="MS Mincho" w:cs="MS Mincho" w:hint="eastAsia"/>
        </w:rPr>
        <w:t>‑</w:t>
      </w:r>
      <w:r w:rsidRPr="00B8694B">
        <w:t>going contribution where in-going contribution less than market value</w:t>
      </w:r>
      <w:r>
        <w:t>)</w:t>
      </w:r>
    </w:p>
  </w:footnote>
  <w:footnote w:id="37">
    <w:p w14:paraId="2006D6A7" w14:textId="77777777" w:rsidR="00FB35E2" w:rsidRPr="007E7532" w:rsidRDefault="00FB35E2">
      <w:pPr>
        <w:pStyle w:val="FootnoteText"/>
        <w:rPr>
          <w:lang w:val="en-US"/>
        </w:rPr>
      </w:pPr>
      <w:r>
        <w:rPr>
          <w:rStyle w:val="FootnoteReference"/>
        </w:rPr>
        <w:footnoteRef/>
      </w:r>
      <w:r>
        <w:t xml:space="preserve"> </w:t>
      </w:r>
      <w:r w:rsidRPr="007E7532">
        <w:t>Note: this formula uses CPI rather than a housing price index as it estimates the value of exit entitlements that are not based upon market value (or the value of the property).  Stakeholders have indicated that this formula is used when calculated exit entitlements that are based on ‘ability to pay’ and is commonly used in not-for-profit villages.</w:t>
      </w:r>
    </w:p>
  </w:footnote>
  <w:footnote w:id="38">
    <w:p w14:paraId="41657E10" w14:textId="77777777" w:rsidR="00FB35E2" w:rsidRPr="007C0443" w:rsidRDefault="00FB35E2" w:rsidP="00EC37A1">
      <w:pPr>
        <w:pStyle w:val="FootnoteText"/>
      </w:pPr>
      <w:r w:rsidRPr="0001560E">
        <w:rPr>
          <w:rStyle w:val="FootnoteReference"/>
          <w:lang w:val="en-AU"/>
        </w:rPr>
        <w:footnoteRef/>
      </w:r>
      <w:r w:rsidRPr="007C0443">
        <w:t xml:space="preserve"> See section 1 of the </w:t>
      </w:r>
      <w:r w:rsidRPr="007C0443">
        <w:rPr>
          <w:i/>
        </w:rPr>
        <w:t>Retirement Villages Act 1986</w:t>
      </w:r>
      <w:r w:rsidRPr="007C0443">
        <w:t>.</w:t>
      </w:r>
    </w:p>
  </w:footnote>
  <w:footnote w:id="39">
    <w:p w14:paraId="6DA20AE5" w14:textId="77777777" w:rsidR="00FB35E2" w:rsidRPr="009D113B" w:rsidRDefault="00FB35E2" w:rsidP="00187951">
      <w:pPr>
        <w:pStyle w:val="FootnoteText"/>
        <w:rPr>
          <w:lang w:val="en-US"/>
        </w:rPr>
      </w:pPr>
      <w:r w:rsidRPr="00D57D67">
        <w:rPr>
          <w:rStyle w:val="FootnoteReference"/>
        </w:rPr>
        <w:footnoteRef/>
      </w:r>
      <w:r w:rsidRPr="00D57D67">
        <w:t xml:space="preserve"> </w:t>
      </w:r>
      <w:r w:rsidRPr="009D113B">
        <w:rPr>
          <w:i/>
          <w:lang w:val="en-US"/>
        </w:rPr>
        <w:t>Retirement Villages Act 2016 (SA)</w:t>
      </w:r>
      <w:r>
        <w:rPr>
          <w:lang w:val="en-US"/>
        </w:rPr>
        <w:t>. Note this Act has not yet commenced operation but is due to start on 1 January 2018.</w:t>
      </w:r>
    </w:p>
  </w:footnote>
  <w:footnote w:id="40">
    <w:p w14:paraId="7C88E049" w14:textId="77777777" w:rsidR="00FB35E2" w:rsidRPr="00BE2048" w:rsidRDefault="00FB35E2" w:rsidP="00D44DCC">
      <w:pPr>
        <w:pStyle w:val="FootnoteText"/>
      </w:pPr>
      <w:r>
        <w:rPr>
          <w:rStyle w:val="FootnoteReference"/>
        </w:rPr>
        <w:footnoteRef/>
      </w:r>
      <w:r>
        <w:t xml:space="preserve"> There are some minor differences in the overall impact of the options, which are driven by different interest rate assumptions for residents and village operators. However, these do not point to sufficiently large differences between the net benefits of different options to warrant choosing between them on this basis</w:t>
      </w:r>
      <w:proofErr w:type="gramStart"/>
      <w:r>
        <w:t>..</w:t>
      </w:r>
      <w:proofErr w:type="gramEnd"/>
    </w:p>
  </w:footnote>
  <w:footnote w:id="41">
    <w:p w14:paraId="2A113C58" w14:textId="77777777" w:rsidR="00FB35E2" w:rsidRPr="0075689E" w:rsidRDefault="00FB35E2">
      <w:pPr>
        <w:pStyle w:val="FootnoteText"/>
      </w:pPr>
      <w:r>
        <w:rPr>
          <w:rStyle w:val="FootnoteReference"/>
        </w:rPr>
        <w:footnoteRef/>
      </w:r>
      <w:r>
        <w:t xml:space="preserve"> It is unclear what proportion of exit entitlements are based on market value vs. non-market value. However, the non-market value exit entitlement is more common for not-for-profit operated units (approximately 16 per cent of all Victorian retirement village units). </w:t>
      </w:r>
    </w:p>
  </w:footnote>
  <w:footnote w:id="42">
    <w:p w14:paraId="7244BE21" w14:textId="77777777" w:rsidR="00FB35E2" w:rsidRPr="00364B96" w:rsidRDefault="00FB35E2" w:rsidP="00D44DCC">
      <w:pPr>
        <w:pStyle w:val="FootnoteText"/>
        <w:rPr>
          <w:lang w:val="en-US"/>
        </w:rPr>
      </w:pPr>
      <w:r>
        <w:rPr>
          <w:rStyle w:val="FootnoteReference"/>
        </w:rPr>
        <w:footnoteRef/>
      </w:r>
      <w:r>
        <w:t xml:space="preserve"> </w:t>
      </w:r>
      <w:r>
        <w:rPr>
          <w:lang w:val="en-US"/>
        </w:rPr>
        <w:t>These financial impacts are an average between 2018 and 2037 (the period of analysis).</w:t>
      </w:r>
    </w:p>
  </w:footnote>
  <w:footnote w:id="43">
    <w:p w14:paraId="523EE0BD" w14:textId="77777777" w:rsidR="00FB35E2" w:rsidRPr="00A35DF1" w:rsidRDefault="00FB35E2" w:rsidP="00571876">
      <w:pPr>
        <w:pStyle w:val="FootnoteText"/>
        <w:rPr>
          <w:lang w:val="en-US"/>
        </w:rPr>
      </w:pPr>
      <w:r>
        <w:rPr>
          <w:rStyle w:val="FootnoteReference"/>
        </w:rPr>
        <w:footnoteRef/>
      </w:r>
      <w:r>
        <w:t xml:space="preserve"> </w:t>
      </w:r>
      <w:r w:rsidRPr="00CB1BBE">
        <w:rPr>
          <w:lang w:val="en-US"/>
        </w:rPr>
        <w:t xml:space="preserve">KPMG 2016, </w:t>
      </w:r>
      <w:r w:rsidRPr="00CB1BBE">
        <w:rPr>
          <w:i/>
          <w:lang w:val="en-US"/>
        </w:rPr>
        <w:t>Analysis of Impact of the Aged Care Rule</w:t>
      </w:r>
      <w:r w:rsidRPr="00CB1BBE">
        <w:rPr>
          <w:lang w:val="en-US"/>
        </w:rPr>
        <w:t>, Consumer Affairs Victoria, Melbourne.</w:t>
      </w:r>
    </w:p>
  </w:footnote>
  <w:footnote w:id="44">
    <w:p w14:paraId="514089F3" w14:textId="77777777" w:rsidR="00FB35E2" w:rsidRPr="008D33EB" w:rsidRDefault="00FB35E2" w:rsidP="002C6151">
      <w:pPr>
        <w:pStyle w:val="FootnoteText"/>
        <w:rPr>
          <w:lang w:val="en-US"/>
        </w:rPr>
      </w:pPr>
      <w:r>
        <w:rPr>
          <w:rStyle w:val="FootnoteReference"/>
        </w:rPr>
        <w:footnoteRef/>
      </w:r>
      <w:r>
        <w:t xml:space="preserve"> Data sourced from retirement villages advertised in Victoria on </w:t>
      </w:r>
      <w:hyperlink r:id="rId1" w:history="1">
        <w:r w:rsidRPr="00963EBF">
          <w:rPr>
            <w:rStyle w:val="Hyperlink"/>
            <w:szCs w:val="18"/>
            <w:lang w:val="en-AU"/>
          </w:rPr>
          <w:t>www.villages.com.au</w:t>
        </w:r>
      </w:hyperlink>
      <w:r>
        <w:t xml:space="preserve">. </w:t>
      </w:r>
      <w:r>
        <w:rPr>
          <w:lang w:val="en-US"/>
        </w:rPr>
        <w:t xml:space="preserve">Note that as some retirement village operators manage multiple villages, the proportion of small retirement village operators is likely to be less than 30 per cent. </w:t>
      </w:r>
    </w:p>
  </w:footnote>
  <w:footnote w:id="45">
    <w:p w14:paraId="33F92092" w14:textId="77777777" w:rsidR="00FB35E2" w:rsidRPr="00436113" w:rsidRDefault="00FB35E2" w:rsidP="009327D6">
      <w:pPr>
        <w:pStyle w:val="FootnoteText"/>
        <w:rPr>
          <w:lang w:val="en-US"/>
        </w:rPr>
      </w:pPr>
      <w:r>
        <w:rPr>
          <w:rStyle w:val="FootnoteReference"/>
        </w:rPr>
        <w:footnoteRef/>
      </w:r>
      <w:r>
        <w:t xml:space="preserve"> </w:t>
      </w:r>
      <w:r w:rsidRPr="008724FC">
        <w:t xml:space="preserve">The </w:t>
      </w:r>
      <w:r w:rsidRPr="00154BF1">
        <w:rPr>
          <w:i/>
        </w:rPr>
        <w:t>Subordinate Legislation Act 1994</w:t>
      </w:r>
      <w:r w:rsidRPr="008724FC">
        <w:t xml:space="preserve"> requires a minimum 28-day public consultation period to allow sufficient time for stakeholders to assess the RIS and prepare a considered response.</w:t>
      </w:r>
    </w:p>
  </w:footnote>
  <w:footnote w:id="46">
    <w:p w14:paraId="77634D17" w14:textId="77777777" w:rsidR="00FB35E2" w:rsidRPr="007B7F8E" w:rsidRDefault="00FB35E2" w:rsidP="00777117">
      <w:pPr>
        <w:pStyle w:val="FootnoteText"/>
        <w:rPr>
          <w:lang w:val="en-US"/>
        </w:rPr>
      </w:pPr>
      <w:r>
        <w:rPr>
          <w:rStyle w:val="FootnoteReference"/>
        </w:rPr>
        <w:footnoteRef/>
      </w:r>
      <w:r>
        <w:t xml:space="preserve"> </w:t>
      </w:r>
      <w:r>
        <w:rPr>
          <w:lang w:val="en-US"/>
        </w:rPr>
        <w:t xml:space="preserve">CAV 2016, </w:t>
      </w:r>
      <w:r w:rsidRPr="00672FA6">
        <w:rPr>
          <w:i/>
        </w:rPr>
        <w:t>Guide to choosing and living in a retirement village,</w:t>
      </w:r>
      <w:r>
        <w:t xml:space="preserve"> Victorian Government, Victoria.</w:t>
      </w:r>
      <w:r>
        <w:rPr>
          <w:lang w:val="en-US"/>
        </w:rPr>
        <w:t xml:space="preserve"> Retrieved at: &lt;</w:t>
      </w:r>
      <w:r w:rsidRPr="009828E4">
        <w:rPr>
          <w:lang w:val="en-US"/>
        </w:rPr>
        <w:t>https://www.consumer.vic.gov.au/housing-and-accommodation/retirement-villages/choosing-a-retirement-village</w:t>
      </w:r>
      <w:r>
        <w:rPr>
          <w:lang w:val="en-US"/>
        </w:rPr>
        <w:t>&gt;.</w:t>
      </w:r>
    </w:p>
  </w:footnote>
  <w:footnote w:id="47">
    <w:p w14:paraId="37915335" w14:textId="77777777" w:rsidR="00FB35E2" w:rsidRPr="00C044E6" w:rsidRDefault="00FB35E2">
      <w:pPr>
        <w:pStyle w:val="FootnoteText"/>
      </w:pPr>
      <w:r>
        <w:rPr>
          <w:rStyle w:val="FootnoteReference"/>
        </w:rPr>
        <w:footnoteRef/>
      </w:r>
      <w:r>
        <w:t xml:space="preserve"> </w:t>
      </w:r>
      <w:r w:rsidRPr="00C044E6">
        <w:t xml:space="preserve">Note: it is unclear how many residents fit within this category. Source: Grant Thornton, Property Council of Australia and the Retirement Living Council 2014, </w:t>
      </w:r>
      <w:proofErr w:type="gramStart"/>
      <w:r w:rsidRPr="00C044E6">
        <w:t>The</w:t>
      </w:r>
      <w:proofErr w:type="gramEnd"/>
      <w:r w:rsidRPr="00C044E6">
        <w:t xml:space="preserve"> effect of the Victorian Aged Care Rule on the retirement village sector.</w:t>
      </w:r>
    </w:p>
  </w:footnote>
  <w:footnote w:id="48">
    <w:p w14:paraId="5D31E8A7" w14:textId="77777777" w:rsidR="00FB35E2" w:rsidRPr="00C044E6" w:rsidRDefault="00FB35E2">
      <w:pPr>
        <w:pStyle w:val="FootnoteText"/>
      </w:pPr>
      <w:r>
        <w:rPr>
          <w:rStyle w:val="FootnoteReference"/>
        </w:rPr>
        <w:footnoteRef/>
      </w:r>
      <w:r>
        <w:t xml:space="preserve"> PricewaterhouseCoopers (on behalf of the Property Council of Australia) 2016, </w:t>
      </w:r>
      <w:r>
        <w:rPr>
          <w:i/>
          <w:iCs/>
        </w:rPr>
        <w:t>Retirement Census 2016 (abstract).</w:t>
      </w:r>
    </w:p>
  </w:footnote>
  <w:footnote w:id="49">
    <w:p w14:paraId="5EB724AF" w14:textId="77777777" w:rsidR="00FB35E2" w:rsidRPr="00C044E6" w:rsidRDefault="00FB35E2">
      <w:pPr>
        <w:pStyle w:val="FootnoteText"/>
      </w:pPr>
      <w:r>
        <w:rPr>
          <w:rStyle w:val="FootnoteReference"/>
        </w:rPr>
        <w:footnoteRef/>
      </w:r>
      <w:r>
        <w:t xml:space="preserve"> We note that there are exceptions to this; however, the majority of this cohort is expected to have left by this time.</w:t>
      </w:r>
    </w:p>
  </w:footnote>
  <w:footnote w:id="50">
    <w:p w14:paraId="33073B7F" w14:textId="77777777" w:rsidR="00FB35E2" w:rsidRPr="00C044E6" w:rsidRDefault="00FB35E2">
      <w:pPr>
        <w:pStyle w:val="FootnoteText"/>
      </w:pPr>
      <w:r>
        <w:rPr>
          <w:rStyle w:val="FootnoteReference"/>
        </w:rPr>
        <w:footnoteRef/>
      </w:r>
      <w:r>
        <w:t xml:space="preserve"> Feedback from stakeholder consultation conducted to collect data for this RIS indicated that most retirement villages include the requisite clauses in residence contracts to use the six month rule exemption.</w:t>
      </w:r>
    </w:p>
  </w:footnote>
  <w:footnote w:id="51">
    <w:p w14:paraId="37823C85" w14:textId="77777777" w:rsidR="00FB35E2" w:rsidRPr="00C044E6" w:rsidRDefault="00FB35E2">
      <w:pPr>
        <w:pStyle w:val="FootnoteText"/>
      </w:pPr>
      <w:r>
        <w:rPr>
          <w:rStyle w:val="FootnoteReference"/>
        </w:rPr>
        <w:footnoteRef/>
      </w:r>
      <w:r>
        <w:t xml:space="preserve"> </w:t>
      </w:r>
      <w:r>
        <w:rPr>
          <w:color w:val="000000"/>
        </w:rPr>
        <w:t xml:space="preserve">Productivity Commission 2015, </w:t>
      </w:r>
      <w:r>
        <w:rPr>
          <w:i/>
          <w:iCs/>
          <w:color w:val="000000"/>
        </w:rPr>
        <w:t>Housing Decisions of Older Australians</w:t>
      </w:r>
      <w:r>
        <w:rPr>
          <w:color w:val="000000"/>
        </w:rPr>
        <w:t>, Commission Research Paper, Canberra.</w:t>
      </w:r>
    </w:p>
  </w:footnote>
  <w:footnote w:id="52">
    <w:p w14:paraId="1A589BCD" w14:textId="77777777" w:rsidR="00FB35E2" w:rsidRPr="00797B2A" w:rsidRDefault="00FB35E2" w:rsidP="007B2C64">
      <w:pPr>
        <w:pStyle w:val="FootnoteText"/>
        <w:rPr>
          <w:lang w:val="en-US"/>
        </w:rPr>
      </w:pPr>
      <w:r>
        <w:rPr>
          <w:rStyle w:val="FootnoteReference"/>
        </w:rPr>
        <w:footnoteRef/>
      </w:r>
      <w:r>
        <w:t xml:space="preserve"> </w:t>
      </w:r>
      <w:r>
        <w:rPr>
          <w:lang w:val="en-US"/>
        </w:rPr>
        <w:t xml:space="preserve">This analysis assumes a 5 per cent rate as suggested in the 2016 </w:t>
      </w:r>
      <w:r w:rsidRPr="000C252F">
        <w:rPr>
          <w:lang w:val="en-US"/>
        </w:rPr>
        <w:t xml:space="preserve">KPMG </w:t>
      </w:r>
      <w:r>
        <w:rPr>
          <w:lang w:val="en-US"/>
        </w:rPr>
        <w:t>Report</w:t>
      </w:r>
      <w:r w:rsidRPr="000C252F">
        <w:rPr>
          <w:lang w:val="en-US"/>
        </w:rPr>
        <w:t xml:space="preserve">, </w:t>
      </w:r>
      <w:r w:rsidRPr="00EB1DAB">
        <w:rPr>
          <w:i/>
          <w:lang w:val="en-US"/>
        </w:rPr>
        <w:t>Analysis of Impact of the Aged Care Rule</w:t>
      </w:r>
      <w:r>
        <w:rPr>
          <w:lang w:val="en-US"/>
        </w:rPr>
        <w:t>.</w:t>
      </w:r>
    </w:p>
  </w:footnote>
  <w:footnote w:id="53">
    <w:p w14:paraId="545DC703" w14:textId="77777777" w:rsidR="00FB35E2" w:rsidRPr="00C239BF" w:rsidRDefault="00FB35E2" w:rsidP="007B2C64">
      <w:pPr>
        <w:pStyle w:val="FootnoteText"/>
        <w:rPr>
          <w:lang w:val="en-US"/>
        </w:rPr>
      </w:pPr>
      <w:r w:rsidRPr="00C239BF">
        <w:rPr>
          <w:rStyle w:val="FootnoteReference"/>
        </w:rPr>
        <w:footnoteRef/>
      </w:r>
      <w:r w:rsidRPr="00C239BF">
        <w:t xml:space="preserve"> </w:t>
      </w:r>
      <w:r>
        <w:t xml:space="preserve">Department of Human Services, </w:t>
      </w:r>
      <w:r w:rsidRPr="000C252F">
        <w:t>Deeming</w:t>
      </w:r>
      <w:r>
        <w:t>, viewed February 2017, &lt;</w:t>
      </w:r>
      <w:r w:rsidRPr="004467AB">
        <w:rPr>
          <w:lang w:val="en-US"/>
        </w:rPr>
        <w:t>https://www.humanservices.gov.au/customer/enablers/deeming</w:t>
      </w:r>
      <w:r>
        <w:rPr>
          <w:lang w:val="en-US"/>
        </w:rPr>
        <w:t xml:space="preserve">&gt;. </w:t>
      </w:r>
    </w:p>
  </w:footnote>
  <w:footnote w:id="54">
    <w:p w14:paraId="2CA89921" w14:textId="77777777" w:rsidR="00FB35E2" w:rsidRPr="00C0759F" w:rsidRDefault="00FB35E2" w:rsidP="007B2C64">
      <w:pPr>
        <w:pStyle w:val="FootnoteText"/>
        <w:rPr>
          <w:lang w:val="en-US"/>
        </w:rPr>
      </w:pPr>
      <w:r>
        <w:rPr>
          <w:rStyle w:val="FootnoteReference"/>
        </w:rPr>
        <w:footnoteRef/>
      </w:r>
      <w:r>
        <w:t xml:space="preserve"> </w:t>
      </w:r>
      <w:r w:rsidRPr="006A4835">
        <w:t xml:space="preserve">PricewaterhouseCoopers (on behalf of the </w:t>
      </w:r>
      <w:r>
        <w:t xml:space="preserve">Property Council of Australia) 2016, </w:t>
      </w:r>
      <w:r w:rsidRPr="006A4835">
        <w:rPr>
          <w:i/>
        </w:rPr>
        <w:t>Retirement Census 2016</w:t>
      </w:r>
      <w:r>
        <w:rPr>
          <w:i/>
        </w:rPr>
        <w:t xml:space="preserve"> (abstract).</w:t>
      </w:r>
    </w:p>
  </w:footnote>
  <w:footnote w:id="55">
    <w:p w14:paraId="5B075510" w14:textId="77777777" w:rsidR="00FB35E2" w:rsidRPr="00C0759F" w:rsidRDefault="00FB35E2" w:rsidP="007B2C64">
      <w:pPr>
        <w:pStyle w:val="FootnoteText"/>
        <w:rPr>
          <w:lang w:val="en-US"/>
        </w:rPr>
      </w:pPr>
      <w:r>
        <w:rPr>
          <w:rStyle w:val="FootnoteReference"/>
        </w:rPr>
        <w:footnoteRef/>
      </w:r>
      <w:r>
        <w:t xml:space="preserve"> </w:t>
      </w:r>
      <w:r>
        <w:rPr>
          <w:lang w:val="en-US"/>
        </w:rPr>
        <w:t>Ibid.</w:t>
      </w:r>
    </w:p>
  </w:footnote>
  <w:footnote w:id="56">
    <w:p w14:paraId="43572AFE" w14:textId="77777777" w:rsidR="00FB35E2" w:rsidRPr="00C0759F" w:rsidRDefault="00FB35E2" w:rsidP="007B2C64">
      <w:pPr>
        <w:pStyle w:val="FootnoteText"/>
        <w:rPr>
          <w:lang w:val="en-US"/>
        </w:rPr>
      </w:pPr>
      <w:r>
        <w:rPr>
          <w:rStyle w:val="FootnoteReference"/>
        </w:rPr>
        <w:footnoteRef/>
      </w:r>
      <w:r>
        <w:t xml:space="preserve"> </w:t>
      </w:r>
      <w:r w:rsidRPr="006A4835">
        <w:t>A</w:t>
      </w:r>
      <w:r>
        <w:t xml:space="preserve">ged </w:t>
      </w:r>
      <w:r w:rsidRPr="006A4835">
        <w:t>C</w:t>
      </w:r>
      <w:r>
        <w:t xml:space="preserve">are </w:t>
      </w:r>
      <w:r w:rsidRPr="006A4835">
        <w:t>F</w:t>
      </w:r>
      <w:r>
        <w:t xml:space="preserve">inancing </w:t>
      </w:r>
      <w:r w:rsidRPr="006A4835">
        <w:t>A</w:t>
      </w:r>
      <w:r>
        <w:t xml:space="preserve">uthority 2016, </w:t>
      </w:r>
      <w:r w:rsidRPr="00086BBB">
        <w:rPr>
          <w:i/>
        </w:rPr>
        <w:t>Fourth report on the Funding and Financing of the Aged Care Sector</w:t>
      </w:r>
      <w:r>
        <w:t xml:space="preserve">, page 34, </w:t>
      </w:r>
      <w:r w:rsidRPr="00086BBB">
        <w:t xml:space="preserve">Commonwealth Government, </w:t>
      </w:r>
      <w:proofErr w:type="gramStart"/>
      <w:r w:rsidRPr="00086BBB">
        <w:t>Canberra</w:t>
      </w:r>
      <w:proofErr w:type="gramEnd"/>
      <w:r w:rsidRPr="00086BBB">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9267F" w14:textId="77777777" w:rsidR="00FB35E2" w:rsidRPr="00D92972" w:rsidRDefault="00FB35E2" w:rsidP="0038555D">
    <w:pPr>
      <w:pStyle w:val="ClientNameCrossRef"/>
      <w:spacing w:after="300"/>
      <w:jc w:val="right"/>
    </w:pPr>
  </w:p>
  <w:p w14:paraId="19E68FE9" w14:textId="77777777" w:rsidR="00FB35E2" w:rsidRPr="00D92972" w:rsidRDefault="00FB35E2" w:rsidP="0038555D">
    <w:pPr>
      <w:pStyle w:val="DraftMarkings"/>
    </w:pPr>
    <w:r w:rsidRPr="00D92972">
      <w:fldChar w:fldCharType="begin"/>
    </w:r>
    <w:r w:rsidRPr="00D92972">
      <w:instrText xml:space="preserve"> DOCVARIABLE Draft</w:instrText>
    </w:r>
    <w:r w:rsidRPr="00D92972">
      <w:fldChar w:fldCharType="separate"/>
    </w:r>
    <w:r w:rsidR="00BE6CE4">
      <w:t xml:space="preserve"> </w:t>
    </w:r>
    <w:r w:rsidRPr="00D92972">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0A985" w14:textId="77777777" w:rsidR="00FB35E2" w:rsidRPr="00DE54AB" w:rsidRDefault="00FB35E2" w:rsidP="0038555D">
    <w:pPr>
      <w:pStyle w:val="ClientNameCrossRef"/>
      <w:spacing w:after="300"/>
      <w:rPr>
        <w:lang w:val="en-US"/>
      </w:rPr>
    </w:pPr>
    <w:r w:rsidRPr="00DE54AB">
      <w:rPr>
        <w:lang w:val="en-US"/>
      </w:rPr>
      <w:fldChar w:fldCharType="begin"/>
    </w:r>
    <w:r w:rsidRPr="00DE54AB">
      <w:rPr>
        <w:lang w:val="en-US"/>
      </w:rPr>
      <w:instrText xml:space="preserve"> STYLEREF </w:instrText>
    </w:r>
    <w:r>
      <w:rPr>
        <w:lang w:val="en-US"/>
      </w:rPr>
      <w:instrText>1 \n</w:instrText>
    </w:r>
    <w:r w:rsidRPr="00DE54AB">
      <w:rPr>
        <w:lang w:val="en-US"/>
      </w:rPr>
      <w:instrText xml:space="preserve"> </w:instrText>
    </w:r>
    <w:r w:rsidRPr="00DE54AB">
      <w:rPr>
        <w:lang w:val="en-US"/>
      </w:rPr>
      <w:fldChar w:fldCharType="separate"/>
    </w:r>
    <w:r w:rsidR="00BE6CE4">
      <w:rPr>
        <w:noProof/>
        <w:lang w:val="en-US"/>
      </w:rPr>
      <w:t>4</w:t>
    </w:r>
    <w:r w:rsidRPr="00DE54AB">
      <w:rPr>
        <w:noProof/>
        <w:lang w:val="en-US"/>
      </w:rPr>
      <w:fldChar w:fldCharType="end"/>
    </w:r>
    <w:r w:rsidRPr="00DE54AB">
      <w:rPr>
        <w:lang w:val="en-US"/>
      </w:rPr>
      <w:ptab w:relativeTo="margin" w:alignment="right" w:leader="none"/>
    </w:r>
    <w:r w:rsidRPr="00DE54AB">
      <w:rPr>
        <w:lang w:val="en-US"/>
      </w:rPr>
      <w:fldChar w:fldCharType="begin"/>
    </w:r>
    <w:r w:rsidRPr="00DE54AB">
      <w:rPr>
        <w:lang w:val="en-US"/>
      </w:rPr>
      <w:instrText xml:space="preserve"> DOCVARIABLE ReportTitle </w:instrText>
    </w:r>
    <w:r w:rsidRPr="00DE54AB">
      <w:rPr>
        <w:lang w:val="en-US"/>
      </w:rPr>
      <w:fldChar w:fldCharType="separate"/>
    </w:r>
    <w:r w:rsidR="00BE6CE4">
      <w:rPr>
        <w:lang w:val="en-US"/>
      </w:rPr>
      <w:t>Retirement Villages (Contractual Arrangements) Regulations Regulatory Impact Statement</w:t>
    </w:r>
    <w:r w:rsidRPr="00DE54AB">
      <w:rPr>
        <w:lang w:val="en-US"/>
      </w:rPr>
      <w:fldChar w:fldCharType="end"/>
    </w:r>
  </w:p>
  <w:p w14:paraId="01943D58" w14:textId="77777777" w:rsidR="00FB35E2" w:rsidRPr="00DE54AB" w:rsidRDefault="00FB35E2" w:rsidP="0038555D">
    <w:pPr>
      <w:pStyle w:val="DraftMarkings"/>
      <w:jc w:val="left"/>
      <w:rPr>
        <w:lang w:val="en-US"/>
      </w:rPr>
    </w:pPr>
    <w:r w:rsidRPr="00DE54AB">
      <w:rPr>
        <w:lang w:val="en-US"/>
      </w:rPr>
      <w:fldChar w:fldCharType="begin"/>
    </w:r>
    <w:r w:rsidRPr="00DE54AB">
      <w:rPr>
        <w:lang w:val="en-US"/>
      </w:rPr>
      <w:instrText xml:space="preserve"> DOCVARIABLE Draft </w:instrText>
    </w:r>
    <w:r w:rsidRPr="00DE54AB">
      <w:rPr>
        <w:lang w:val="en-US"/>
      </w:rPr>
      <w:fldChar w:fldCharType="separate"/>
    </w:r>
    <w:r w:rsidR="00BE6CE4">
      <w:rPr>
        <w:lang w:val="en-US"/>
      </w:rPr>
      <w:t xml:space="preserve"> </w:t>
    </w:r>
    <w:r w:rsidRPr="00DE54AB">
      <w:rPr>
        <w:lang w:val="en-US"/>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6C188" w14:textId="77777777" w:rsidR="00FB35E2" w:rsidRPr="00DA6A6B" w:rsidRDefault="00FB35E2" w:rsidP="00A96B82">
    <w:pPr>
      <w:pStyle w:val="ClientNameCrossRef"/>
      <w:spacing w:after="300"/>
      <w:rPr>
        <w:lang w:val="fr-FR"/>
      </w:rPr>
    </w:pPr>
    <w:r w:rsidRPr="00DA6A6B">
      <w:rPr>
        <w:lang w:val="fr-FR"/>
      </w:rPr>
      <w:t>Retirement Villages (Contractual Arrangements) Regulations RIS</w:t>
    </w:r>
    <w:r w:rsidRPr="00166B4D">
      <w:ptab w:relativeTo="margin" w:alignment="right" w:leader="none"/>
    </w:r>
  </w:p>
  <w:p w14:paraId="6FFB7E92" w14:textId="77777777" w:rsidR="00FB35E2" w:rsidRPr="00166B4D" w:rsidRDefault="00FB35E2" w:rsidP="0038555D">
    <w:pPr>
      <w:pStyle w:val="DraftMarkings"/>
    </w:pPr>
    <w:r w:rsidRPr="00166B4D">
      <w:ptab w:relativeTo="margin" w:alignment="right" w:leader="none"/>
    </w:r>
    <w:r w:rsidRPr="00166B4D">
      <w:fldChar w:fldCharType="begin"/>
    </w:r>
    <w:r w:rsidRPr="00166B4D">
      <w:instrText xml:space="preserve"> DOCVARIABLE Draft</w:instrText>
    </w:r>
    <w:r w:rsidRPr="00166B4D">
      <w:fldChar w:fldCharType="separate"/>
    </w:r>
    <w:r w:rsidR="00BE6CE4">
      <w:t xml:space="preserve"> </w:t>
    </w:r>
    <w:r w:rsidRPr="00166B4D">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37C8E" w14:textId="77777777" w:rsidR="00FB35E2" w:rsidRPr="00DE54AB" w:rsidRDefault="00FB35E2" w:rsidP="0038555D">
    <w:pPr>
      <w:rPr>
        <w:lang w:val="en-US"/>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F1AA2" w14:textId="77777777" w:rsidR="00FB35E2" w:rsidRPr="00DE54AB" w:rsidRDefault="00FB35E2" w:rsidP="0038555D">
    <w:pP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03" w:type="dxa"/>
      <w:tblInd w:w="-317" w:type="dxa"/>
      <w:tblCellMar>
        <w:left w:w="0" w:type="dxa"/>
        <w:right w:w="550" w:type="dxa"/>
      </w:tblCellMar>
      <w:tblLook w:val="01E0" w:firstRow="1" w:lastRow="1" w:firstColumn="1" w:lastColumn="1" w:noHBand="0" w:noVBand="0"/>
    </w:tblPr>
    <w:tblGrid>
      <w:gridCol w:w="570"/>
      <w:gridCol w:w="570"/>
      <w:gridCol w:w="570"/>
      <w:gridCol w:w="7823"/>
      <w:gridCol w:w="570"/>
    </w:tblGrid>
    <w:tr w:rsidR="00FB35E2" w:rsidRPr="00721026" w14:paraId="2B29C2D9" w14:textId="77777777">
      <w:trPr>
        <w:trHeight w:val="720"/>
      </w:trPr>
      <w:tc>
        <w:tcPr>
          <w:tcW w:w="570" w:type="dxa"/>
          <w:shd w:val="clear" w:color="auto" w:fill="auto"/>
        </w:tcPr>
        <w:p w14:paraId="40A0C9BE" w14:textId="77777777" w:rsidR="00FB35E2" w:rsidRPr="00721026" w:rsidRDefault="00FB35E2" w:rsidP="0038555D">
          <w:pPr>
            <w:pStyle w:val="Header"/>
            <w:ind w:left="-133" w:firstLine="133"/>
            <w:rPr>
              <w:rFonts w:eastAsia="Times New Roman"/>
              <w:sz w:val="20"/>
              <w:szCs w:val="20"/>
            </w:rPr>
          </w:pPr>
          <w:r>
            <w:rPr>
              <w:rFonts w:eastAsia="Times New Roman"/>
              <w:noProof/>
              <w:sz w:val="20"/>
              <w:szCs w:val="20"/>
              <w:lang w:eastAsia="en-AU"/>
            </w:rPr>
            <w:drawing>
              <wp:anchor distT="0" distB="0" distL="114300" distR="114300" simplePos="0" relativeHeight="251655680" behindDoc="0" locked="0" layoutInCell="1" allowOverlap="1" wp14:anchorId="2DA8241B" wp14:editId="267DD8FB">
                <wp:simplePos x="0" y="0"/>
                <wp:positionH relativeFrom="column">
                  <wp:posOffset>288910</wp:posOffset>
                </wp:positionH>
                <wp:positionV relativeFrom="paragraph">
                  <wp:posOffset>1905</wp:posOffset>
                </wp:positionV>
                <wp:extent cx="1363226" cy="412256"/>
                <wp:effectExtent l="0" t="0" r="8890" b="6985"/>
                <wp:wrapNone/>
                <wp:docPr id="2" name="Picture 5" descr="NER_WSTD_Blu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RA_horizontal_2945.wm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63226" cy="41225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3685BD5" w14:textId="77777777" w:rsidR="00FB35E2" w:rsidRPr="00721026" w:rsidRDefault="00FB35E2" w:rsidP="0038555D">
          <w:pPr>
            <w:rPr>
              <w:rFonts w:eastAsia="Times New Roman"/>
              <w:sz w:val="20"/>
              <w:szCs w:val="20"/>
            </w:rPr>
          </w:pPr>
        </w:p>
      </w:tc>
      <w:tc>
        <w:tcPr>
          <w:tcW w:w="570" w:type="dxa"/>
          <w:shd w:val="clear" w:color="auto" w:fill="auto"/>
        </w:tcPr>
        <w:p w14:paraId="0597E41B" w14:textId="77777777" w:rsidR="00FB35E2" w:rsidRPr="00721026" w:rsidRDefault="00FB35E2" w:rsidP="0038555D">
          <w:pPr>
            <w:pStyle w:val="Header"/>
            <w:ind w:left="-253" w:hanging="253"/>
            <w:rPr>
              <w:rFonts w:eastAsia="Times New Roman"/>
              <w:sz w:val="20"/>
              <w:szCs w:val="20"/>
            </w:rPr>
          </w:pPr>
          <w:bookmarkStart w:id="3" w:name="LogoBICNo2Front"/>
          <w:r w:rsidRPr="00721026">
            <w:rPr>
              <w:rFonts w:eastAsia="Times New Roman"/>
              <w:sz w:val="20"/>
              <w:szCs w:val="20"/>
            </w:rPr>
            <w:t xml:space="preserve">   </w:t>
          </w:r>
          <w:bookmarkEnd w:id="3"/>
        </w:p>
      </w:tc>
      <w:tc>
        <w:tcPr>
          <w:tcW w:w="570" w:type="dxa"/>
          <w:shd w:val="clear" w:color="auto" w:fill="auto"/>
        </w:tcPr>
        <w:p w14:paraId="2F169EAD" w14:textId="77777777" w:rsidR="00FB35E2" w:rsidRPr="00721026" w:rsidRDefault="00FB35E2">
          <w:pPr>
            <w:pStyle w:val="Header"/>
            <w:rPr>
              <w:rFonts w:eastAsia="Times New Roman"/>
              <w:sz w:val="20"/>
              <w:szCs w:val="20"/>
            </w:rPr>
          </w:pPr>
          <w:bookmarkStart w:id="4" w:name="LogoBICNo3Front"/>
          <w:r w:rsidRPr="00721026">
            <w:rPr>
              <w:rFonts w:eastAsia="Times New Roman"/>
              <w:sz w:val="20"/>
              <w:szCs w:val="20"/>
            </w:rPr>
            <w:t xml:space="preserve">   </w:t>
          </w:r>
          <w:bookmarkEnd w:id="4"/>
        </w:p>
      </w:tc>
      <w:tc>
        <w:tcPr>
          <w:tcW w:w="7823" w:type="dxa"/>
          <w:shd w:val="clear" w:color="auto" w:fill="auto"/>
          <w:vAlign w:val="bottom"/>
        </w:tcPr>
        <w:p w14:paraId="11D21589" w14:textId="77777777" w:rsidR="00FB35E2" w:rsidRPr="00721026" w:rsidRDefault="00FB35E2" w:rsidP="0038555D">
          <w:pPr>
            <w:pStyle w:val="DraftMarkings"/>
          </w:pPr>
          <w:r w:rsidRPr="00721026">
            <w:fldChar w:fldCharType="begin"/>
          </w:r>
          <w:r w:rsidRPr="00721026">
            <w:instrText xml:space="preserve"> DOCVARIABLE Draft</w:instrText>
          </w:r>
          <w:r w:rsidRPr="00721026">
            <w:fldChar w:fldCharType="separate"/>
          </w:r>
          <w:r w:rsidR="00BE6CE4">
            <w:t xml:space="preserve"> </w:t>
          </w:r>
          <w:r w:rsidRPr="00721026">
            <w:fldChar w:fldCharType="end"/>
          </w:r>
        </w:p>
      </w:tc>
      <w:tc>
        <w:tcPr>
          <w:tcW w:w="570" w:type="dxa"/>
          <w:shd w:val="clear" w:color="auto" w:fill="auto"/>
        </w:tcPr>
        <w:p w14:paraId="4390F592" w14:textId="77777777" w:rsidR="00FB35E2" w:rsidRPr="00721026" w:rsidRDefault="00FB35E2" w:rsidP="0038555D">
          <w:pPr>
            <w:pStyle w:val="Header"/>
            <w:ind w:right="-578"/>
            <w:rPr>
              <w:rFonts w:eastAsia="Times New Roman"/>
              <w:sz w:val="20"/>
              <w:szCs w:val="20"/>
            </w:rPr>
          </w:pPr>
        </w:p>
      </w:tc>
    </w:tr>
  </w:tbl>
  <w:p w14:paraId="7C24CC61" w14:textId="77777777" w:rsidR="00FB35E2" w:rsidRPr="00D92972" w:rsidRDefault="00FB35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8D7B7" w14:textId="77777777" w:rsidR="00FB35E2" w:rsidRPr="00BF1F16" w:rsidRDefault="00FB35E2" w:rsidP="0038555D">
    <w:pPr>
      <w:pStyle w:val="ClientNameCrossRef"/>
      <w:spacing w:after="300"/>
    </w:pPr>
    <w:r w:rsidRPr="00BF1F16">
      <w:fldChar w:fldCharType="begin"/>
    </w:r>
    <w:r w:rsidRPr="00BF1F16">
      <w:instrText xml:space="preserve"> styleref "TOC Heading" </w:instrText>
    </w:r>
    <w:r w:rsidRPr="00BF1F16">
      <w:fldChar w:fldCharType="separate"/>
    </w:r>
    <w:r w:rsidR="00BE6CE4">
      <w:rPr>
        <w:b/>
        <w:bCs/>
        <w:noProof/>
        <w:lang w:val="en-US"/>
      </w:rPr>
      <w:t>Error! No text of specified style in document.</w:t>
    </w:r>
    <w:r w:rsidRPr="00BF1F16">
      <w:fldChar w:fldCharType="end"/>
    </w:r>
    <w:r w:rsidRPr="00BF1F16">
      <w:ptab w:relativeTo="margin" w:alignment="right" w:leader="none"/>
    </w:r>
    <w:r w:rsidRPr="00BF1F16">
      <w:fldChar w:fldCharType="begin"/>
    </w:r>
    <w:r w:rsidRPr="00BF1F16">
      <w:instrText xml:space="preserve"> DOCVARIABLE ReportTitle </w:instrText>
    </w:r>
    <w:r w:rsidRPr="00BF1F16">
      <w:fldChar w:fldCharType="separate"/>
    </w:r>
    <w:r w:rsidR="00BE6CE4">
      <w:t>Retirement Villages (Contractual Arrangements) Regulations Regulatory Impact Statement</w:t>
    </w:r>
    <w:r w:rsidRPr="00BF1F16">
      <w:fldChar w:fldCharType="end"/>
    </w:r>
  </w:p>
  <w:p w14:paraId="33C84021" w14:textId="77777777" w:rsidR="00FB35E2" w:rsidRPr="00BF1F16" w:rsidRDefault="00FB35E2" w:rsidP="0038555D">
    <w:pPr>
      <w:pStyle w:val="DraftMarkings"/>
      <w:jc w:val="left"/>
    </w:pPr>
    <w:r>
      <w:fldChar w:fldCharType="begin"/>
    </w:r>
    <w:r>
      <w:instrText xml:space="preserve"> DOCVARIABLE Draft </w:instrText>
    </w:r>
    <w:r>
      <w:fldChar w:fldCharType="separate"/>
    </w:r>
    <w:r w:rsidR="00BE6CE4">
      <w:t xml:space="preserve"> </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742B1" w14:textId="77777777" w:rsidR="00FB35E2" w:rsidRPr="00297B2E" w:rsidRDefault="00FB35E2" w:rsidP="0038555D">
    <w:pPr>
      <w:pStyle w:val="ClientNameCrossRef"/>
      <w:spacing w:after="300"/>
      <w:rPr>
        <w:lang w:val="fr-FR"/>
      </w:rPr>
    </w:pPr>
    <w:r w:rsidRPr="00297B2E">
      <w:rPr>
        <w:lang w:val="fr-FR"/>
      </w:rPr>
      <w:t>Retirement Villages (Contractual Arrangements) Regulations RIS</w:t>
    </w:r>
    <w:r w:rsidRPr="009D5287">
      <w:ptab w:relativeTo="margin" w:alignment="right" w:leader="none"/>
    </w:r>
  </w:p>
  <w:p w14:paraId="3EA66860" w14:textId="77777777" w:rsidR="00FB35E2" w:rsidRPr="009D5287" w:rsidRDefault="00FB35E2" w:rsidP="0038555D">
    <w:pPr>
      <w:pStyle w:val="DraftMarkings"/>
    </w:pPr>
    <w:r w:rsidRPr="009D5287">
      <w:ptab w:relativeTo="margin" w:alignment="right" w:leader="none"/>
    </w:r>
    <w:r w:rsidRPr="00094F7F">
      <w:fldChar w:fldCharType="begin"/>
    </w:r>
    <w:r w:rsidRPr="009D5287">
      <w:instrText xml:space="preserve"> DOCVARIABLE Draft</w:instrText>
    </w:r>
    <w:r w:rsidRPr="00094F7F">
      <w:fldChar w:fldCharType="separate"/>
    </w:r>
    <w:r w:rsidR="00BE6CE4">
      <w:t xml:space="preserve"> </w:t>
    </w:r>
    <w:r w:rsidRPr="00094F7F">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C7E5E" w14:textId="77777777" w:rsidR="00FB35E2" w:rsidRPr="00DE54AB" w:rsidRDefault="00FB35E2" w:rsidP="0038555D">
    <w:pPr>
      <w:pStyle w:val="ClientNameCrossRef"/>
      <w:spacing w:after="300"/>
      <w:rPr>
        <w:lang w:val="en-US"/>
      </w:rPr>
    </w:pPr>
    <w:r w:rsidRPr="00DE54AB">
      <w:rPr>
        <w:lang w:val="en-US"/>
      </w:rPr>
      <w:fldChar w:fldCharType="begin"/>
    </w:r>
    <w:r>
      <w:rPr>
        <w:lang w:val="en-US"/>
      </w:rPr>
      <w:instrText xml:space="preserve"> STYLEREF "Heading U"</w:instrText>
    </w:r>
    <w:r w:rsidRPr="00DE54AB">
      <w:rPr>
        <w:lang w:val="en-US"/>
      </w:rPr>
      <w:instrText xml:space="preserve"> </w:instrText>
    </w:r>
    <w:r w:rsidRPr="00DE54AB">
      <w:rPr>
        <w:lang w:val="en-US"/>
      </w:rPr>
      <w:fldChar w:fldCharType="separate"/>
    </w:r>
    <w:r w:rsidR="00BE6CE4">
      <w:rPr>
        <w:noProof/>
        <w:lang w:val="en-US"/>
      </w:rPr>
      <w:t>List of shortened forms</w:t>
    </w:r>
    <w:r w:rsidRPr="00DE54AB">
      <w:rPr>
        <w:noProof/>
        <w:lang w:val="en-US"/>
      </w:rPr>
      <w:fldChar w:fldCharType="end"/>
    </w:r>
    <w:r w:rsidRPr="00DE54AB">
      <w:rPr>
        <w:lang w:val="en-US"/>
      </w:rPr>
      <w:ptab w:relativeTo="margin" w:alignment="right" w:leader="none"/>
    </w:r>
    <w:r w:rsidRPr="00DE54AB">
      <w:rPr>
        <w:lang w:val="en-US"/>
      </w:rPr>
      <w:fldChar w:fldCharType="begin"/>
    </w:r>
    <w:r w:rsidRPr="00DE54AB">
      <w:rPr>
        <w:lang w:val="en-US"/>
      </w:rPr>
      <w:instrText xml:space="preserve"> DOCVARIABLE ReportTitle </w:instrText>
    </w:r>
    <w:r w:rsidRPr="00DE54AB">
      <w:rPr>
        <w:lang w:val="en-US"/>
      </w:rPr>
      <w:fldChar w:fldCharType="separate"/>
    </w:r>
    <w:r w:rsidR="00BE6CE4">
      <w:rPr>
        <w:lang w:val="en-US"/>
      </w:rPr>
      <w:t>Retirement Villages (Contractual Arrangements) Regulations Regulatory Impact Statement</w:t>
    </w:r>
    <w:r w:rsidRPr="00DE54AB">
      <w:rPr>
        <w:lang w:val="en-US"/>
      </w:rPr>
      <w:fldChar w:fldCharType="end"/>
    </w:r>
  </w:p>
  <w:p w14:paraId="7428A4D3" w14:textId="77777777" w:rsidR="00FB35E2" w:rsidRPr="00DE54AB" w:rsidRDefault="00FB35E2" w:rsidP="0038555D">
    <w:pPr>
      <w:pStyle w:val="DraftMarkings"/>
      <w:jc w:val="left"/>
      <w:rPr>
        <w:lang w:val="en-US"/>
      </w:rPr>
    </w:pPr>
    <w:r w:rsidRPr="00DE54AB">
      <w:rPr>
        <w:lang w:val="en-US"/>
      </w:rPr>
      <w:fldChar w:fldCharType="begin"/>
    </w:r>
    <w:r w:rsidRPr="00DE54AB">
      <w:rPr>
        <w:lang w:val="en-US"/>
      </w:rPr>
      <w:instrText xml:space="preserve"> DOCVARIABLE Draft </w:instrText>
    </w:r>
    <w:r w:rsidRPr="00DE54AB">
      <w:rPr>
        <w:lang w:val="en-US"/>
      </w:rPr>
      <w:fldChar w:fldCharType="separate"/>
    </w:r>
    <w:r w:rsidR="00BE6CE4">
      <w:rPr>
        <w:lang w:val="en-US"/>
      </w:rPr>
      <w:t xml:space="preserve"> </w:t>
    </w:r>
    <w:r w:rsidRPr="00DE54AB">
      <w:rPr>
        <w:lang w:val="en-US"/>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D80A2" w14:textId="77777777" w:rsidR="00FB35E2" w:rsidRPr="00DE54AB" w:rsidRDefault="00FB35E2" w:rsidP="0038555D">
    <w:pPr>
      <w:pStyle w:val="ClientNameCrossRef"/>
      <w:spacing w:after="300"/>
      <w:rPr>
        <w:lang w:val="en-US"/>
      </w:rPr>
    </w:pPr>
    <w:r w:rsidRPr="009D5287">
      <w:rPr>
        <w:lang w:val="en-US"/>
      </w:rPr>
      <w:t xml:space="preserve">Retirement Villages (Contractual Arrangements) Regulations </w:t>
    </w:r>
    <w:r>
      <w:rPr>
        <w:lang w:val="en-US"/>
      </w:rPr>
      <w:t>RIS</w:t>
    </w:r>
    <w:r w:rsidRPr="00DE54AB">
      <w:rPr>
        <w:lang w:val="en-US"/>
      </w:rPr>
      <w:ptab w:relativeTo="margin" w:alignment="right" w:leader="none"/>
    </w:r>
    <w:r w:rsidRPr="00DE54AB">
      <w:rPr>
        <w:lang w:val="en-US"/>
      </w:rPr>
      <w:fldChar w:fldCharType="begin"/>
    </w:r>
    <w:r w:rsidRPr="00166B4D">
      <w:instrText xml:space="preserve"> STYLEREF "Heading U" </w:instrText>
    </w:r>
    <w:r w:rsidRPr="00DE54AB">
      <w:rPr>
        <w:lang w:val="en-US"/>
      </w:rPr>
      <w:fldChar w:fldCharType="separate"/>
    </w:r>
    <w:r w:rsidR="00BE6CE4">
      <w:rPr>
        <w:noProof/>
      </w:rPr>
      <w:t>Executive Summary</w:t>
    </w:r>
    <w:r w:rsidRPr="00DE54AB">
      <w:rPr>
        <w:noProof/>
        <w:lang w:val="en-US"/>
      </w:rPr>
      <w:fldChar w:fldCharType="end"/>
    </w:r>
  </w:p>
  <w:p w14:paraId="516C92FA" w14:textId="77777777" w:rsidR="00FB35E2" w:rsidRPr="00176806" w:rsidRDefault="00FB35E2" w:rsidP="0038555D">
    <w:pPr>
      <w:pStyle w:val="DraftMarkings"/>
      <w:rPr>
        <w:lang w:val="en-US"/>
      </w:rPr>
    </w:pPr>
    <w:r w:rsidRPr="00DE54AB">
      <w:rPr>
        <w:lang w:val="en-US"/>
      </w:rPr>
      <w:ptab w:relativeTo="margin" w:alignment="right" w:leader="none"/>
    </w:r>
    <w:r w:rsidRPr="00DE54AB">
      <w:rPr>
        <w:lang w:val="en-US"/>
      </w:rPr>
      <w:fldChar w:fldCharType="begin"/>
    </w:r>
    <w:r w:rsidRPr="00DE54AB">
      <w:rPr>
        <w:lang w:val="en-US"/>
      </w:rPr>
      <w:instrText xml:space="preserve"> DOCVARIABLE Draft</w:instrText>
    </w:r>
    <w:r w:rsidRPr="00DE54AB">
      <w:rPr>
        <w:lang w:val="en-US"/>
      </w:rPr>
      <w:fldChar w:fldCharType="separate"/>
    </w:r>
    <w:r w:rsidR="00BE6CE4">
      <w:rPr>
        <w:lang w:val="en-US"/>
      </w:rPr>
      <w:t xml:space="preserve"> </w:t>
    </w:r>
    <w:r w:rsidRPr="00DE54AB">
      <w:rPr>
        <w:lang w:val="en-US"/>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59DFB" w14:textId="77777777" w:rsidR="00FB35E2" w:rsidRDefault="00FB35E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F0250" w14:textId="77777777" w:rsidR="00FB35E2" w:rsidRPr="00D1019D" w:rsidRDefault="00FB35E2" w:rsidP="0038555D">
    <w:pPr>
      <w:pStyle w:val="ClientNameCrossRef"/>
      <w:spacing w:after="300"/>
    </w:pPr>
    <w:r w:rsidRPr="00DE54AB">
      <w:rPr>
        <w:lang w:val="en-US"/>
      </w:rPr>
      <w:fldChar w:fldCharType="begin"/>
    </w:r>
    <w:r w:rsidRPr="00D1019D">
      <w:instrText xml:space="preserve"> STYLEREF 1 </w:instrText>
    </w:r>
    <w:r w:rsidRPr="00DE54AB">
      <w:rPr>
        <w:lang w:val="en-US"/>
      </w:rPr>
      <w:fldChar w:fldCharType="separate"/>
    </w:r>
    <w:r w:rsidR="00BE6CE4">
      <w:rPr>
        <w:noProof/>
      </w:rPr>
      <w:t>Background</w:t>
    </w:r>
    <w:r w:rsidRPr="00DE54AB">
      <w:rPr>
        <w:noProof/>
        <w:lang w:val="en-US"/>
      </w:rPr>
      <w:fldChar w:fldCharType="end"/>
    </w:r>
    <w:r w:rsidRPr="00DE54AB">
      <w:rPr>
        <w:lang w:val="en-US"/>
      </w:rPr>
      <w:ptab w:relativeTo="margin" w:alignment="right" w:leader="none"/>
    </w:r>
    <w:r w:rsidRPr="00DE54AB">
      <w:rPr>
        <w:lang w:val="en-US"/>
      </w:rPr>
      <w:fldChar w:fldCharType="begin"/>
    </w:r>
    <w:r w:rsidRPr="00D1019D">
      <w:instrText xml:space="preserve"> DOCVARIABLE ReportTitle </w:instrText>
    </w:r>
    <w:r w:rsidRPr="00DE54AB">
      <w:rPr>
        <w:lang w:val="en-US"/>
      </w:rPr>
      <w:fldChar w:fldCharType="separate"/>
    </w:r>
    <w:r w:rsidR="00BE6CE4">
      <w:t>Retirement Villages (Contractual Arrangements) Regulations Regulatory Impact Statement</w:t>
    </w:r>
    <w:r w:rsidRPr="00DE54AB">
      <w:rPr>
        <w:lang w:val="en-US"/>
      </w:rPr>
      <w:fldChar w:fldCharType="end"/>
    </w:r>
  </w:p>
  <w:p w14:paraId="2B28B205" w14:textId="77777777" w:rsidR="00FB35E2" w:rsidRPr="00DE54AB" w:rsidRDefault="00FB35E2" w:rsidP="0038555D">
    <w:pPr>
      <w:pStyle w:val="DraftMarkings"/>
      <w:jc w:val="left"/>
      <w:rPr>
        <w:lang w:val="en-US"/>
      </w:rPr>
    </w:pPr>
    <w:r w:rsidRPr="00DE54AB">
      <w:rPr>
        <w:lang w:val="en-US"/>
      </w:rPr>
      <w:fldChar w:fldCharType="begin"/>
    </w:r>
    <w:r w:rsidRPr="00D1019D">
      <w:instrText xml:space="preserve"> DOCVARIABLE Draft </w:instrText>
    </w:r>
    <w:r w:rsidRPr="00DE54AB">
      <w:rPr>
        <w:lang w:val="en-US"/>
      </w:rPr>
      <w:fldChar w:fldCharType="separate"/>
    </w:r>
    <w:r w:rsidR="00BE6CE4">
      <w:t xml:space="preserve"> </w:t>
    </w:r>
    <w:r w:rsidRPr="00DE54AB">
      <w:rPr>
        <w:lang w:val="en-US"/>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90CA" w14:textId="77777777" w:rsidR="00FB35E2" w:rsidRPr="00C044E6" w:rsidRDefault="00FB35E2" w:rsidP="00647438">
    <w:pPr>
      <w:pStyle w:val="ClientNameCrossRef"/>
      <w:spacing w:after="300"/>
      <w:rPr>
        <w:lang w:val="fr-FR"/>
      </w:rPr>
    </w:pPr>
    <w:r w:rsidRPr="00C044E6">
      <w:rPr>
        <w:lang w:val="fr-FR"/>
      </w:rPr>
      <w:t>Retirement Villages (Contractual Arrangements) Regulations RIS</w:t>
    </w:r>
    <w:r w:rsidRPr="00DA6A6B">
      <w:ptab w:relativeTo="margin" w:alignment="right" w:leader="none"/>
    </w:r>
    <w:r w:rsidRPr="00DA6A6B">
      <w:fldChar w:fldCharType="begin"/>
    </w:r>
    <w:r w:rsidRPr="00C044E6">
      <w:rPr>
        <w:lang w:val="fr-FR"/>
      </w:rPr>
      <w:instrText xml:space="preserve"> STYLEREF 1 </w:instrText>
    </w:r>
    <w:r w:rsidR="00BE6CE4">
      <w:fldChar w:fldCharType="separate"/>
    </w:r>
    <w:r w:rsidR="00BE6CE4">
      <w:rPr>
        <w:noProof/>
        <w:lang w:val="fr-FR"/>
      </w:rPr>
      <w:t>Background</w:t>
    </w:r>
    <w:r w:rsidRPr="00DA6A6B">
      <w:rPr>
        <w:noProof/>
      </w:rPr>
      <w:fldChar w:fldCharType="end"/>
    </w:r>
    <w:r w:rsidRPr="00DA6A6B">
      <w:fldChar w:fldCharType="begin"/>
    </w:r>
    <w:r w:rsidRPr="00C044E6">
      <w:rPr>
        <w:lang w:val="fr-FR"/>
      </w:rPr>
      <w:instrText xml:space="preserve"> DOCVARIABLE Draft</w:instrText>
    </w:r>
    <w:r w:rsidRPr="00DA6A6B">
      <w:fldChar w:fldCharType="separate"/>
    </w:r>
    <w:r w:rsidR="00BE6CE4">
      <w:rPr>
        <w:lang w:val="fr-FR"/>
      </w:rPr>
      <w:t xml:space="preserve"> </w:t>
    </w:r>
    <w:r w:rsidRPr="00DA6A6B">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ABADACE"/>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0725FC4"/>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FE"/>
    <w:multiLevelType w:val="singleLevel"/>
    <w:tmpl w:val="7D3CF708"/>
    <w:lvl w:ilvl="0">
      <w:numFmt w:val="bullet"/>
      <w:lvlText w:val="*"/>
      <w:lvlJc w:val="left"/>
    </w:lvl>
  </w:abstractNum>
  <w:abstractNum w:abstractNumId="3" w15:restartNumberingAfterBreak="0">
    <w:nsid w:val="013917FD"/>
    <w:multiLevelType w:val="hybridMultilevel"/>
    <w:tmpl w:val="D904F2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03C419FD"/>
    <w:multiLevelType w:val="hybridMultilevel"/>
    <w:tmpl w:val="37C62018"/>
    <w:lvl w:ilvl="0" w:tplc="C3868C4E">
      <w:start w:val="1"/>
      <w:numFmt w:val="bullet"/>
      <w:lvlText w:val=""/>
      <w:lvlJc w:val="left"/>
      <w:pPr>
        <w:tabs>
          <w:tab w:val="num" w:pos="648"/>
        </w:tabs>
        <w:ind w:left="648" w:hanging="365"/>
      </w:pPr>
      <w:rPr>
        <w:rFonts w:ascii="Wingdings" w:hAnsi="Wingdings" w:hint="default"/>
        <w:sz w:val="26"/>
        <w:szCs w:val="2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415EAD"/>
    <w:multiLevelType w:val="hybridMultilevel"/>
    <w:tmpl w:val="CED0BA56"/>
    <w:lvl w:ilvl="0" w:tplc="2D64D384">
      <w:start w:val="1"/>
      <w:numFmt w:val="decimal"/>
      <w:lvlText w:val="(%1)"/>
      <w:lvlJc w:val="left"/>
      <w:pPr>
        <w:ind w:left="2516" w:hanging="395"/>
      </w:pPr>
      <w:rPr>
        <w:rFonts w:ascii="Times New Roman" w:eastAsia="Times New Roman" w:hAnsi="Times New Roman" w:hint="default"/>
        <w:sz w:val="24"/>
        <w:szCs w:val="24"/>
      </w:rPr>
    </w:lvl>
    <w:lvl w:ilvl="1" w:tplc="EDCAF1E8">
      <w:start w:val="1"/>
      <w:numFmt w:val="lowerLetter"/>
      <w:lvlText w:val="(%2)"/>
      <w:lvlJc w:val="left"/>
      <w:pPr>
        <w:ind w:left="3027" w:hanging="382"/>
      </w:pPr>
      <w:rPr>
        <w:rFonts w:ascii="Times New Roman" w:eastAsia="Times New Roman" w:hAnsi="Times New Roman" w:hint="default"/>
        <w:sz w:val="24"/>
        <w:szCs w:val="24"/>
      </w:rPr>
    </w:lvl>
    <w:lvl w:ilvl="2" w:tplc="DD4AE10E">
      <w:start w:val="1"/>
      <w:numFmt w:val="bullet"/>
      <w:lvlText w:val="•"/>
      <w:lvlJc w:val="left"/>
      <w:pPr>
        <w:ind w:left="3640" w:hanging="382"/>
      </w:pPr>
      <w:rPr>
        <w:rFonts w:hint="default"/>
      </w:rPr>
    </w:lvl>
    <w:lvl w:ilvl="3" w:tplc="62DC2DA0">
      <w:start w:val="1"/>
      <w:numFmt w:val="bullet"/>
      <w:lvlText w:val="•"/>
      <w:lvlJc w:val="left"/>
      <w:pPr>
        <w:ind w:left="4253" w:hanging="382"/>
      </w:pPr>
      <w:rPr>
        <w:rFonts w:hint="default"/>
      </w:rPr>
    </w:lvl>
    <w:lvl w:ilvl="4" w:tplc="A6CC6CC8">
      <w:start w:val="1"/>
      <w:numFmt w:val="bullet"/>
      <w:lvlText w:val="•"/>
      <w:lvlJc w:val="left"/>
      <w:pPr>
        <w:ind w:left="4867" w:hanging="382"/>
      </w:pPr>
      <w:rPr>
        <w:rFonts w:hint="default"/>
      </w:rPr>
    </w:lvl>
    <w:lvl w:ilvl="5" w:tplc="C2D4DECA">
      <w:start w:val="1"/>
      <w:numFmt w:val="bullet"/>
      <w:lvlText w:val="•"/>
      <w:lvlJc w:val="left"/>
      <w:pPr>
        <w:ind w:left="5480" w:hanging="382"/>
      </w:pPr>
      <w:rPr>
        <w:rFonts w:hint="default"/>
      </w:rPr>
    </w:lvl>
    <w:lvl w:ilvl="6" w:tplc="7EBA24C0">
      <w:start w:val="1"/>
      <w:numFmt w:val="bullet"/>
      <w:lvlText w:val="•"/>
      <w:lvlJc w:val="left"/>
      <w:pPr>
        <w:ind w:left="6093" w:hanging="382"/>
      </w:pPr>
      <w:rPr>
        <w:rFonts w:hint="default"/>
      </w:rPr>
    </w:lvl>
    <w:lvl w:ilvl="7" w:tplc="6374CA76">
      <w:start w:val="1"/>
      <w:numFmt w:val="bullet"/>
      <w:lvlText w:val="•"/>
      <w:lvlJc w:val="left"/>
      <w:pPr>
        <w:ind w:left="6706" w:hanging="382"/>
      </w:pPr>
      <w:rPr>
        <w:rFonts w:hint="default"/>
      </w:rPr>
    </w:lvl>
    <w:lvl w:ilvl="8" w:tplc="95F6AAB6">
      <w:start w:val="1"/>
      <w:numFmt w:val="bullet"/>
      <w:lvlText w:val="•"/>
      <w:lvlJc w:val="left"/>
      <w:pPr>
        <w:ind w:left="7319" w:hanging="382"/>
      </w:pPr>
      <w:rPr>
        <w:rFonts w:hint="default"/>
      </w:rPr>
    </w:lvl>
  </w:abstractNum>
  <w:abstractNum w:abstractNumId="6" w15:restartNumberingAfterBreak="0">
    <w:nsid w:val="08705863"/>
    <w:multiLevelType w:val="hybridMultilevel"/>
    <w:tmpl w:val="26420A3C"/>
    <w:lvl w:ilvl="0" w:tplc="23AE51C0">
      <w:start w:val="1"/>
      <w:numFmt w:val="decimal"/>
      <w:lvlText w:val="%1"/>
      <w:lvlJc w:val="left"/>
      <w:pPr>
        <w:ind w:left="1721" w:hanging="396"/>
      </w:pPr>
      <w:rPr>
        <w:rFonts w:ascii="Times New Roman" w:eastAsia="Times New Roman" w:hAnsi="Times New Roman" w:hint="default"/>
        <w:w w:val="99"/>
        <w:sz w:val="20"/>
        <w:szCs w:val="20"/>
      </w:rPr>
    </w:lvl>
    <w:lvl w:ilvl="1" w:tplc="9A7274E6">
      <w:start w:val="1"/>
      <w:numFmt w:val="bullet"/>
      <w:lvlText w:val="•"/>
      <w:lvlJc w:val="left"/>
      <w:pPr>
        <w:ind w:left="2403" w:hanging="396"/>
      </w:pPr>
      <w:rPr>
        <w:rFonts w:hint="default"/>
      </w:rPr>
    </w:lvl>
    <w:lvl w:ilvl="2" w:tplc="3B0A444C">
      <w:start w:val="1"/>
      <w:numFmt w:val="bullet"/>
      <w:lvlText w:val="•"/>
      <w:lvlJc w:val="left"/>
      <w:pPr>
        <w:ind w:left="3086" w:hanging="396"/>
      </w:pPr>
      <w:rPr>
        <w:rFonts w:hint="default"/>
      </w:rPr>
    </w:lvl>
    <w:lvl w:ilvl="3" w:tplc="66CCFEAA">
      <w:start w:val="1"/>
      <w:numFmt w:val="bullet"/>
      <w:lvlText w:val="•"/>
      <w:lvlJc w:val="left"/>
      <w:pPr>
        <w:ind w:left="3768" w:hanging="396"/>
      </w:pPr>
      <w:rPr>
        <w:rFonts w:hint="default"/>
      </w:rPr>
    </w:lvl>
    <w:lvl w:ilvl="4" w:tplc="74F674D4">
      <w:start w:val="1"/>
      <w:numFmt w:val="bullet"/>
      <w:lvlText w:val="•"/>
      <w:lvlJc w:val="left"/>
      <w:pPr>
        <w:ind w:left="4451" w:hanging="396"/>
      </w:pPr>
      <w:rPr>
        <w:rFonts w:hint="default"/>
      </w:rPr>
    </w:lvl>
    <w:lvl w:ilvl="5" w:tplc="635E986C">
      <w:start w:val="1"/>
      <w:numFmt w:val="bullet"/>
      <w:lvlText w:val="•"/>
      <w:lvlJc w:val="left"/>
      <w:pPr>
        <w:ind w:left="5133" w:hanging="396"/>
      </w:pPr>
      <w:rPr>
        <w:rFonts w:hint="default"/>
      </w:rPr>
    </w:lvl>
    <w:lvl w:ilvl="6" w:tplc="EC181428">
      <w:start w:val="1"/>
      <w:numFmt w:val="bullet"/>
      <w:lvlText w:val="•"/>
      <w:lvlJc w:val="left"/>
      <w:pPr>
        <w:ind w:left="5816" w:hanging="396"/>
      </w:pPr>
      <w:rPr>
        <w:rFonts w:hint="default"/>
      </w:rPr>
    </w:lvl>
    <w:lvl w:ilvl="7" w:tplc="83582B24">
      <w:start w:val="1"/>
      <w:numFmt w:val="bullet"/>
      <w:lvlText w:val="•"/>
      <w:lvlJc w:val="left"/>
      <w:pPr>
        <w:ind w:left="6498" w:hanging="396"/>
      </w:pPr>
      <w:rPr>
        <w:rFonts w:hint="default"/>
      </w:rPr>
    </w:lvl>
    <w:lvl w:ilvl="8" w:tplc="4C5A7F7C">
      <w:start w:val="1"/>
      <w:numFmt w:val="bullet"/>
      <w:lvlText w:val="•"/>
      <w:lvlJc w:val="left"/>
      <w:pPr>
        <w:ind w:left="7181" w:hanging="396"/>
      </w:pPr>
      <w:rPr>
        <w:rFonts w:hint="default"/>
      </w:rPr>
    </w:lvl>
  </w:abstractNum>
  <w:abstractNum w:abstractNumId="7" w15:restartNumberingAfterBreak="0">
    <w:nsid w:val="09181C4E"/>
    <w:multiLevelType w:val="multilevel"/>
    <w:tmpl w:val="4380D2A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decimal"/>
      <w:pStyle w:val="ListNumber"/>
      <w:lvlText w:val="%6."/>
      <w:lvlJc w:val="left"/>
      <w:pPr>
        <w:tabs>
          <w:tab w:val="num" w:pos="360"/>
        </w:tabs>
        <w:ind w:left="360" w:hanging="360"/>
      </w:pPr>
    </w:lvl>
    <w:lvl w:ilvl="6">
      <w:start w:val="1"/>
      <w:numFmt w:val="upperLetter"/>
      <w:pStyle w:val="ListNumber2"/>
      <w:lvlText w:val="%7."/>
      <w:lvlJc w:val="left"/>
      <w:pPr>
        <w:tabs>
          <w:tab w:val="num" w:pos="720"/>
        </w:tabs>
        <w:ind w:left="720" w:hanging="360"/>
      </w:pPr>
    </w:lvl>
    <w:lvl w:ilvl="7">
      <w:start w:val="1"/>
      <w:numFmt w:val="lowerRoman"/>
      <w:pStyle w:val="ListNumber3"/>
      <w:lvlText w:val="%8."/>
      <w:lvlJc w:val="left"/>
      <w:pPr>
        <w:tabs>
          <w:tab w:val="num" w:pos="1080"/>
        </w:tabs>
        <w:ind w:left="1080" w:hanging="360"/>
      </w:pPr>
    </w:lvl>
    <w:lvl w:ilvl="8">
      <w:start w:val="1"/>
      <w:numFmt w:val="lowerLetter"/>
      <w:pStyle w:val="ListNumber4"/>
      <w:lvlText w:val="%9."/>
      <w:lvlJc w:val="left"/>
      <w:pPr>
        <w:tabs>
          <w:tab w:val="num" w:pos="1440"/>
        </w:tabs>
        <w:ind w:left="1440" w:hanging="360"/>
      </w:pPr>
    </w:lvl>
  </w:abstractNum>
  <w:abstractNum w:abstractNumId="8" w15:restartNumberingAfterBreak="0">
    <w:nsid w:val="0B196D58"/>
    <w:multiLevelType w:val="multilevel"/>
    <w:tmpl w:val="57FE015A"/>
    <w:lvl w:ilvl="0">
      <w:start w:val="16"/>
      <w:numFmt w:val="decimal"/>
      <w:lvlText w:val="%1"/>
      <w:lvlJc w:val="left"/>
      <w:pPr>
        <w:ind w:left="1651" w:hanging="456"/>
      </w:pPr>
      <w:rPr>
        <w:rFonts w:hint="default"/>
      </w:rPr>
    </w:lvl>
    <w:lvl w:ilvl="1">
      <w:start w:val="156"/>
      <w:numFmt w:val="decimal"/>
      <w:lvlText w:val="%1-%2"/>
      <w:lvlJc w:val="left"/>
      <w:pPr>
        <w:ind w:left="1651" w:hanging="456"/>
      </w:pPr>
      <w:rPr>
        <w:rFonts w:ascii="Times New Roman" w:eastAsia="Times New Roman" w:hAnsi="Times New Roman" w:hint="default"/>
        <w:spacing w:val="-2"/>
        <w:sz w:val="16"/>
        <w:szCs w:val="16"/>
      </w:rPr>
    </w:lvl>
    <w:lvl w:ilvl="2">
      <w:start w:val="1"/>
      <w:numFmt w:val="decimal"/>
      <w:lvlText w:val="%3"/>
      <w:lvlJc w:val="left"/>
      <w:pPr>
        <w:ind w:left="2004" w:hanging="291"/>
        <w:jc w:val="right"/>
      </w:pPr>
      <w:rPr>
        <w:rFonts w:ascii="Times New Roman" w:eastAsia="Times New Roman" w:hAnsi="Times New Roman" w:hint="default"/>
        <w:b/>
        <w:bCs/>
        <w:sz w:val="24"/>
        <w:szCs w:val="24"/>
      </w:rPr>
    </w:lvl>
    <w:lvl w:ilvl="3">
      <w:start w:val="1"/>
      <w:numFmt w:val="lowerLetter"/>
      <w:lvlText w:val="(%4)"/>
      <w:lvlJc w:val="left"/>
      <w:pPr>
        <w:ind w:left="3027" w:hanging="382"/>
      </w:pPr>
      <w:rPr>
        <w:rFonts w:ascii="Times New Roman" w:eastAsia="Times New Roman" w:hAnsi="Times New Roman" w:hint="default"/>
        <w:sz w:val="24"/>
        <w:szCs w:val="24"/>
      </w:rPr>
    </w:lvl>
    <w:lvl w:ilvl="4">
      <w:start w:val="1"/>
      <w:numFmt w:val="lowerRoman"/>
      <w:lvlText w:val="(%5)"/>
      <w:lvlJc w:val="left"/>
      <w:pPr>
        <w:ind w:left="3536" w:hanging="339"/>
        <w:jc w:val="right"/>
      </w:pPr>
      <w:rPr>
        <w:rFonts w:ascii="Times New Roman" w:eastAsia="Times New Roman" w:hAnsi="Times New Roman" w:hint="default"/>
        <w:sz w:val="24"/>
        <w:szCs w:val="24"/>
      </w:rPr>
    </w:lvl>
    <w:lvl w:ilvl="5">
      <w:start w:val="1"/>
      <w:numFmt w:val="bullet"/>
      <w:lvlText w:val="•"/>
      <w:lvlJc w:val="left"/>
      <w:pPr>
        <w:ind w:left="3406" w:hanging="339"/>
      </w:pPr>
      <w:rPr>
        <w:rFonts w:hint="default"/>
      </w:rPr>
    </w:lvl>
    <w:lvl w:ilvl="6">
      <w:start w:val="1"/>
      <w:numFmt w:val="bullet"/>
      <w:lvlText w:val="•"/>
      <w:lvlJc w:val="left"/>
      <w:pPr>
        <w:ind w:left="3341" w:hanging="339"/>
      </w:pPr>
      <w:rPr>
        <w:rFonts w:hint="default"/>
      </w:rPr>
    </w:lvl>
    <w:lvl w:ilvl="7">
      <w:start w:val="1"/>
      <w:numFmt w:val="bullet"/>
      <w:lvlText w:val="•"/>
      <w:lvlJc w:val="left"/>
      <w:pPr>
        <w:ind w:left="3276" w:hanging="339"/>
      </w:pPr>
      <w:rPr>
        <w:rFonts w:hint="default"/>
      </w:rPr>
    </w:lvl>
    <w:lvl w:ilvl="8">
      <w:start w:val="1"/>
      <w:numFmt w:val="bullet"/>
      <w:lvlText w:val="•"/>
      <w:lvlJc w:val="left"/>
      <w:pPr>
        <w:ind w:left="3211" w:hanging="339"/>
      </w:pPr>
      <w:rPr>
        <w:rFonts w:hint="default"/>
      </w:rPr>
    </w:lvl>
  </w:abstractNum>
  <w:abstractNum w:abstractNumId="9" w15:restartNumberingAfterBreak="0">
    <w:nsid w:val="0C294382"/>
    <w:multiLevelType w:val="hybridMultilevel"/>
    <w:tmpl w:val="EF788DEA"/>
    <w:lvl w:ilvl="0" w:tplc="D4A4140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E8606A"/>
    <w:multiLevelType w:val="hybridMultilevel"/>
    <w:tmpl w:val="00A866F8"/>
    <w:lvl w:ilvl="0" w:tplc="901E5290">
      <w:start w:val="1"/>
      <w:numFmt w:val="lowerLetter"/>
      <w:lvlText w:val="(%1)"/>
      <w:lvlJc w:val="left"/>
      <w:pPr>
        <w:ind w:left="1862" w:hanging="425"/>
      </w:pPr>
      <w:rPr>
        <w:rFonts w:ascii="Times New Roman" w:eastAsia="Times New Roman" w:hAnsi="Times New Roman" w:hint="default"/>
        <w:w w:val="99"/>
        <w:sz w:val="20"/>
        <w:szCs w:val="20"/>
      </w:rPr>
    </w:lvl>
    <w:lvl w:ilvl="1" w:tplc="B34ACFA0">
      <w:start w:val="1"/>
      <w:numFmt w:val="bullet"/>
      <w:lvlText w:val="•"/>
      <w:lvlJc w:val="left"/>
      <w:pPr>
        <w:ind w:left="2531" w:hanging="425"/>
      </w:pPr>
      <w:rPr>
        <w:rFonts w:hint="default"/>
      </w:rPr>
    </w:lvl>
    <w:lvl w:ilvl="2" w:tplc="BF20B6B4">
      <w:start w:val="1"/>
      <w:numFmt w:val="bullet"/>
      <w:lvlText w:val="•"/>
      <w:lvlJc w:val="left"/>
      <w:pPr>
        <w:ind w:left="3199" w:hanging="425"/>
      </w:pPr>
      <w:rPr>
        <w:rFonts w:hint="default"/>
      </w:rPr>
    </w:lvl>
    <w:lvl w:ilvl="3" w:tplc="A4A0F6C4">
      <w:start w:val="1"/>
      <w:numFmt w:val="bullet"/>
      <w:lvlText w:val="•"/>
      <w:lvlJc w:val="left"/>
      <w:pPr>
        <w:ind w:left="3867" w:hanging="425"/>
      </w:pPr>
      <w:rPr>
        <w:rFonts w:hint="default"/>
      </w:rPr>
    </w:lvl>
    <w:lvl w:ilvl="4" w:tplc="628C2C84">
      <w:start w:val="1"/>
      <w:numFmt w:val="bullet"/>
      <w:lvlText w:val="•"/>
      <w:lvlJc w:val="left"/>
      <w:pPr>
        <w:ind w:left="4536" w:hanging="425"/>
      </w:pPr>
      <w:rPr>
        <w:rFonts w:hint="default"/>
      </w:rPr>
    </w:lvl>
    <w:lvl w:ilvl="5" w:tplc="31620838">
      <w:start w:val="1"/>
      <w:numFmt w:val="bullet"/>
      <w:lvlText w:val="•"/>
      <w:lvlJc w:val="left"/>
      <w:pPr>
        <w:ind w:left="5204" w:hanging="425"/>
      </w:pPr>
      <w:rPr>
        <w:rFonts w:hint="default"/>
      </w:rPr>
    </w:lvl>
    <w:lvl w:ilvl="6" w:tplc="8774DD30">
      <w:start w:val="1"/>
      <w:numFmt w:val="bullet"/>
      <w:lvlText w:val="•"/>
      <w:lvlJc w:val="left"/>
      <w:pPr>
        <w:ind w:left="5872" w:hanging="425"/>
      </w:pPr>
      <w:rPr>
        <w:rFonts w:hint="default"/>
      </w:rPr>
    </w:lvl>
    <w:lvl w:ilvl="7" w:tplc="291462C8">
      <w:start w:val="1"/>
      <w:numFmt w:val="bullet"/>
      <w:lvlText w:val="•"/>
      <w:lvlJc w:val="left"/>
      <w:pPr>
        <w:ind w:left="6541" w:hanging="425"/>
      </w:pPr>
      <w:rPr>
        <w:rFonts w:hint="default"/>
      </w:rPr>
    </w:lvl>
    <w:lvl w:ilvl="8" w:tplc="13B8BD70">
      <w:start w:val="1"/>
      <w:numFmt w:val="bullet"/>
      <w:lvlText w:val="•"/>
      <w:lvlJc w:val="left"/>
      <w:pPr>
        <w:ind w:left="7209" w:hanging="425"/>
      </w:pPr>
      <w:rPr>
        <w:rFonts w:hint="default"/>
      </w:rPr>
    </w:lvl>
  </w:abstractNum>
  <w:abstractNum w:abstractNumId="11" w15:restartNumberingAfterBreak="0">
    <w:nsid w:val="0DC904E2"/>
    <w:multiLevelType w:val="hybridMultilevel"/>
    <w:tmpl w:val="FBBCF6D2"/>
    <w:lvl w:ilvl="0" w:tplc="7980A930">
      <w:start w:val="1"/>
      <w:numFmt w:val="lowerLetter"/>
      <w:lvlText w:val="(%1)"/>
      <w:lvlJc w:val="left"/>
      <w:pPr>
        <w:ind w:left="1862" w:hanging="425"/>
      </w:pPr>
      <w:rPr>
        <w:rFonts w:ascii="Times New Roman" w:eastAsia="Times New Roman" w:hAnsi="Times New Roman" w:hint="default"/>
        <w:w w:val="99"/>
        <w:sz w:val="20"/>
        <w:szCs w:val="20"/>
      </w:rPr>
    </w:lvl>
    <w:lvl w:ilvl="1" w:tplc="0B9EF41A">
      <w:start w:val="1"/>
      <w:numFmt w:val="bullet"/>
      <w:lvlText w:val="•"/>
      <w:lvlJc w:val="left"/>
      <w:pPr>
        <w:ind w:left="2531" w:hanging="425"/>
      </w:pPr>
      <w:rPr>
        <w:rFonts w:hint="default"/>
      </w:rPr>
    </w:lvl>
    <w:lvl w:ilvl="2" w:tplc="51BC2824">
      <w:start w:val="1"/>
      <w:numFmt w:val="bullet"/>
      <w:lvlText w:val="•"/>
      <w:lvlJc w:val="left"/>
      <w:pPr>
        <w:ind w:left="3199" w:hanging="425"/>
      </w:pPr>
      <w:rPr>
        <w:rFonts w:hint="default"/>
      </w:rPr>
    </w:lvl>
    <w:lvl w:ilvl="3" w:tplc="698A3EE0">
      <w:start w:val="1"/>
      <w:numFmt w:val="bullet"/>
      <w:lvlText w:val="•"/>
      <w:lvlJc w:val="left"/>
      <w:pPr>
        <w:ind w:left="3867" w:hanging="425"/>
      </w:pPr>
      <w:rPr>
        <w:rFonts w:hint="default"/>
      </w:rPr>
    </w:lvl>
    <w:lvl w:ilvl="4" w:tplc="97AE84F4">
      <w:start w:val="1"/>
      <w:numFmt w:val="bullet"/>
      <w:lvlText w:val="•"/>
      <w:lvlJc w:val="left"/>
      <w:pPr>
        <w:ind w:left="4536" w:hanging="425"/>
      </w:pPr>
      <w:rPr>
        <w:rFonts w:hint="default"/>
      </w:rPr>
    </w:lvl>
    <w:lvl w:ilvl="5" w:tplc="E5B886A2">
      <w:start w:val="1"/>
      <w:numFmt w:val="bullet"/>
      <w:lvlText w:val="•"/>
      <w:lvlJc w:val="left"/>
      <w:pPr>
        <w:ind w:left="5204" w:hanging="425"/>
      </w:pPr>
      <w:rPr>
        <w:rFonts w:hint="default"/>
      </w:rPr>
    </w:lvl>
    <w:lvl w:ilvl="6" w:tplc="811481C2">
      <w:start w:val="1"/>
      <w:numFmt w:val="bullet"/>
      <w:lvlText w:val="•"/>
      <w:lvlJc w:val="left"/>
      <w:pPr>
        <w:ind w:left="5872" w:hanging="425"/>
      </w:pPr>
      <w:rPr>
        <w:rFonts w:hint="default"/>
      </w:rPr>
    </w:lvl>
    <w:lvl w:ilvl="7" w:tplc="5DF02E32">
      <w:start w:val="1"/>
      <w:numFmt w:val="bullet"/>
      <w:lvlText w:val="•"/>
      <w:lvlJc w:val="left"/>
      <w:pPr>
        <w:ind w:left="6541" w:hanging="425"/>
      </w:pPr>
      <w:rPr>
        <w:rFonts w:hint="default"/>
      </w:rPr>
    </w:lvl>
    <w:lvl w:ilvl="8" w:tplc="A5B6DAC4">
      <w:start w:val="1"/>
      <w:numFmt w:val="bullet"/>
      <w:lvlText w:val="•"/>
      <w:lvlJc w:val="left"/>
      <w:pPr>
        <w:ind w:left="7209" w:hanging="425"/>
      </w:pPr>
      <w:rPr>
        <w:rFonts w:hint="default"/>
      </w:rPr>
    </w:lvl>
  </w:abstractNum>
  <w:abstractNum w:abstractNumId="12" w15:restartNumberingAfterBreak="0">
    <w:nsid w:val="0E724E11"/>
    <w:multiLevelType w:val="multilevel"/>
    <w:tmpl w:val="E6AE663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ListBullet"/>
      <w:lvlText w:val="§"/>
      <w:lvlJc w:val="left"/>
      <w:pPr>
        <w:tabs>
          <w:tab w:val="num" w:pos="360"/>
        </w:tabs>
        <w:ind w:left="360" w:hanging="360"/>
      </w:pPr>
      <w:rPr>
        <w:rFonts w:ascii="Wingdings" w:hAnsi="Wingdings" w:cs="Arial" w:hint="default"/>
      </w:rPr>
    </w:lvl>
    <w:lvl w:ilvl="5">
      <w:start w:val="1"/>
      <w:numFmt w:val="lowerRoman"/>
      <w:pStyle w:val="ListBullet2"/>
      <w:lvlText w:val="−"/>
      <w:lvlJc w:val="left"/>
      <w:pPr>
        <w:tabs>
          <w:tab w:val="num" w:pos="720"/>
        </w:tabs>
        <w:ind w:left="720" w:hanging="360"/>
      </w:pPr>
      <w:rPr>
        <w:rFonts w:ascii="Arial" w:hAnsi="Arial" w:cs="Arial"/>
      </w:rPr>
    </w:lvl>
    <w:lvl w:ilvl="6">
      <w:start w:val="1"/>
      <w:numFmt w:val="decimal"/>
      <w:pStyle w:val="ListBullet3"/>
      <w:lvlText w:val="−"/>
      <w:lvlJc w:val="left"/>
      <w:pPr>
        <w:tabs>
          <w:tab w:val="num" w:pos="1080"/>
        </w:tabs>
        <w:ind w:left="1080" w:hanging="360"/>
      </w:pPr>
      <w:rPr>
        <w:rFonts w:ascii="Arial" w:hAnsi="Arial" w:cs="Arial"/>
      </w:rPr>
    </w:lvl>
    <w:lvl w:ilvl="7">
      <w:start w:val="1"/>
      <w:numFmt w:val="lowerLetter"/>
      <w:pStyle w:val="ListBullet4"/>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13" w15:restartNumberingAfterBreak="0">
    <w:nsid w:val="0E9A6E73"/>
    <w:multiLevelType w:val="hybridMultilevel"/>
    <w:tmpl w:val="F2C04D22"/>
    <w:lvl w:ilvl="0" w:tplc="7A62629C">
      <w:start w:val="1"/>
      <w:numFmt w:val="lowerLetter"/>
      <w:lvlText w:val="(%1)"/>
      <w:lvlJc w:val="left"/>
      <w:pPr>
        <w:ind w:left="1862" w:hanging="425"/>
      </w:pPr>
      <w:rPr>
        <w:rFonts w:ascii="Times New Roman" w:eastAsia="Times New Roman" w:hAnsi="Times New Roman" w:hint="default"/>
        <w:w w:val="99"/>
        <w:sz w:val="20"/>
        <w:szCs w:val="20"/>
      </w:rPr>
    </w:lvl>
    <w:lvl w:ilvl="1" w:tplc="87C655B4">
      <w:start w:val="1"/>
      <w:numFmt w:val="bullet"/>
      <w:lvlText w:val="•"/>
      <w:lvlJc w:val="left"/>
      <w:pPr>
        <w:ind w:left="2531" w:hanging="425"/>
      </w:pPr>
      <w:rPr>
        <w:rFonts w:hint="default"/>
      </w:rPr>
    </w:lvl>
    <w:lvl w:ilvl="2" w:tplc="3C8E6568">
      <w:start w:val="1"/>
      <w:numFmt w:val="bullet"/>
      <w:lvlText w:val="•"/>
      <w:lvlJc w:val="left"/>
      <w:pPr>
        <w:ind w:left="3199" w:hanging="425"/>
      </w:pPr>
      <w:rPr>
        <w:rFonts w:hint="default"/>
      </w:rPr>
    </w:lvl>
    <w:lvl w:ilvl="3" w:tplc="D33C3806">
      <w:start w:val="1"/>
      <w:numFmt w:val="bullet"/>
      <w:lvlText w:val="•"/>
      <w:lvlJc w:val="left"/>
      <w:pPr>
        <w:ind w:left="3867" w:hanging="425"/>
      </w:pPr>
      <w:rPr>
        <w:rFonts w:hint="default"/>
      </w:rPr>
    </w:lvl>
    <w:lvl w:ilvl="4" w:tplc="A1ACBAFC">
      <w:start w:val="1"/>
      <w:numFmt w:val="bullet"/>
      <w:lvlText w:val="•"/>
      <w:lvlJc w:val="left"/>
      <w:pPr>
        <w:ind w:left="4536" w:hanging="425"/>
      </w:pPr>
      <w:rPr>
        <w:rFonts w:hint="default"/>
      </w:rPr>
    </w:lvl>
    <w:lvl w:ilvl="5" w:tplc="F3E2E810">
      <w:start w:val="1"/>
      <w:numFmt w:val="bullet"/>
      <w:lvlText w:val="•"/>
      <w:lvlJc w:val="left"/>
      <w:pPr>
        <w:ind w:left="5204" w:hanging="425"/>
      </w:pPr>
      <w:rPr>
        <w:rFonts w:hint="default"/>
      </w:rPr>
    </w:lvl>
    <w:lvl w:ilvl="6" w:tplc="41188E0C">
      <w:start w:val="1"/>
      <w:numFmt w:val="bullet"/>
      <w:lvlText w:val="•"/>
      <w:lvlJc w:val="left"/>
      <w:pPr>
        <w:ind w:left="5872" w:hanging="425"/>
      </w:pPr>
      <w:rPr>
        <w:rFonts w:hint="default"/>
      </w:rPr>
    </w:lvl>
    <w:lvl w:ilvl="7" w:tplc="CA1889DE">
      <w:start w:val="1"/>
      <w:numFmt w:val="bullet"/>
      <w:lvlText w:val="•"/>
      <w:lvlJc w:val="left"/>
      <w:pPr>
        <w:ind w:left="6541" w:hanging="425"/>
      </w:pPr>
      <w:rPr>
        <w:rFonts w:hint="default"/>
      </w:rPr>
    </w:lvl>
    <w:lvl w:ilvl="8" w:tplc="9E98DCE2">
      <w:start w:val="1"/>
      <w:numFmt w:val="bullet"/>
      <w:lvlText w:val="•"/>
      <w:lvlJc w:val="left"/>
      <w:pPr>
        <w:ind w:left="7209" w:hanging="425"/>
      </w:pPr>
      <w:rPr>
        <w:rFonts w:hint="default"/>
      </w:rPr>
    </w:lvl>
  </w:abstractNum>
  <w:abstractNum w:abstractNumId="14" w15:restartNumberingAfterBreak="0">
    <w:nsid w:val="0F22473B"/>
    <w:multiLevelType w:val="hybridMultilevel"/>
    <w:tmpl w:val="DE9C91AC"/>
    <w:lvl w:ilvl="0" w:tplc="F50C653A">
      <w:start w:val="1"/>
      <w:numFmt w:val="bullet"/>
      <w:lvlText w:val=""/>
      <w:lvlJc w:val="left"/>
      <w:pPr>
        <w:ind w:left="702" w:hanging="284"/>
      </w:pPr>
      <w:rPr>
        <w:rFonts w:ascii="Symbol" w:eastAsia="Symbol" w:hAnsi="Symbol" w:hint="default"/>
        <w:w w:val="99"/>
        <w:sz w:val="20"/>
        <w:szCs w:val="20"/>
      </w:rPr>
    </w:lvl>
    <w:lvl w:ilvl="1" w:tplc="F9F6E330">
      <w:start w:val="1"/>
      <w:numFmt w:val="bullet"/>
      <w:lvlText w:val="•"/>
      <w:lvlJc w:val="left"/>
      <w:pPr>
        <w:ind w:left="1254" w:hanging="284"/>
      </w:pPr>
      <w:rPr>
        <w:rFonts w:hint="default"/>
      </w:rPr>
    </w:lvl>
    <w:lvl w:ilvl="2" w:tplc="4166562C">
      <w:start w:val="1"/>
      <w:numFmt w:val="bullet"/>
      <w:lvlText w:val="•"/>
      <w:lvlJc w:val="left"/>
      <w:pPr>
        <w:ind w:left="1807" w:hanging="284"/>
      </w:pPr>
      <w:rPr>
        <w:rFonts w:hint="default"/>
      </w:rPr>
    </w:lvl>
    <w:lvl w:ilvl="3" w:tplc="70D41318">
      <w:start w:val="1"/>
      <w:numFmt w:val="bullet"/>
      <w:lvlText w:val="•"/>
      <w:lvlJc w:val="left"/>
      <w:pPr>
        <w:ind w:left="2359" w:hanging="284"/>
      </w:pPr>
      <w:rPr>
        <w:rFonts w:hint="default"/>
      </w:rPr>
    </w:lvl>
    <w:lvl w:ilvl="4" w:tplc="D78245CA">
      <w:start w:val="1"/>
      <w:numFmt w:val="bullet"/>
      <w:lvlText w:val="•"/>
      <w:lvlJc w:val="left"/>
      <w:pPr>
        <w:ind w:left="2912" w:hanging="284"/>
      </w:pPr>
      <w:rPr>
        <w:rFonts w:hint="default"/>
      </w:rPr>
    </w:lvl>
    <w:lvl w:ilvl="5" w:tplc="DA3E2AAA">
      <w:start w:val="1"/>
      <w:numFmt w:val="bullet"/>
      <w:lvlText w:val="•"/>
      <w:lvlJc w:val="left"/>
      <w:pPr>
        <w:ind w:left="3464" w:hanging="284"/>
      </w:pPr>
      <w:rPr>
        <w:rFonts w:hint="default"/>
      </w:rPr>
    </w:lvl>
    <w:lvl w:ilvl="6" w:tplc="0B4265AC">
      <w:start w:val="1"/>
      <w:numFmt w:val="bullet"/>
      <w:lvlText w:val="•"/>
      <w:lvlJc w:val="left"/>
      <w:pPr>
        <w:ind w:left="4017" w:hanging="284"/>
      </w:pPr>
      <w:rPr>
        <w:rFonts w:hint="default"/>
      </w:rPr>
    </w:lvl>
    <w:lvl w:ilvl="7" w:tplc="E1AC259A">
      <w:start w:val="1"/>
      <w:numFmt w:val="bullet"/>
      <w:lvlText w:val="•"/>
      <w:lvlJc w:val="left"/>
      <w:pPr>
        <w:ind w:left="4569" w:hanging="284"/>
      </w:pPr>
      <w:rPr>
        <w:rFonts w:hint="default"/>
      </w:rPr>
    </w:lvl>
    <w:lvl w:ilvl="8" w:tplc="F2728C3A">
      <w:start w:val="1"/>
      <w:numFmt w:val="bullet"/>
      <w:lvlText w:val="•"/>
      <w:lvlJc w:val="left"/>
      <w:pPr>
        <w:ind w:left="5122" w:hanging="284"/>
      </w:pPr>
      <w:rPr>
        <w:rFonts w:hint="default"/>
      </w:rPr>
    </w:lvl>
  </w:abstractNum>
  <w:abstractNum w:abstractNumId="15" w15:restartNumberingAfterBreak="0">
    <w:nsid w:val="0FAB47E6"/>
    <w:multiLevelType w:val="hybridMultilevel"/>
    <w:tmpl w:val="62D4D758"/>
    <w:lvl w:ilvl="0" w:tplc="C4824E7C">
      <w:numFmt w:val="bullet"/>
      <w:lvlText w:val="-"/>
      <w:lvlJc w:val="left"/>
      <w:pPr>
        <w:ind w:left="405" w:hanging="360"/>
      </w:pPr>
      <w:rPr>
        <w:rFonts w:ascii="Calibri" w:eastAsia="Calibri" w:hAnsi="Calibri" w:cs="Times New Roman"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16" w15:restartNumberingAfterBreak="0">
    <w:nsid w:val="10721266"/>
    <w:multiLevelType w:val="hybridMultilevel"/>
    <w:tmpl w:val="2FB0E798"/>
    <w:lvl w:ilvl="0" w:tplc="440CD39A">
      <w:start w:val="1"/>
      <w:numFmt w:val="lowerLetter"/>
      <w:lvlText w:val="(%1)"/>
      <w:lvlJc w:val="left"/>
      <w:pPr>
        <w:ind w:left="1862" w:hanging="425"/>
      </w:pPr>
      <w:rPr>
        <w:rFonts w:ascii="Times New Roman" w:eastAsia="Times New Roman" w:hAnsi="Times New Roman" w:hint="default"/>
        <w:w w:val="99"/>
        <w:sz w:val="20"/>
        <w:szCs w:val="20"/>
      </w:rPr>
    </w:lvl>
    <w:lvl w:ilvl="1" w:tplc="4156D0BE">
      <w:start w:val="1"/>
      <w:numFmt w:val="bullet"/>
      <w:lvlText w:val="•"/>
      <w:lvlJc w:val="left"/>
      <w:pPr>
        <w:ind w:left="2531" w:hanging="425"/>
      </w:pPr>
      <w:rPr>
        <w:rFonts w:hint="default"/>
      </w:rPr>
    </w:lvl>
    <w:lvl w:ilvl="2" w:tplc="92C0468E">
      <w:start w:val="1"/>
      <w:numFmt w:val="bullet"/>
      <w:lvlText w:val="•"/>
      <w:lvlJc w:val="left"/>
      <w:pPr>
        <w:ind w:left="3199" w:hanging="425"/>
      </w:pPr>
      <w:rPr>
        <w:rFonts w:hint="default"/>
      </w:rPr>
    </w:lvl>
    <w:lvl w:ilvl="3" w:tplc="36C0AB92">
      <w:start w:val="1"/>
      <w:numFmt w:val="bullet"/>
      <w:lvlText w:val="•"/>
      <w:lvlJc w:val="left"/>
      <w:pPr>
        <w:ind w:left="3867" w:hanging="425"/>
      </w:pPr>
      <w:rPr>
        <w:rFonts w:hint="default"/>
      </w:rPr>
    </w:lvl>
    <w:lvl w:ilvl="4" w:tplc="A762F134">
      <w:start w:val="1"/>
      <w:numFmt w:val="bullet"/>
      <w:lvlText w:val="•"/>
      <w:lvlJc w:val="left"/>
      <w:pPr>
        <w:ind w:left="4536" w:hanging="425"/>
      </w:pPr>
      <w:rPr>
        <w:rFonts w:hint="default"/>
      </w:rPr>
    </w:lvl>
    <w:lvl w:ilvl="5" w:tplc="0234080C">
      <w:start w:val="1"/>
      <w:numFmt w:val="bullet"/>
      <w:lvlText w:val="•"/>
      <w:lvlJc w:val="left"/>
      <w:pPr>
        <w:ind w:left="5204" w:hanging="425"/>
      </w:pPr>
      <w:rPr>
        <w:rFonts w:hint="default"/>
      </w:rPr>
    </w:lvl>
    <w:lvl w:ilvl="6" w:tplc="29AE771A">
      <w:start w:val="1"/>
      <w:numFmt w:val="bullet"/>
      <w:lvlText w:val="•"/>
      <w:lvlJc w:val="left"/>
      <w:pPr>
        <w:ind w:left="5872" w:hanging="425"/>
      </w:pPr>
      <w:rPr>
        <w:rFonts w:hint="default"/>
      </w:rPr>
    </w:lvl>
    <w:lvl w:ilvl="7" w:tplc="AE18469C">
      <w:start w:val="1"/>
      <w:numFmt w:val="bullet"/>
      <w:lvlText w:val="•"/>
      <w:lvlJc w:val="left"/>
      <w:pPr>
        <w:ind w:left="6541" w:hanging="425"/>
      </w:pPr>
      <w:rPr>
        <w:rFonts w:hint="default"/>
      </w:rPr>
    </w:lvl>
    <w:lvl w:ilvl="8" w:tplc="1D187B0A">
      <w:start w:val="1"/>
      <w:numFmt w:val="bullet"/>
      <w:lvlText w:val="•"/>
      <w:lvlJc w:val="left"/>
      <w:pPr>
        <w:ind w:left="7209" w:hanging="425"/>
      </w:pPr>
      <w:rPr>
        <w:rFonts w:hint="default"/>
      </w:rPr>
    </w:lvl>
  </w:abstractNum>
  <w:abstractNum w:abstractNumId="17" w15:restartNumberingAfterBreak="0">
    <w:nsid w:val="11F92774"/>
    <w:multiLevelType w:val="multilevel"/>
    <w:tmpl w:val="F0966A3C"/>
    <w:name w:val="AppendicesList"/>
    <w:numStyleLink w:val="AppendicesList"/>
  </w:abstractNum>
  <w:abstractNum w:abstractNumId="18" w15:restartNumberingAfterBreak="0">
    <w:nsid w:val="11FB0616"/>
    <w:multiLevelType w:val="hybridMultilevel"/>
    <w:tmpl w:val="627CAFD4"/>
    <w:lvl w:ilvl="0" w:tplc="CF243694">
      <w:start w:val="1"/>
      <w:numFmt w:val="lowerLetter"/>
      <w:lvlText w:val="(%1)"/>
      <w:lvlJc w:val="left"/>
      <w:pPr>
        <w:ind w:left="1862" w:hanging="425"/>
      </w:pPr>
      <w:rPr>
        <w:rFonts w:ascii="Times New Roman" w:eastAsia="Times New Roman" w:hAnsi="Times New Roman" w:hint="default"/>
        <w:w w:val="99"/>
        <w:sz w:val="20"/>
        <w:szCs w:val="20"/>
      </w:rPr>
    </w:lvl>
    <w:lvl w:ilvl="1" w:tplc="22E2794E">
      <w:start w:val="1"/>
      <w:numFmt w:val="bullet"/>
      <w:lvlText w:val="•"/>
      <w:lvlJc w:val="left"/>
      <w:pPr>
        <w:ind w:left="2531" w:hanging="425"/>
      </w:pPr>
      <w:rPr>
        <w:rFonts w:hint="default"/>
      </w:rPr>
    </w:lvl>
    <w:lvl w:ilvl="2" w:tplc="0FC0859C">
      <w:start w:val="1"/>
      <w:numFmt w:val="bullet"/>
      <w:lvlText w:val="•"/>
      <w:lvlJc w:val="left"/>
      <w:pPr>
        <w:ind w:left="3199" w:hanging="425"/>
      </w:pPr>
      <w:rPr>
        <w:rFonts w:hint="default"/>
      </w:rPr>
    </w:lvl>
    <w:lvl w:ilvl="3" w:tplc="3184E82C">
      <w:start w:val="1"/>
      <w:numFmt w:val="bullet"/>
      <w:lvlText w:val="•"/>
      <w:lvlJc w:val="left"/>
      <w:pPr>
        <w:ind w:left="3867" w:hanging="425"/>
      </w:pPr>
      <w:rPr>
        <w:rFonts w:hint="default"/>
      </w:rPr>
    </w:lvl>
    <w:lvl w:ilvl="4" w:tplc="6F4E7870">
      <w:start w:val="1"/>
      <w:numFmt w:val="bullet"/>
      <w:lvlText w:val="•"/>
      <w:lvlJc w:val="left"/>
      <w:pPr>
        <w:ind w:left="4536" w:hanging="425"/>
      </w:pPr>
      <w:rPr>
        <w:rFonts w:hint="default"/>
      </w:rPr>
    </w:lvl>
    <w:lvl w:ilvl="5" w:tplc="DFFA12E6">
      <w:start w:val="1"/>
      <w:numFmt w:val="bullet"/>
      <w:lvlText w:val="•"/>
      <w:lvlJc w:val="left"/>
      <w:pPr>
        <w:ind w:left="5204" w:hanging="425"/>
      </w:pPr>
      <w:rPr>
        <w:rFonts w:hint="default"/>
      </w:rPr>
    </w:lvl>
    <w:lvl w:ilvl="6" w:tplc="6888C94A">
      <w:start w:val="1"/>
      <w:numFmt w:val="bullet"/>
      <w:lvlText w:val="•"/>
      <w:lvlJc w:val="left"/>
      <w:pPr>
        <w:ind w:left="5872" w:hanging="425"/>
      </w:pPr>
      <w:rPr>
        <w:rFonts w:hint="default"/>
      </w:rPr>
    </w:lvl>
    <w:lvl w:ilvl="7" w:tplc="BDE2FD2E">
      <w:start w:val="1"/>
      <w:numFmt w:val="bullet"/>
      <w:lvlText w:val="•"/>
      <w:lvlJc w:val="left"/>
      <w:pPr>
        <w:ind w:left="6541" w:hanging="425"/>
      </w:pPr>
      <w:rPr>
        <w:rFonts w:hint="default"/>
      </w:rPr>
    </w:lvl>
    <w:lvl w:ilvl="8" w:tplc="600C1B06">
      <w:start w:val="1"/>
      <w:numFmt w:val="bullet"/>
      <w:lvlText w:val="•"/>
      <w:lvlJc w:val="left"/>
      <w:pPr>
        <w:ind w:left="7209" w:hanging="425"/>
      </w:pPr>
      <w:rPr>
        <w:rFonts w:hint="default"/>
      </w:rPr>
    </w:lvl>
  </w:abstractNum>
  <w:abstractNum w:abstractNumId="19" w15:restartNumberingAfterBreak="0">
    <w:nsid w:val="12063690"/>
    <w:multiLevelType w:val="hybridMultilevel"/>
    <w:tmpl w:val="F7426054"/>
    <w:lvl w:ilvl="0" w:tplc="0620794C">
      <w:start w:val="1"/>
      <w:numFmt w:val="lowerLetter"/>
      <w:lvlText w:val="(%1)"/>
      <w:lvlJc w:val="left"/>
      <w:pPr>
        <w:ind w:left="1862" w:hanging="425"/>
      </w:pPr>
      <w:rPr>
        <w:rFonts w:ascii="Times New Roman" w:eastAsia="Times New Roman" w:hAnsi="Times New Roman" w:hint="default"/>
        <w:w w:val="99"/>
        <w:sz w:val="20"/>
        <w:szCs w:val="20"/>
      </w:rPr>
    </w:lvl>
    <w:lvl w:ilvl="1" w:tplc="ED06A216">
      <w:start w:val="1"/>
      <w:numFmt w:val="bullet"/>
      <w:lvlText w:val="•"/>
      <w:lvlJc w:val="left"/>
      <w:pPr>
        <w:ind w:left="2531" w:hanging="425"/>
      </w:pPr>
      <w:rPr>
        <w:rFonts w:hint="default"/>
      </w:rPr>
    </w:lvl>
    <w:lvl w:ilvl="2" w:tplc="98AA4CA4">
      <w:start w:val="1"/>
      <w:numFmt w:val="bullet"/>
      <w:lvlText w:val="•"/>
      <w:lvlJc w:val="left"/>
      <w:pPr>
        <w:ind w:left="3199" w:hanging="425"/>
      </w:pPr>
      <w:rPr>
        <w:rFonts w:hint="default"/>
      </w:rPr>
    </w:lvl>
    <w:lvl w:ilvl="3" w:tplc="C20A950A">
      <w:start w:val="1"/>
      <w:numFmt w:val="bullet"/>
      <w:lvlText w:val="•"/>
      <w:lvlJc w:val="left"/>
      <w:pPr>
        <w:ind w:left="3867" w:hanging="425"/>
      </w:pPr>
      <w:rPr>
        <w:rFonts w:hint="default"/>
      </w:rPr>
    </w:lvl>
    <w:lvl w:ilvl="4" w:tplc="1944C946">
      <w:start w:val="1"/>
      <w:numFmt w:val="bullet"/>
      <w:lvlText w:val="•"/>
      <w:lvlJc w:val="left"/>
      <w:pPr>
        <w:ind w:left="4536" w:hanging="425"/>
      </w:pPr>
      <w:rPr>
        <w:rFonts w:hint="default"/>
      </w:rPr>
    </w:lvl>
    <w:lvl w:ilvl="5" w:tplc="1BCCE6A0">
      <w:start w:val="1"/>
      <w:numFmt w:val="bullet"/>
      <w:lvlText w:val="•"/>
      <w:lvlJc w:val="left"/>
      <w:pPr>
        <w:ind w:left="5204" w:hanging="425"/>
      </w:pPr>
      <w:rPr>
        <w:rFonts w:hint="default"/>
      </w:rPr>
    </w:lvl>
    <w:lvl w:ilvl="6" w:tplc="111232EE">
      <w:start w:val="1"/>
      <w:numFmt w:val="bullet"/>
      <w:lvlText w:val="•"/>
      <w:lvlJc w:val="left"/>
      <w:pPr>
        <w:ind w:left="5872" w:hanging="425"/>
      </w:pPr>
      <w:rPr>
        <w:rFonts w:hint="default"/>
      </w:rPr>
    </w:lvl>
    <w:lvl w:ilvl="7" w:tplc="57445890">
      <w:start w:val="1"/>
      <w:numFmt w:val="bullet"/>
      <w:lvlText w:val="•"/>
      <w:lvlJc w:val="left"/>
      <w:pPr>
        <w:ind w:left="6541" w:hanging="425"/>
      </w:pPr>
      <w:rPr>
        <w:rFonts w:hint="default"/>
      </w:rPr>
    </w:lvl>
    <w:lvl w:ilvl="8" w:tplc="E604C7B8">
      <w:start w:val="1"/>
      <w:numFmt w:val="bullet"/>
      <w:lvlText w:val="•"/>
      <w:lvlJc w:val="left"/>
      <w:pPr>
        <w:ind w:left="7209" w:hanging="425"/>
      </w:pPr>
      <w:rPr>
        <w:rFonts w:hint="default"/>
      </w:rPr>
    </w:lvl>
  </w:abstractNum>
  <w:abstractNum w:abstractNumId="20" w15:restartNumberingAfterBreak="0">
    <w:nsid w:val="15F768B0"/>
    <w:multiLevelType w:val="hybridMultilevel"/>
    <w:tmpl w:val="EC3C37FA"/>
    <w:lvl w:ilvl="0" w:tplc="BFFCAC5A">
      <w:start w:val="1"/>
      <w:numFmt w:val="lowerLetter"/>
      <w:lvlText w:val="(%1)"/>
      <w:lvlJc w:val="left"/>
      <w:pPr>
        <w:ind w:left="1862" w:hanging="425"/>
      </w:pPr>
      <w:rPr>
        <w:rFonts w:ascii="Times New Roman" w:eastAsia="Times New Roman" w:hAnsi="Times New Roman" w:hint="default"/>
        <w:w w:val="99"/>
        <w:sz w:val="20"/>
        <w:szCs w:val="20"/>
      </w:rPr>
    </w:lvl>
    <w:lvl w:ilvl="1" w:tplc="8F040CE6">
      <w:start w:val="1"/>
      <w:numFmt w:val="bullet"/>
      <w:lvlText w:val="•"/>
      <w:lvlJc w:val="left"/>
      <w:pPr>
        <w:ind w:left="2531" w:hanging="425"/>
      </w:pPr>
      <w:rPr>
        <w:rFonts w:hint="default"/>
      </w:rPr>
    </w:lvl>
    <w:lvl w:ilvl="2" w:tplc="497EC1B8">
      <w:start w:val="1"/>
      <w:numFmt w:val="bullet"/>
      <w:lvlText w:val="•"/>
      <w:lvlJc w:val="left"/>
      <w:pPr>
        <w:ind w:left="3199" w:hanging="425"/>
      </w:pPr>
      <w:rPr>
        <w:rFonts w:hint="default"/>
      </w:rPr>
    </w:lvl>
    <w:lvl w:ilvl="3" w:tplc="668A1C84">
      <w:start w:val="1"/>
      <w:numFmt w:val="bullet"/>
      <w:lvlText w:val="•"/>
      <w:lvlJc w:val="left"/>
      <w:pPr>
        <w:ind w:left="3867" w:hanging="425"/>
      </w:pPr>
      <w:rPr>
        <w:rFonts w:hint="default"/>
      </w:rPr>
    </w:lvl>
    <w:lvl w:ilvl="4" w:tplc="529EF958">
      <w:start w:val="1"/>
      <w:numFmt w:val="bullet"/>
      <w:lvlText w:val="•"/>
      <w:lvlJc w:val="left"/>
      <w:pPr>
        <w:ind w:left="4536" w:hanging="425"/>
      </w:pPr>
      <w:rPr>
        <w:rFonts w:hint="default"/>
      </w:rPr>
    </w:lvl>
    <w:lvl w:ilvl="5" w:tplc="2AC66F64">
      <w:start w:val="1"/>
      <w:numFmt w:val="bullet"/>
      <w:lvlText w:val="•"/>
      <w:lvlJc w:val="left"/>
      <w:pPr>
        <w:ind w:left="5204" w:hanging="425"/>
      </w:pPr>
      <w:rPr>
        <w:rFonts w:hint="default"/>
      </w:rPr>
    </w:lvl>
    <w:lvl w:ilvl="6" w:tplc="B0AA0E48">
      <w:start w:val="1"/>
      <w:numFmt w:val="bullet"/>
      <w:lvlText w:val="•"/>
      <w:lvlJc w:val="left"/>
      <w:pPr>
        <w:ind w:left="5872" w:hanging="425"/>
      </w:pPr>
      <w:rPr>
        <w:rFonts w:hint="default"/>
      </w:rPr>
    </w:lvl>
    <w:lvl w:ilvl="7" w:tplc="57245796">
      <w:start w:val="1"/>
      <w:numFmt w:val="bullet"/>
      <w:lvlText w:val="•"/>
      <w:lvlJc w:val="left"/>
      <w:pPr>
        <w:ind w:left="6541" w:hanging="425"/>
      </w:pPr>
      <w:rPr>
        <w:rFonts w:hint="default"/>
      </w:rPr>
    </w:lvl>
    <w:lvl w:ilvl="8" w:tplc="794233E0">
      <w:start w:val="1"/>
      <w:numFmt w:val="bullet"/>
      <w:lvlText w:val="•"/>
      <w:lvlJc w:val="left"/>
      <w:pPr>
        <w:ind w:left="7209" w:hanging="425"/>
      </w:pPr>
      <w:rPr>
        <w:rFonts w:hint="default"/>
      </w:rPr>
    </w:lvl>
  </w:abstractNum>
  <w:abstractNum w:abstractNumId="21" w15:restartNumberingAfterBreak="0">
    <w:nsid w:val="15FD3CCB"/>
    <w:multiLevelType w:val="hybridMultilevel"/>
    <w:tmpl w:val="E6748CBE"/>
    <w:lvl w:ilvl="0" w:tplc="CBDC5E06">
      <w:start w:val="1"/>
      <w:numFmt w:val="decimal"/>
      <w:lvlText w:val="%1"/>
      <w:lvlJc w:val="left"/>
      <w:pPr>
        <w:ind w:left="1721" w:hanging="351"/>
      </w:pPr>
      <w:rPr>
        <w:rFonts w:ascii="Times New Roman" w:eastAsia="Times New Roman" w:hAnsi="Times New Roman" w:hint="default"/>
        <w:sz w:val="24"/>
        <w:szCs w:val="24"/>
      </w:rPr>
    </w:lvl>
    <w:lvl w:ilvl="1" w:tplc="8CF89CF6">
      <w:start w:val="1"/>
      <w:numFmt w:val="lowerLetter"/>
      <w:lvlText w:val="(%2)"/>
      <w:lvlJc w:val="left"/>
      <w:pPr>
        <w:ind w:left="2287" w:hanging="516"/>
      </w:pPr>
      <w:rPr>
        <w:rFonts w:ascii="Times New Roman" w:eastAsia="Times New Roman" w:hAnsi="Times New Roman" w:hint="default"/>
        <w:sz w:val="24"/>
        <w:szCs w:val="24"/>
      </w:rPr>
    </w:lvl>
    <w:lvl w:ilvl="2" w:tplc="194A782C">
      <w:start w:val="1"/>
      <w:numFmt w:val="lowerRoman"/>
      <w:lvlText w:val="(%3)"/>
      <w:lvlJc w:val="left"/>
      <w:pPr>
        <w:ind w:left="2857" w:hanging="456"/>
        <w:jc w:val="right"/>
      </w:pPr>
      <w:rPr>
        <w:rFonts w:ascii="Times New Roman" w:eastAsia="Times New Roman" w:hAnsi="Times New Roman" w:hint="default"/>
        <w:sz w:val="24"/>
        <w:szCs w:val="24"/>
      </w:rPr>
    </w:lvl>
    <w:lvl w:ilvl="3" w:tplc="CD4EB2FC">
      <w:start w:val="1"/>
      <w:numFmt w:val="bullet"/>
      <w:lvlText w:val="•"/>
      <w:lvlJc w:val="left"/>
      <w:pPr>
        <w:ind w:left="2857" w:hanging="456"/>
      </w:pPr>
      <w:rPr>
        <w:rFonts w:hint="default"/>
      </w:rPr>
    </w:lvl>
    <w:lvl w:ilvl="4" w:tplc="20F236CE">
      <w:start w:val="1"/>
      <w:numFmt w:val="bullet"/>
      <w:lvlText w:val="•"/>
      <w:lvlJc w:val="left"/>
      <w:pPr>
        <w:ind w:left="3669" w:hanging="456"/>
      </w:pPr>
      <w:rPr>
        <w:rFonts w:hint="default"/>
      </w:rPr>
    </w:lvl>
    <w:lvl w:ilvl="5" w:tplc="FBFCB2DE">
      <w:start w:val="1"/>
      <w:numFmt w:val="bullet"/>
      <w:lvlText w:val="•"/>
      <w:lvlJc w:val="left"/>
      <w:pPr>
        <w:ind w:left="4482" w:hanging="456"/>
      </w:pPr>
      <w:rPr>
        <w:rFonts w:hint="default"/>
      </w:rPr>
    </w:lvl>
    <w:lvl w:ilvl="6" w:tplc="A6F4749C">
      <w:start w:val="1"/>
      <w:numFmt w:val="bullet"/>
      <w:lvlText w:val="•"/>
      <w:lvlJc w:val="left"/>
      <w:pPr>
        <w:ind w:left="5295" w:hanging="456"/>
      </w:pPr>
      <w:rPr>
        <w:rFonts w:hint="default"/>
      </w:rPr>
    </w:lvl>
    <w:lvl w:ilvl="7" w:tplc="08E485B0">
      <w:start w:val="1"/>
      <w:numFmt w:val="bullet"/>
      <w:lvlText w:val="•"/>
      <w:lvlJc w:val="left"/>
      <w:pPr>
        <w:ind w:left="6108" w:hanging="456"/>
      </w:pPr>
      <w:rPr>
        <w:rFonts w:hint="default"/>
      </w:rPr>
    </w:lvl>
    <w:lvl w:ilvl="8" w:tplc="2206A3F4">
      <w:start w:val="1"/>
      <w:numFmt w:val="bullet"/>
      <w:lvlText w:val="•"/>
      <w:lvlJc w:val="left"/>
      <w:pPr>
        <w:ind w:left="6920" w:hanging="456"/>
      </w:pPr>
      <w:rPr>
        <w:rFonts w:hint="default"/>
      </w:rPr>
    </w:lvl>
  </w:abstractNum>
  <w:abstractNum w:abstractNumId="22" w15:restartNumberingAfterBreak="0">
    <w:nsid w:val="16C53D61"/>
    <w:multiLevelType w:val="hybridMultilevel"/>
    <w:tmpl w:val="DBA843D4"/>
    <w:lvl w:ilvl="0" w:tplc="5EC4F850">
      <w:start w:val="1"/>
      <w:numFmt w:val="lowerLetter"/>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23" w15:restartNumberingAfterBreak="0">
    <w:nsid w:val="18720944"/>
    <w:multiLevelType w:val="hybridMultilevel"/>
    <w:tmpl w:val="5F129578"/>
    <w:lvl w:ilvl="0" w:tplc="9BDCDBFE">
      <w:start w:val="1"/>
      <w:numFmt w:val="decimal"/>
      <w:lvlText w:val="(%1)"/>
      <w:lvlJc w:val="left"/>
      <w:pPr>
        <w:ind w:left="2516" w:hanging="395"/>
      </w:pPr>
      <w:rPr>
        <w:rFonts w:ascii="Times New Roman" w:eastAsia="Times New Roman" w:hAnsi="Times New Roman" w:hint="default"/>
        <w:sz w:val="24"/>
        <w:szCs w:val="24"/>
      </w:rPr>
    </w:lvl>
    <w:lvl w:ilvl="1" w:tplc="412E03A8">
      <w:start w:val="1"/>
      <w:numFmt w:val="bullet"/>
      <w:lvlText w:val="•"/>
      <w:lvlJc w:val="left"/>
      <w:pPr>
        <w:ind w:left="3119" w:hanging="395"/>
      </w:pPr>
      <w:rPr>
        <w:rFonts w:hint="default"/>
      </w:rPr>
    </w:lvl>
    <w:lvl w:ilvl="2" w:tplc="A2320144">
      <w:start w:val="1"/>
      <w:numFmt w:val="bullet"/>
      <w:lvlText w:val="•"/>
      <w:lvlJc w:val="left"/>
      <w:pPr>
        <w:ind w:left="3722" w:hanging="395"/>
      </w:pPr>
      <w:rPr>
        <w:rFonts w:hint="default"/>
      </w:rPr>
    </w:lvl>
    <w:lvl w:ilvl="3" w:tplc="E9EA6E16">
      <w:start w:val="1"/>
      <w:numFmt w:val="bullet"/>
      <w:lvlText w:val="•"/>
      <w:lvlJc w:val="left"/>
      <w:pPr>
        <w:ind w:left="4325" w:hanging="395"/>
      </w:pPr>
      <w:rPr>
        <w:rFonts w:hint="default"/>
      </w:rPr>
    </w:lvl>
    <w:lvl w:ilvl="4" w:tplc="C7660C80">
      <w:start w:val="1"/>
      <w:numFmt w:val="bullet"/>
      <w:lvlText w:val="•"/>
      <w:lvlJc w:val="left"/>
      <w:pPr>
        <w:ind w:left="4928" w:hanging="395"/>
      </w:pPr>
      <w:rPr>
        <w:rFonts w:hint="default"/>
      </w:rPr>
    </w:lvl>
    <w:lvl w:ilvl="5" w:tplc="FD58E620">
      <w:start w:val="1"/>
      <w:numFmt w:val="bullet"/>
      <w:lvlText w:val="•"/>
      <w:lvlJc w:val="left"/>
      <w:pPr>
        <w:ind w:left="5531" w:hanging="395"/>
      </w:pPr>
      <w:rPr>
        <w:rFonts w:hint="default"/>
      </w:rPr>
    </w:lvl>
    <w:lvl w:ilvl="6" w:tplc="0A9087A8">
      <w:start w:val="1"/>
      <w:numFmt w:val="bullet"/>
      <w:lvlText w:val="•"/>
      <w:lvlJc w:val="left"/>
      <w:pPr>
        <w:ind w:left="6134" w:hanging="395"/>
      </w:pPr>
      <w:rPr>
        <w:rFonts w:hint="default"/>
      </w:rPr>
    </w:lvl>
    <w:lvl w:ilvl="7" w:tplc="B52A798A">
      <w:start w:val="1"/>
      <w:numFmt w:val="bullet"/>
      <w:lvlText w:val="•"/>
      <w:lvlJc w:val="left"/>
      <w:pPr>
        <w:ind w:left="6737" w:hanging="395"/>
      </w:pPr>
      <w:rPr>
        <w:rFonts w:hint="default"/>
      </w:rPr>
    </w:lvl>
    <w:lvl w:ilvl="8" w:tplc="FF5E3FCE">
      <w:start w:val="1"/>
      <w:numFmt w:val="bullet"/>
      <w:lvlText w:val="•"/>
      <w:lvlJc w:val="left"/>
      <w:pPr>
        <w:ind w:left="7340" w:hanging="395"/>
      </w:pPr>
      <w:rPr>
        <w:rFonts w:hint="default"/>
      </w:rPr>
    </w:lvl>
  </w:abstractNum>
  <w:abstractNum w:abstractNumId="24" w15:restartNumberingAfterBreak="0">
    <w:nsid w:val="19A17C18"/>
    <w:multiLevelType w:val="multilevel"/>
    <w:tmpl w:val="387A0020"/>
    <w:name w:val="ParagraphNumbering2"/>
    <w:numStyleLink w:val="ParagraphNumbering"/>
  </w:abstractNum>
  <w:abstractNum w:abstractNumId="25" w15:restartNumberingAfterBreak="0">
    <w:nsid w:val="1C496480"/>
    <w:multiLevelType w:val="hybridMultilevel"/>
    <w:tmpl w:val="BC24423C"/>
    <w:lvl w:ilvl="0" w:tplc="44E6C12A">
      <w:start w:val="1"/>
      <w:numFmt w:val="decimal"/>
      <w:lvlText w:val="(%1)"/>
      <w:lvlJc w:val="left"/>
      <w:pPr>
        <w:ind w:left="2516" w:hanging="395"/>
      </w:pPr>
      <w:rPr>
        <w:rFonts w:ascii="Times New Roman" w:eastAsia="Times New Roman" w:hAnsi="Times New Roman" w:hint="default"/>
        <w:sz w:val="24"/>
        <w:szCs w:val="24"/>
      </w:rPr>
    </w:lvl>
    <w:lvl w:ilvl="1" w:tplc="E22E8E86">
      <w:start w:val="1"/>
      <w:numFmt w:val="bullet"/>
      <w:lvlText w:val="•"/>
      <w:lvlJc w:val="left"/>
      <w:pPr>
        <w:ind w:left="3119" w:hanging="395"/>
      </w:pPr>
      <w:rPr>
        <w:rFonts w:hint="default"/>
      </w:rPr>
    </w:lvl>
    <w:lvl w:ilvl="2" w:tplc="18BC5D84">
      <w:start w:val="1"/>
      <w:numFmt w:val="bullet"/>
      <w:lvlText w:val="•"/>
      <w:lvlJc w:val="left"/>
      <w:pPr>
        <w:ind w:left="3722" w:hanging="395"/>
      </w:pPr>
      <w:rPr>
        <w:rFonts w:hint="default"/>
      </w:rPr>
    </w:lvl>
    <w:lvl w:ilvl="3" w:tplc="027A420A">
      <w:start w:val="1"/>
      <w:numFmt w:val="bullet"/>
      <w:lvlText w:val="•"/>
      <w:lvlJc w:val="left"/>
      <w:pPr>
        <w:ind w:left="4325" w:hanging="395"/>
      </w:pPr>
      <w:rPr>
        <w:rFonts w:hint="default"/>
      </w:rPr>
    </w:lvl>
    <w:lvl w:ilvl="4" w:tplc="D4405500">
      <w:start w:val="1"/>
      <w:numFmt w:val="bullet"/>
      <w:lvlText w:val="•"/>
      <w:lvlJc w:val="left"/>
      <w:pPr>
        <w:ind w:left="4928" w:hanging="395"/>
      </w:pPr>
      <w:rPr>
        <w:rFonts w:hint="default"/>
      </w:rPr>
    </w:lvl>
    <w:lvl w:ilvl="5" w:tplc="6EE0E9E2">
      <w:start w:val="1"/>
      <w:numFmt w:val="bullet"/>
      <w:lvlText w:val="•"/>
      <w:lvlJc w:val="left"/>
      <w:pPr>
        <w:ind w:left="5531" w:hanging="395"/>
      </w:pPr>
      <w:rPr>
        <w:rFonts w:hint="default"/>
      </w:rPr>
    </w:lvl>
    <w:lvl w:ilvl="6" w:tplc="0A40B11C">
      <w:start w:val="1"/>
      <w:numFmt w:val="bullet"/>
      <w:lvlText w:val="•"/>
      <w:lvlJc w:val="left"/>
      <w:pPr>
        <w:ind w:left="6134" w:hanging="395"/>
      </w:pPr>
      <w:rPr>
        <w:rFonts w:hint="default"/>
      </w:rPr>
    </w:lvl>
    <w:lvl w:ilvl="7" w:tplc="2152B4DE">
      <w:start w:val="1"/>
      <w:numFmt w:val="bullet"/>
      <w:lvlText w:val="•"/>
      <w:lvlJc w:val="left"/>
      <w:pPr>
        <w:ind w:left="6737" w:hanging="395"/>
      </w:pPr>
      <w:rPr>
        <w:rFonts w:hint="default"/>
      </w:rPr>
    </w:lvl>
    <w:lvl w:ilvl="8" w:tplc="157A4F64">
      <w:start w:val="1"/>
      <w:numFmt w:val="bullet"/>
      <w:lvlText w:val="•"/>
      <w:lvlJc w:val="left"/>
      <w:pPr>
        <w:ind w:left="7340" w:hanging="395"/>
      </w:pPr>
      <w:rPr>
        <w:rFonts w:hint="default"/>
      </w:rPr>
    </w:lvl>
  </w:abstractNum>
  <w:abstractNum w:abstractNumId="26" w15:restartNumberingAfterBreak="0">
    <w:nsid w:val="1CE40041"/>
    <w:multiLevelType w:val="hybridMultilevel"/>
    <w:tmpl w:val="F3640680"/>
    <w:lvl w:ilvl="0" w:tplc="D968E636">
      <w:start w:val="1"/>
      <w:numFmt w:val="lowerLetter"/>
      <w:lvlText w:val="(%1)"/>
      <w:lvlJc w:val="left"/>
      <w:pPr>
        <w:ind w:left="1862" w:hanging="425"/>
      </w:pPr>
      <w:rPr>
        <w:rFonts w:ascii="Times New Roman" w:eastAsia="Times New Roman" w:hAnsi="Times New Roman" w:hint="default"/>
        <w:w w:val="99"/>
        <w:sz w:val="20"/>
        <w:szCs w:val="20"/>
      </w:rPr>
    </w:lvl>
    <w:lvl w:ilvl="1" w:tplc="570C02C6">
      <w:start w:val="1"/>
      <w:numFmt w:val="bullet"/>
      <w:lvlText w:val="•"/>
      <w:lvlJc w:val="left"/>
      <w:pPr>
        <w:ind w:left="2531" w:hanging="425"/>
      </w:pPr>
      <w:rPr>
        <w:rFonts w:hint="default"/>
      </w:rPr>
    </w:lvl>
    <w:lvl w:ilvl="2" w:tplc="C4127CE8">
      <w:start w:val="1"/>
      <w:numFmt w:val="bullet"/>
      <w:lvlText w:val="•"/>
      <w:lvlJc w:val="left"/>
      <w:pPr>
        <w:ind w:left="3199" w:hanging="425"/>
      </w:pPr>
      <w:rPr>
        <w:rFonts w:hint="default"/>
      </w:rPr>
    </w:lvl>
    <w:lvl w:ilvl="3" w:tplc="34202BDE">
      <w:start w:val="1"/>
      <w:numFmt w:val="bullet"/>
      <w:lvlText w:val="•"/>
      <w:lvlJc w:val="left"/>
      <w:pPr>
        <w:ind w:left="3867" w:hanging="425"/>
      </w:pPr>
      <w:rPr>
        <w:rFonts w:hint="default"/>
      </w:rPr>
    </w:lvl>
    <w:lvl w:ilvl="4" w:tplc="599A03F8">
      <w:start w:val="1"/>
      <w:numFmt w:val="bullet"/>
      <w:lvlText w:val="•"/>
      <w:lvlJc w:val="left"/>
      <w:pPr>
        <w:ind w:left="4536" w:hanging="425"/>
      </w:pPr>
      <w:rPr>
        <w:rFonts w:hint="default"/>
      </w:rPr>
    </w:lvl>
    <w:lvl w:ilvl="5" w:tplc="79B6BFC0">
      <w:start w:val="1"/>
      <w:numFmt w:val="bullet"/>
      <w:lvlText w:val="•"/>
      <w:lvlJc w:val="left"/>
      <w:pPr>
        <w:ind w:left="5204" w:hanging="425"/>
      </w:pPr>
      <w:rPr>
        <w:rFonts w:hint="default"/>
      </w:rPr>
    </w:lvl>
    <w:lvl w:ilvl="6" w:tplc="B16020C4">
      <w:start w:val="1"/>
      <w:numFmt w:val="bullet"/>
      <w:lvlText w:val="•"/>
      <w:lvlJc w:val="left"/>
      <w:pPr>
        <w:ind w:left="5872" w:hanging="425"/>
      </w:pPr>
      <w:rPr>
        <w:rFonts w:hint="default"/>
      </w:rPr>
    </w:lvl>
    <w:lvl w:ilvl="7" w:tplc="803C1896">
      <w:start w:val="1"/>
      <w:numFmt w:val="bullet"/>
      <w:lvlText w:val="•"/>
      <w:lvlJc w:val="left"/>
      <w:pPr>
        <w:ind w:left="6541" w:hanging="425"/>
      </w:pPr>
      <w:rPr>
        <w:rFonts w:hint="default"/>
      </w:rPr>
    </w:lvl>
    <w:lvl w:ilvl="8" w:tplc="8B3E6F4C">
      <w:start w:val="1"/>
      <w:numFmt w:val="bullet"/>
      <w:lvlText w:val="•"/>
      <w:lvlJc w:val="left"/>
      <w:pPr>
        <w:ind w:left="7209" w:hanging="425"/>
      </w:pPr>
      <w:rPr>
        <w:rFonts w:hint="default"/>
      </w:rPr>
    </w:lvl>
  </w:abstractNum>
  <w:abstractNum w:abstractNumId="27" w15:restartNumberingAfterBreak="0">
    <w:nsid w:val="1E5A29F7"/>
    <w:multiLevelType w:val="hybridMultilevel"/>
    <w:tmpl w:val="5A328208"/>
    <w:lvl w:ilvl="0" w:tplc="FA22741C">
      <w:start w:val="1"/>
      <w:numFmt w:val="decimal"/>
      <w:lvlText w:val="%1"/>
      <w:lvlJc w:val="left"/>
      <w:pPr>
        <w:ind w:left="1721" w:hanging="351"/>
      </w:pPr>
      <w:rPr>
        <w:rFonts w:ascii="Times New Roman" w:eastAsia="Times New Roman" w:hAnsi="Times New Roman" w:hint="default"/>
        <w:sz w:val="24"/>
        <w:szCs w:val="24"/>
      </w:rPr>
    </w:lvl>
    <w:lvl w:ilvl="1" w:tplc="E6E2EE46">
      <w:start w:val="1"/>
      <w:numFmt w:val="lowerLetter"/>
      <w:lvlText w:val="(%2)"/>
      <w:lvlJc w:val="left"/>
      <w:pPr>
        <w:ind w:left="2287" w:hanging="516"/>
      </w:pPr>
      <w:rPr>
        <w:rFonts w:ascii="Times New Roman" w:eastAsia="Times New Roman" w:hAnsi="Times New Roman" w:hint="default"/>
        <w:sz w:val="24"/>
        <w:szCs w:val="24"/>
      </w:rPr>
    </w:lvl>
    <w:lvl w:ilvl="2" w:tplc="8DDCD75E">
      <w:start w:val="1"/>
      <w:numFmt w:val="bullet"/>
      <w:lvlText w:val="•"/>
      <w:lvlJc w:val="left"/>
      <w:pPr>
        <w:ind w:left="2983" w:hanging="516"/>
      </w:pPr>
      <w:rPr>
        <w:rFonts w:hint="default"/>
      </w:rPr>
    </w:lvl>
    <w:lvl w:ilvl="3" w:tplc="BBF09A7C">
      <w:start w:val="1"/>
      <w:numFmt w:val="bullet"/>
      <w:lvlText w:val="•"/>
      <w:lvlJc w:val="left"/>
      <w:pPr>
        <w:ind w:left="3678" w:hanging="516"/>
      </w:pPr>
      <w:rPr>
        <w:rFonts w:hint="default"/>
      </w:rPr>
    </w:lvl>
    <w:lvl w:ilvl="4" w:tplc="25769092">
      <w:start w:val="1"/>
      <w:numFmt w:val="bullet"/>
      <w:lvlText w:val="•"/>
      <w:lvlJc w:val="left"/>
      <w:pPr>
        <w:ind w:left="4373" w:hanging="516"/>
      </w:pPr>
      <w:rPr>
        <w:rFonts w:hint="default"/>
      </w:rPr>
    </w:lvl>
    <w:lvl w:ilvl="5" w:tplc="AE7C795C">
      <w:start w:val="1"/>
      <w:numFmt w:val="bullet"/>
      <w:lvlText w:val="•"/>
      <w:lvlJc w:val="left"/>
      <w:pPr>
        <w:ind w:left="5069" w:hanging="516"/>
      </w:pPr>
      <w:rPr>
        <w:rFonts w:hint="default"/>
      </w:rPr>
    </w:lvl>
    <w:lvl w:ilvl="6" w:tplc="40CEA22E">
      <w:start w:val="1"/>
      <w:numFmt w:val="bullet"/>
      <w:lvlText w:val="•"/>
      <w:lvlJc w:val="left"/>
      <w:pPr>
        <w:ind w:left="5764" w:hanging="516"/>
      </w:pPr>
      <w:rPr>
        <w:rFonts w:hint="default"/>
      </w:rPr>
    </w:lvl>
    <w:lvl w:ilvl="7" w:tplc="3878D0AA">
      <w:start w:val="1"/>
      <w:numFmt w:val="bullet"/>
      <w:lvlText w:val="•"/>
      <w:lvlJc w:val="left"/>
      <w:pPr>
        <w:ind w:left="6460" w:hanging="516"/>
      </w:pPr>
      <w:rPr>
        <w:rFonts w:hint="default"/>
      </w:rPr>
    </w:lvl>
    <w:lvl w:ilvl="8" w:tplc="A16E79F8">
      <w:start w:val="1"/>
      <w:numFmt w:val="bullet"/>
      <w:lvlText w:val="•"/>
      <w:lvlJc w:val="left"/>
      <w:pPr>
        <w:ind w:left="7155" w:hanging="516"/>
      </w:pPr>
      <w:rPr>
        <w:rFonts w:hint="default"/>
      </w:rPr>
    </w:lvl>
  </w:abstractNum>
  <w:abstractNum w:abstractNumId="28" w15:restartNumberingAfterBreak="0">
    <w:nsid w:val="1E833949"/>
    <w:multiLevelType w:val="multilevel"/>
    <w:tmpl w:val="0809001D"/>
    <w:styleLink w:val="1ai"/>
    <w:lvl w:ilvl="0">
      <w:start w:val="1"/>
      <w:numFmt w:val="decimal"/>
      <w:lvlText w:val="%1)"/>
      <w:lvlJc w:val="left"/>
      <w:pPr>
        <w:ind w:left="360" w:hanging="360"/>
      </w:pPr>
      <w:rPr>
        <w:rFonts w:cs="Times New Roman"/>
        <w:bCs w:val="0"/>
        <w:iCs w:val="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EE917E6"/>
    <w:multiLevelType w:val="hybridMultilevel"/>
    <w:tmpl w:val="33048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F1C3C95"/>
    <w:multiLevelType w:val="hybridMultilevel"/>
    <w:tmpl w:val="9C26E90C"/>
    <w:lvl w:ilvl="0" w:tplc="1568A5D8">
      <w:start w:val="1"/>
      <w:numFmt w:val="lowerLetter"/>
      <w:lvlText w:val="(%1)"/>
      <w:lvlJc w:val="left"/>
      <w:pPr>
        <w:ind w:left="1862" w:hanging="425"/>
      </w:pPr>
      <w:rPr>
        <w:rFonts w:ascii="Times New Roman" w:eastAsia="Times New Roman" w:hAnsi="Times New Roman" w:hint="default"/>
        <w:w w:val="99"/>
        <w:sz w:val="20"/>
        <w:szCs w:val="20"/>
      </w:rPr>
    </w:lvl>
    <w:lvl w:ilvl="1" w:tplc="FA82D012">
      <w:start w:val="1"/>
      <w:numFmt w:val="bullet"/>
      <w:lvlText w:val="•"/>
      <w:lvlJc w:val="left"/>
      <w:pPr>
        <w:ind w:left="2531" w:hanging="425"/>
      </w:pPr>
      <w:rPr>
        <w:rFonts w:hint="default"/>
      </w:rPr>
    </w:lvl>
    <w:lvl w:ilvl="2" w:tplc="CA3AAEE0">
      <w:start w:val="1"/>
      <w:numFmt w:val="bullet"/>
      <w:lvlText w:val="•"/>
      <w:lvlJc w:val="left"/>
      <w:pPr>
        <w:ind w:left="3199" w:hanging="425"/>
      </w:pPr>
      <w:rPr>
        <w:rFonts w:hint="default"/>
      </w:rPr>
    </w:lvl>
    <w:lvl w:ilvl="3" w:tplc="5DD2A29E">
      <w:start w:val="1"/>
      <w:numFmt w:val="bullet"/>
      <w:lvlText w:val="•"/>
      <w:lvlJc w:val="left"/>
      <w:pPr>
        <w:ind w:left="3867" w:hanging="425"/>
      </w:pPr>
      <w:rPr>
        <w:rFonts w:hint="default"/>
      </w:rPr>
    </w:lvl>
    <w:lvl w:ilvl="4" w:tplc="03C89088">
      <w:start w:val="1"/>
      <w:numFmt w:val="bullet"/>
      <w:lvlText w:val="•"/>
      <w:lvlJc w:val="left"/>
      <w:pPr>
        <w:ind w:left="4536" w:hanging="425"/>
      </w:pPr>
      <w:rPr>
        <w:rFonts w:hint="default"/>
      </w:rPr>
    </w:lvl>
    <w:lvl w:ilvl="5" w:tplc="2AC881E4">
      <w:start w:val="1"/>
      <w:numFmt w:val="bullet"/>
      <w:lvlText w:val="•"/>
      <w:lvlJc w:val="left"/>
      <w:pPr>
        <w:ind w:left="5204" w:hanging="425"/>
      </w:pPr>
      <w:rPr>
        <w:rFonts w:hint="default"/>
      </w:rPr>
    </w:lvl>
    <w:lvl w:ilvl="6" w:tplc="65F2596C">
      <w:start w:val="1"/>
      <w:numFmt w:val="bullet"/>
      <w:lvlText w:val="•"/>
      <w:lvlJc w:val="left"/>
      <w:pPr>
        <w:ind w:left="5872" w:hanging="425"/>
      </w:pPr>
      <w:rPr>
        <w:rFonts w:hint="default"/>
      </w:rPr>
    </w:lvl>
    <w:lvl w:ilvl="7" w:tplc="EBE0B356">
      <w:start w:val="1"/>
      <w:numFmt w:val="bullet"/>
      <w:lvlText w:val="•"/>
      <w:lvlJc w:val="left"/>
      <w:pPr>
        <w:ind w:left="6541" w:hanging="425"/>
      </w:pPr>
      <w:rPr>
        <w:rFonts w:hint="default"/>
      </w:rPr>
    </w:lvl>
    <w:lvl w:ilvl="8" w:tplc="82C09234">
      <w:start w:val="1"/>
      <w:numFmt w:val="bullet"/>
      <w:lvlText w:val="•"/>
      <w:lvlJc w:val="left"/>
      <w:pPr>
        <w:ind w:left="7209" w:hanging="425"/>
      </w:pPr>
      <w:rPr>
        <w:rFonts w:hint="default"/>
      </w:rPr>
    </w:lvl>
  </w:abstractNum>
  <w:abstractNum w:abstractNumId="31" w15:restartNumberingAfterBreak="0">
    <w:nsid w:val="23657FC8"/>
    <w:multiLevelType w:val="hybridMultilevel"/>
    <w:tmpl w:val="C3984844"/>
    <w:lvl w:ilvl="0" w:tplc="C29A2030">
      <w:start w:val="1"/>
      <w:numFmt w:val="lowerLetter"/>
      <w:lvlText w:val="(%1)"/>
      <w:lvlJc w:val="left"/>
      <w:pPr>
        <w:ind w:left="1862" w:hanging="425"/>
      </w:pPr>
      <w:rPr>
        <w:rFonts w:ascii="Times New Roman" w:eastAsia="Times New Roman" w:hAnsi="Times New Roman" w:hint="default"/>
        <w:w w:val="99"/>
        <w:sz w:val="20"/>
        <w:szCs w:val="20"/>
      </w:rPr>
    </w:lvl>
    <w:lvl w:ilvl="1" w:tplc="59543F16">
      <w:start w:val="1"/>
      <w:numFmt w:val="bullet"/>
      <w:lvlText w:val="•"/>
      <w:lvlJc w:val="left"/>
      <w:pPr>
        <w:ind w:left="2531" w:hanging="425"/>
      </w:pPr>
      <w:rPr>
        <w:rFonts w:hint="default"/>
      </w:rPr>
    </w:lvl>
    <w:lvl w:ilvl="2" w:tplc="BBC61A92">
      <w:start w:val="1"/>
      <w:numFmt w:val="bullet"/>
      <w:lvlText w:val="•"/>
      <w:lvlJc w:val="left"/>
      <w:pPr>
        <w:ind w:left="3199" w:hanging="425"/>
      </w:pPr>
      <w:rPr>
        <w:rFonts w:hint="default"/>
      </w:rPr>
    </w:lvl>
    <w:lvl w:ilvl="3" w:tplc="A90262BA">
      <w:start w:val="1"/>
      <w:numFmt w:val="bullet"/>
      <w:lvlText w:val="•"/>
      <w:lvlJc w:val="left"/>
      <w:pPr>
        <w:ind w:left="3867" w:hanging="425"/>
      </w:pPr>
      <w:rPr>
        <w:rFonts w:hint="default"/>
      </w:rPr>
    </w:lvl>
    <w:lvl w:ilvl="4" w:tplc="E0A23392">
      <w:start w:val="1"/>
      <w:numFmt w:val="bullet"/>
      <w:lvlText w:val="•"/>
      <w:lvlJc w:val="left"/>
      <w:pPr>
        <w:ind w:left="4536" w:hanging="425"/>
      </w:pPr>
      <w:rPr>
        <w:rFonts w:hint="default"/>
      </w:rPr>
    </w:lvl>
    <w:lvl w:ilvl="5" w:tplc="D5E2D506">
      <w:start w:val="1"/>
      <w:numFmt w:val="bullet"/>
      <w:lvlText w:val="•"/>
      <w:lvlJc w:val="left"/>
      <w:pPr>
        <w:ind w:left="5204" w:hanging="425"/>
      </w:pPr>
      <w:rPr>
        <w:rFonts w:hint="default"/>
      </w:rPr>
    </w:lvl>
    <w:lvl w:ilvl="6" w:tplc="C882DCBC">
      <w:start w:val="1"/>
      <w:numFmt w:val="bullet"/>
      <w:lvlText w:val="•"/>
      <w:lvlJc w:val="left"/>
      <w:pPr>
        <w:ind w:left="5872" w:hanging="425"/>
      </w:pPr>
      <w:rPr>
        <w:rFonts w:hint="default"/>
      </w:rPr>
    </w:lvl>
    <w:lvl w:ilvl="7" w:tplc="B1F6ADB6">
      <w:start w:val="1"/>
      <w:numFmt w:val="bullet"/>
      <w:lvlText w:val="•"/>
      <w:lvlJc w:val="left"/>
      <w:pPr>
        <w:ind w:left="6541" w:hanging="425"/>
      </w:pPr>
      <w:rPr>
        <w:rFonts w:hint="default"/>
      </w:rPr>
    </w:lvl>
    <w:lvl w:ilvl="8" w:tplc="91EA33EA">
      <w:start w:val="1"/>
      <w:numFmt w:val="bullet"/>
      <w:lvlText w:val="•"/>
      <w:lvlJc w:val="left"/>
      <w:pPr>
        <w:ind w:left="7209" w:hanging="425"/>
      </w:pPr>
      <w:rPr>
        <w:rFonts w:hint="default"/>
      </w:rPr>
    </w:lvl>
  </w:abstractNum>
  <w:abstractNum w:abstractNumId="32" w15:restartNumberingAfterBreak="0">
    <w:nsid w:val="23DD1DEB"/>
    <w:multiLevelType w:val="hybridMultilevel"/>
    <w:tmpl w:val="D10C4674"/>
    <w:lvl w:ilvl="0" w:tplc="563A4076">
      <w:start w:val="1"/>
      <w:numFmt w:val="lowerLetter"/>
      <w:lvlText w:val="(%1)"/>
      <w:lvlJc w:val="left"/>
      <w:pPr>
        <w:ind w:left="1862" w:hanging="425"/>
      </w:pPr>
      <w:rPr>
        <w:rFonts w:ascii="Times New Roman" w:eastAsia="Times New Roman" w:hAnsi="Times New Roman" w:hint="default"/>
        <w:w w:val="99"/>
        <w:sz w:val="20"/>
        <w:szCs w:val="20"/>
      </w:rPr>
    </w:lvl>
    <w:lvl w:ilvl="1" w:tplc="426C763E">
      <w:start w:val="1"/>
      <w:numFmt w:val="bullet"/>
      <w:lvlText w:val="•"/>
      <w:lvlJc w:val="left"/>
      <w:pPr>
        <w:ind w:left="2531" w:hanging="425"/>
      </w:pPr>
      <w:rPr>
        <w:rFonts w:hint="default"/>
      </w:rPr>
    </w:lvl>
    <w:lvl w:ilvl="2" w:tplc="A90CCCC0">
      <w:start w:val="1"/>
      <w:numFmt w:val="bullet"/>
      <w:lvlText w:val="•"/>
      <w:lvlJc w:val="left"/>
      <w:pPr>
        <w:ind w:left="3199" w:hanging="425"/>
      </w:pPr>
      <w:rPr>
        <w:rFonts w:hint="default"/>
      </w:rPr>
    </w:lvl>
    <w:lvl w:ilvl="3" w:tplc="6E60D308">
      <w:start w:val="1"/>
      <w:numFmt w:val="bullet"/>
      <w:lvlText w:val="•"/>
      <w:lvlJc w:val="left"/>
      <w:pPr>
        <w:ind w:left="3867" w:hanging="425"/>
      </w:pPr>
      <w:rPr>
        <w:rFonts w:hint="default"/>
      </w:rPr>
    </w:lvl>
    <w:lvl w:ilvl="4" w:tplc="613A7BAA">
      <w:start w:val="1"/>
      <w:numFmt w:val="bullet"/>
      <w:lvlText w:val="•"/>
      <w:lvlJc w:val="left"/>
      <w:pPr>
        <w:ind w:left="4536" w:hanging="425"/>
      </w:pPr>
      <w:rPr>
        <w:rFonts w:hint="default"/>
      </w:rPr>
    </w:lvl>
    <w:lvl w:ilvl="5" w:tplc="C44C26A8">
      <w:start w:val="1"/>
      <w:numFmt w:val="bullet"/>
      <w:lvlText w:val="•"/>
      <w:lvlJc w:val="left"/>
      <w:pPr>
        <w:ind w:left="5204" w:hanging="425"/>
      </w:pPr>
      <w:rPr>
        <w:rFonts w:hint="default"/>
      </w:rPr>
    </w:lvl>
    <w:lvl w:ilvl="6" w:tplc="3DB24EC8">
      <w:start w:val="1"/>
      <w:numFmt w:val="bullet"/>
      <w:lvlText w:val="•"/>
      <w:lvlJc w:val="left"/>
      <w:pPr>
        <w:ind w:left="5872" w:hanging="425"/>
      </w:pPr>
      <w:rPr>
        <w:rFonts w:hint="default"/>
      </w:rPr>
    </w:lvl>
    <w:lvl w:ilvl="7" w:tplc="9E0E11B4">
      <w:start w:val="1"/>
      <w:numFmt w:val="bullet"/>
      <w:lvlText w:val="•"/>
      <w:lvlJc w:val="left"/>
      <w:pPr>
        <w:ind w:left="6541" w:hanging="425"/>
      </w:pPr>
      <w:rPr>
        <w:rFonts w:hint="default"/>
      </w:rPr>
    </w:lvl>
    <w:lvl w:ilvl="8" w:tplc="66C28816">
      <w:start w:val="1"/>
      <w:numFmt w:val="bullet"/>
      <w:lvlText w:val="•"/>
      <w:lvlJc w:val="left"/>
      <w:pPr>
        <w:ind w:left="7209" w:hanging="425"/>
      </w:pPr>
      <w:rPr>
        <w:rFonts w:hint="default"/>
      </w:rPr>
    </w:lvl>
  </w:abstractNum>
  <w:abstractNum w:abstractNumId="33" w15:restartNumberingAfterBreak="0">
    <w:nsid w:val="24313468"/>
    <w:multiLevelType w:val="hybridMultilevel"/>
    <w:tmpl w:val="7DCA341E"/>
    <w:lvl w:ilvl="0" w:tplc="B04E5480">
      <w:start w:val="1"/>
      <w:numFmt w:val="decimal"/>
      <w:lvlText w:val="%1"/>
      <w:lvlJc w:val="left"/>
      <w:pPr>
        <w:ind w:left="1721" w:hanging="351"/>
        <w:jc w:val="right"/>
      </w:pPr>
      <w:rPr>
        <w:rFonts w:ascii="Times New Roman" w:eastAsia="Times New Roman" w:hAnsi="Times New Roman" w:hint="default"/>
        <w:sz w:val="24"/>
        <w:szCs w:val="24"/>
      </w:rPr>
    </w:lvl>
    <w:lvl w:ilvl="1" w:tplc="2C565300">
      <w:start w:val="1"/>
      <w:numFmt w:val="bullet"/>
      <w:lvlText w:val="•"/>
      <w:lvlJc w:val="left"/>
      <w:pPr>
        <w:ind w:left="2403" w:hanging="351"/>
      </w:pPr>
      <w:rPr>
        <w:rFonts w:hint="default"/>
      </w:rPr>
    </w:lvl>
    <w:lvl w:ilvl="2" w:tplc="77AEB12E">
      <w:start w:val="1"/>
      <w:numFmt w:val="bullet"/>
      <w:lvlText w:val="•"/>
      <w:lvlJc w:val="left"/>
      <w:pPr>
        <w:ind w:left="3086" w:hanging="351"/>
      </w:pPr>
      <w:rPr>
        <w:rFonts w:hint="default"/>
      </w:rPr>
    </w:lvl>
    <w:lvl w:ilvl="3" w:tplc="B5DC55E6">
      <w:start w:val="1"/>
      <w:numFmt w:val="bullet"/>
      <w:lvlText w:val="•"/>
      <w:lvlJc w:val="left"/>
      <w:pPr>
        <w:ind w:left="3768" w:hanging="351"/>
      </w:pPr>
      <w:rPr>
        <w:rFonts w:hint="default"/>
      </w:rPr>
    </w:lvl>
    <w:lvl w:ilvl="4" w:tplc="BD18DA88">
      <w:start w:val="1"/>
      <w:numFmt w:val="bullet"/>
      <w:lvlText w:val="•"/>
      <w:lvlJc w:val="left"/>
      <w:pPr>
        <w:ind w:left="4451" w:hanging="351"/>
      </w:pPr>
      <w:rPr>
        <w:rFonts w:hint="default"/>
      </w:rPr>
    </w:lvl>
    <w:lvl w:ilvl="5" w:tplc="55982244">
      <w:start w:val="1"/>
      <w:numFmt w:val="bullet"/>
      <w:lvlText w:val="•"/>
      <w:lvlJc w:val="left"/>
      <w:pPr>
        <w:ind w:left="5133" w:hanging="351"/>
      </w:pPr>
      <w:rPr>
        <w:rFonts w:hint="default"/>
      </w:rPr>
    </w:lvl>
    <w:lvl w:ilvl="6" w:tplc="FB4E7A5C">
      <w:start w:val="1"/>
      <w:numFmt w:val="bullet"/>
      <w:lvlText w:val="•"/>
      <w:lvlJc w:val="left"/>
      <w:pPr>
        <w:ind w:left="5816" w:hanging="351"/>
      </w:pPr>
      <w:rPr>
        <w:rFonts w:hint="default"/>
      </w:rPr>
    </w:lvl>
    <w:lvl w:ilvl="7" w:tplc="8858057E">
      <w:start w:val="1"/>
      <w:numFmt w:val="bullet"/>
      <w:lvlText w:val="•"/>
      <w:lvlJc w:val="left"/>
      <w:pPr>
        <w:ind w:left="6498" w:hanging="351"/>
      </w:pPr>
      <w:rPr>
        <w:rFonts w:hint="default"/>
      </w:rPr>
    </w:lvl>
    <w:lvl w:ilvl="8" w:tplc="006C9EAA">
      <w:start w:val="1"/>
      <w:numFmt w:val="bullet"/>
      <w:lvlText w:val="•"/>
      <w:lvlJc w:val="left"/>
      <w:pPr>
        <w:ind w:left="7181" w:hanging="351"/>
      </w:pPr>
      <w:rPr>
        <w:rFonts w:hint="default"/>
      </w:rPr>
    </w:lvl>
  </w:abstractNum>
  <w:abstractNum w:abstractNumId="34" w15:restartNumberingAfterBreak="0">
    <w:nsid w:val="24340C3B"/>
    <w:multiLevelType w:val="multilevel"/>
    <w:tmpl w:val="656AE9C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pStyle w:val="HeadingNumber1"/>
      <w:lvlText w:val="%5."/>
      <w:lvlJc w:val="left"/>
      <w:pPr>
        <w:tabs>
          <w:tab w:val="num" w:pos="720"/>
        </w:tabs>
        <w:ind w:left="720" w:hanging="720"/>
      </w:pPr>
    </w:lvl>
    <w:lvl w:ilvl="5">
      <w:start w:val="1"/>
      <w:numFmt w:val="decimal"/>
      <w:pStyle w:val="HeadingNumber2"/>
      <w:lvlText w:val="%5.%6."/>
      <w:lvlJc w:val="left"/>
      <w:pPr>
        <w:tabs>
          <w:tab w:val="num" w:pos="720"/>
        </w:tabs>
        <w:ind w:left="720" w:hanging="720"/>
      </w:pPr>
    </w:lvl>
    <w:lvl w:ilvl="6">
      <w:start w:val="1"/>
      <w:numFmt w:val="decimal"/>
      <w:pStyle w:val="HeadingNumber3"/>
      <w:lvlText w:val="%5.%6.%7."/>
      <w:lvlJc w:val="left"/>
      <w:pPr>
        <w:tabs>
          <w:tab w:val="num" w:pos="720"/>
        </w:tabs>
        <w:ind w:left="720" w:hanging="720"/>
      </w:pPr>
    </w:lvl>
    <w:lvl w:ilvl="7">
      <w:start w:val="1"/>
      <w:numFmt w:val="decimal"/>
      <w:pStyle w:val="HeadingNumber4"/>
      <w:lvlText w:val="%5.%6.%7.%8."/>
      <w:lvlJc w:val="left"/>
      <w:pPr>
        <w:tabs>
          <w:tab w:val="num" w:pos="720"/>
        </w:tabs>
        <w:ind w:left="720" w:hanging="720"/>
      </w:pPr>
    </w:lvl>
    <w:lvl w:ilvl="8">
      <w:start w:val="1"/>
      <w:numFmt w:val="lowerRoman"/>
      <w:lvlText w:val="%9."/>
      <w:lvlJc w:val="left"/>
      <w:pPr>
        <w:tabs>
          <w:tab w:val="num" w:pos="3240"/>
        </w:tabs>
        <w:ind w:left="3240" w:hanging="360"/>
      </w:pPr>
    </w:lvl>
  </w:abstractNum>
  <w:abstractNum w:abstractNumId="35" w15:restartNumberingAfterBreak="0">
    <w:nsid w:val="24B142AC"/>
    <w:multiLevelType w:val="hybridMultilevel"/>
    <w:tmpl w:val="E79A8B82"/>
    <w:lvl w:ilvl="0" w:tplc="62F4A490">
      <w:start w:val="1"/>
      <w:numFmt w:val="lowerLetter"/>
      <w:lvlText w:val="(%1)"/>
      <w:lvlJc w:val="left"/>
      <w:pPr>
        <w:ind w:left="1862" w:hanging="425"/>
      </w:pPr>
      <w:rPr>
        <w:rFonts w:ascii="Times New Roman" w:eastAsia="Times New Roman" w:hAnsi="Times New Roman" w:hint="default"/>
        <w:w w:val="99"/>
        <w:sz w:val="20"/>
        <w:szCs w:val="20"/>
      </w:rPr>
    </w:lvl>
    <w:lvl w:ilvl="1" w:tplc="B5AC29B8">
      <w:start w:val="1"/>
      <w:numFmt w:val="bullet"/>
      <w:lvlText w:val="•"/>
      <w:lvlJc w:val="left"/>
      <w:pPr>
        <w:ind w:left="2531" w:hanging="425"/>
      </w:pPr>
      <w:rPr>
        <w:rFonts w:hint="default"/>
      </w:rPr>
    </w:lvl>
    <w:lvl w:ilvl="2" w:tplc="EA707D82">
      <w:start w:val="1"/>
      <w:numFmt w:val="bullet"/>
      <w:lvlText w:val="•"/>
      <w:lvlJc w:val="left"/>
      <w:pPr>
        <w:ind w:left="3199" w:hanging="425"/>
      </w:pPr>
      <w:rPr>
        <w:rFonts w:hint="default"/>
      </w:rPr>
    </w:lvl>
    <w:lvl w:ilvl="3" w:tplc="87AEA028">
      <w:start w:val="1"/>
      <w:numFmt w:val="bullet"/>
      <w:lvlText w:val="•"/>
      <w:lvlJc w:val="left"/>
      <w:pPr>
        <w:ind w:left="3867" w:hanging="425"/>
      </w:pPr>
      <w:rPr>
        <w:rFonts w:hint="default"/>
      </w:rPr>
    </w:lvl>
    <w:lvl w:ilvl="4" w:tplc="99B09BF2">
      <w:start w:val="1"/>
      <w:numFmt w:val="bullet"/>
      <w:lvlText w:val="•"/>
      <w:lvlJc w:val="left"/>
      <w:pPr>
        <w:ind w:left="4536" w:hanging="425"/>
      </w:pPr>
      <w:rPr>
        <w:rFonts w:hint="default"/>
      </w:rPr>
    </w:lvl>
    <w:lvl w:ilvl="5" w:tplc="3C1C85EE">
      <w:start w:val="1"/>
      <w:numFmt w:val="bullet"/>
      <w:lvlText w:val="•"/>
      <w:lvlJc w:val="left"/>
      <w:pPr>
        <w:ind w:left="5204" w:hanging="425"/>
      </w:pPr>
      <w:rPr>
        <w:rFonts w:hint="default"/>
      </w:rPr>
    </w:lvl>
    <w:lvl w:ilvl="6" w:tplc="646ACBCC">
      <w:start w:val="1"/>
      <w:numFmt w:val="bullet"/>
      <w:lvlText w:val="•"/>
      <w:lvlJc w:val="left"/>
      <w:pPr>
        <w:ind w:left="5872" w:hanging="425"/>
      </w:pPr>
      <w:rPr>
        <w:rFonts w:hint="default"/>
      </w:rPr>
    </w:lvl>
    <w:lvl w:ilvl="7" w:tplc="D1786E82">
      <w:start w:val="1"/>
      <w:numFmt w:val="bullet"/>
      <w:lvlText w:val="•"/>
      <w:lvlJc w:val="left"/>
      <w:pPr>
        <w:ind w:left="6541" w:hanging="425"/>
      </w:pPr>
      <w:rPr>
        <w:rFonts w:hint="default"/>
      </w:rPr>
    </w:lvl>
    <w:lvl w:ilvl="8" w:tplc="F2A6756A">
      <w:start w:val="1"/>
      <w:numFmt w:val="bullet"/>
      <w:lvlText w:val="•"/>
      <w:lvlJc w:val="left"/>
      <w:pPr>
        <w:ind w:left="7209" w:hanging="425"/>
      </w:pPr>
      <w:rPr>
        <w:rFonts w:hint="default"/>
      </w:rPr>
    </w:lvl>
  </w:abstractNum>
  <w:abstractNum w:abstractNumId="36" w15:restartNumberingAfterBreak="0">
    <w:nsid w:val="27F4716C"/>
    <w:multiLevelType w:val="hybridMultilevel"/>
    <w:tmpl w:val="0736260A"/>
    <w:lvl w:ilvl="0" w:tplc="9572BC32">
      <w:start w:val="1"/>
      <w:numFmt w:val="lowerLetter"/>
      <w:lvlText w:val="(%1)"/>
      <w:lvlJc w:val="left"/>
      <w:pPr>
        <w:ind w:left="1862" w:hanging="425"/>
      </w:pPr>
      <w:rPr>
        <w:rFonts w:ascii="Times New Roman" w:eastAsia="Times New Roman" w:hAnsi="Times New Roman" w:hint="default"/>
        <w:w w:val="99"/>
        <w:sz w:val="20"/>
        <w:szCs w:val="20"/>
      </w:rPr>
    </w:lvl>
    <w:lvl w:ilvl="1" w:tplc="7C1499B0">
      <w:start w:val="1"/>
      <w:numFmt w:val="bullet"/>
      <w:lvlText w:val="•"/>
      <w:lvlJc w:val="left"/>
      <w:pPr>
        <w:ind w:left="2531" w:hanging="425"/>
      </w:pPr>
      <w:rPr>
        <w:rFonts w:hint="default"/>
      </w:rPr>
    </w:lvl>
    <w:lvl w:ilvl="2" w:tplc="9886E46C">
      <w:start w:val="1"/>
      <w:numFmt w:val="bullet"/>
      <w:lvlText w:val="•"/>
      <w:lvlJc w:val="left"/>
      <w:pPr>
        <w:ind w:left="3199" w:hanging="425"/>
      </w:pPr>
      <w:rPr>
        <w:rFonts w:hint="default"/>
      </w:rPr>
    </w:lvl>
    <w:lvl w:ilvl="3" w:tplc="A808B4C2">
      <w:start w:val="1"/>
      <w:numFmt w:val="bullet"/>
      <w:lvlText w:val="•"/>
      <w:lvlJc w:val="left"/>
      <w:pPr>
        <w:ind w:left="3867" w:hanging="425"/>
      </w:pPr>
      <w:rPr>
        <w:rFonts w:hint="default"/>
      </w:rPr>
    </w:lvl>
    <w:lvl w:ilvl="4" w:tplc="131440DC">
      <w:start w:val="1"/>
      <w:numFmt w:val="bullet"/>
      <w:lvlText w:val="•"/>
      <w:lvlJc w:val="left"/>
      <w:pPr>
        <w:ind w:left="4536" w:hanging="425"/>
      </w:pPr>
      <w:rPr>
        <w:rFonts w:hint="default"/>
      </w:rPr>
    </w:lvl>
    <w:lvl w:ilvl="5" w:tplc="8984F2A2">
      <w:start w:val="1"/>
      <w:numFmt w:val="bullet"/>
      <w:lvlText w:val="•"/>
      <w:lvlJc w:val="left"/>
      <w:pPr>
        <w:ind w:left="5204" w:hanging="425"/>
      </w:pPr>
      <w:rPr>
        <w:rFonts w:hint="default"/>
      </w:rPr>
    </w:lvl>
    <w:lvl w:ilvl="6" w:tplc="BE6811DE">
      <w:start w:val="1"/>
      <w:numFmt w:val="bullet"/>
      <w:lvlText w:val="•"/>
      <w:lvlJc w:val="left"/>
      <w:pPr>
        <w:ind w:left="5872" w:hanging="425"/>
      </w:pPr>
      <w:rPr>
        <w:rFonts w:hint="default"/>
      </w:rPr>
    </w:lvl>
    <w:lvl w:ilvl="7" w:tplc="CEA2A64C">
      <w:start w:val="1"/>
      <w:numFmt w:val="bullet"/>
      <w:lvlText w:val="•"/>
      <w:lvlJc w:val="left"/>
      <w:pPr>
        <w:ind w:left="6541" w:hanging="425"/>
      </w:pPr>
      <w:rPr>
        <w:rFonts w:hint="default"/>
      </w:rPr>
    </w:lvl>
    <w:lvl w:ilvl="8" w:tplc="4E125CBA">
      <w:start w:val="1"/>
      <w:numFmt w:val="bullet"/>
      <w:lvlText w:val="•"/>
      <w:lvlJc w:val="left"/>
      <w:pPr>
        <w:ind w:left="7209" w:hanging="425"/>
      </w:pPr>
      <w:rPr>
        <w:rFonts w:hint="default"/>
      </w:rPr>
    </w:lvl>
  </w:abstractNum>
  <w:abstractNum w:abstractNumId="37" w15:restartNumberingAfterBreak="0">
    <w:nsid w:val="28AC135E"/>
    <w:multiLevelType w:val="hybridMultilevel"/>
    <w:tmpl w:val="5BAE8E6C"/>
    <w:lvl w:ilvl="0" w:tplc="35600538">
      <w:start w:val="1"/>
      <w:numFmt w:val="decimal"/>
      <w:lvlText w:val="(%1)"/>
      <w:lvlJc w:val="left"/>
      <w:pPr>
        <w:ind w:left="2516" w:hanging="395"/>
      </w:pPr>
      <w:rPr>
        <w:rFonts w:ascii="Times New Roman" w:eastAsia="Times New Roman" w:hAnsi="Times New Roman" w:hint="default"/>
        <w:sz w:val="24"/>
        <w:szCs w:val="24"/>
      </w:rPr>
    </w:lvl>
    <w:lvl w:ilvl="1" w:tplc="85FA4194">
      <w:start w:val="1"/>
      <w:numFmt w:val="bullet"/>
      <w:lvlText w:val="•"/>
      <w:lvlJc w:val="left"/>
      <w:pPr>
        <w:ind w:left="3119" w:hanging="395"/>
      </w:pPr>
      <w:rPr>
        <w:rFonts w:hint="default"/>
      </w:rPr>
    </w:lvl>
    <w:lvl w:ilvl="2" w:tplc="2622559A">
      <w:start w:val="1"/>
      <w:numFmt w:val="bullet"/>
      <w:lvlText w:val="•"/>
      <w:lvlJc w:val="left"/>
      <w:pPr>
        <w:ind w:left="3722" w:hanging="395"/>
      </w:pPr>
      <w:rPr>
        <w:rFonts w:hint="default"/>
      </w:rPr>
    </w:lvl>
    <w:lvl w:ilvl="3" w:tplc="57828C24">
      <w:start w:val="1"/>
      <w:numFmt w:val="bullet"/>
      <w:lvlText w:val="•"/>
      <w:lvlJc w:val="left"/>
      <w:pPr>
        <w:ind w:left="4325" w:hanging="395"/>
      </w:pPr>
      <w:rPr>
        <w:rFonts w:hint="default"/>
      </w:rPr>
    </w:lvl>
    <w:lvl w:ilvl="4" w:tplc="ED28CC86">
      <w:start w:val="1"/>
      <w:numFmt w:val="bullet"/>
      <w:lvlText w:val="•"/>
      <w:lvlJc w:val="left"/>
      <w:pPr>
        <w:ind w:left="4928" w:hanging="395"/>
      </w:pPr>
      <w:rPr>
        <w:rFonts w:hint="default"/>
      </w:rPr>
    </w:lvl>
    <w:lvl w:ilvl="5" w:tplc="C6E8452C">
      <w:start w:val="1"/>
      <w:numFmt w:val="bullet"/>
      <w:lvlText w:val="•"/>
      <w:lvlJc w:val="left"/>
      <w:pPr>
        <w:ind w:left="5531" w:hanging="395"/>
      </w:pPr>
      <w:rPr>
        <w:rFonts w:hint="default"/>
      </w:rPr>
    </w:lvl>
    <w:lvl w:ilvl="6" w:tplc="FC2A7B9E">
      <w:start w:val="1"/>
      <w:numFmt w:val="bullet"/>
      <w:lvlText w:val="•"/>
      <w:lvlJc w:val="left"/>
      <w:pPr>
        <w:ind w:left="6134" w:hanging="395"/>
      </w:pPr>
      <w:rPr>
        <w:rFonts w:hint="default"/>
      </w:rPr>
    </w:lvl>
    <w:lvl w:ilvl="7" w:tplc="F0B27DEE">
      <w:start w:val="1"/>
      <w:numFmt w:val="bullet"/>
      <w:lvlText w:val="•"/>
      <w:lvlJc w:val="left"/>
      <w:pPr>
        <w:ind w:left="6737" w:hanging="395"/>
      </w:pPr>
      <w:rPr>
        <w:rFonts w:hint="default"/>
      </w:rPr>
    </w:lvl>
    <w:lvl w:ilvl="8" w:tplc="8CCE50A2">
      <w:start w:val="1"/>
      <w:numFmt w:val="bullet"/>
      <w:lvlText w:val="•"/>
      <w:lvlJc w:val="left"/>
      <w:pPr>
        <w:ind w:left="7340" w:hanging="395"/>
      </w:pPr>
      <w:rPr>
        <w:rFonts w:hint="default"/>
      </w:rPr>
    </w:lvl>
  </w:abstractNum>
  <w:abstractNum w:abstractNumId="38" w15:restartNumberingAfterBreak="0">
    <w:nsid w:val="2E7B734C"/>
    <w:multiLevelType w:val="hybridMultilevel"/>
    <w:tmpl w:val="4DA298FC"/>
    <w:lvl w:ilvl="0" w:tplc="C25A859C">
      <w:start w:val="2"/>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9" w15:restartNumberingAfterBreak="0">
    <w:nsid w:val="2F947A7C"/>
    <w:multiLevelType w:val="hybridMultilevel"/>
    <w:tmpl w:val="92BA8890"/>
    <w:lvl w:ilvl="0" w:tplc="5E1E2150">
      <w:start w:val="1"/>
      <w:numFmt w:val="lowerLetter"/>
      <w:lvlText w:val="(%1)"/>
      <w:lvlJc w:val="left"/>
      <w:pPr>
        <w:ind w:left="1862" w:hanging="425"/>
      </w:pPr>
      <w:rPr>
        <w:rFonts w:ascii="Times New Roman" w:eastAsia="Times New Roman" w:hAnsi="Times New Roman" w:hint="default"/>
        <w:w w:val="99"/>
        <w:sz w:val="20"/>
        <w:szCs w:val="20"/>
      </w:rPr>
    </w:lvl>
    <w:lvl w:ilvl="1" w:tplc="782495D2">
      <w:start w:val="1"/>
      <w:numFmt w:val="bullet"/>
      <w:lvlText w:val="•"/>
      <w:lvlJc w:val="left"/>
      <w:pPr>
        <w:ind w:left="2531" w:hanging="425"/>
      </w:pPr>
      <w:rPr>
        <w:rFonts w:hint="default"/>
      </w:rPr>
    </w:lvl>
    <w:lvl w:ilvl="2" w:tplc="031A350E">
      <w:start w:val="1"/>
      <w:numFmt w:val="bullet"/>
      <w:lvlText w:val="•"/>
      <w:lvlJc w:val="left"/>
      <w:pPr>
        <w:ind w:left="3199" w:hanging="425"/>
      </w:pPr>
      <w:rPr>
        <w:rFonts w:hint="default"/>
      </w:rPr>
    </w:lvl>
    <w:lvl w:ilvl="3" w:tplc="CEF87BB2">
      <w:start w:val="1"/>
      <w:numFmt w:val="bullet"/>
      <w:lvlText w:val="•"/>
      <w:lvlJc w:val="left"/>
      <w:pPr>
        <w:ind w:left="3867" w:hanging="425"/>
      </w:pPr>
      <w:rPr>
        <w:rFonts w:hint="default"/>
      </w:rPr>
    </w:lvl>
    <w:lvl w:ilvl="4" w:tplc="FAEE2DB8">
      <w:start w:val="1"/>
      <w:numFmt w:val="bullet"/>
      <w:lvlText w:val="•"/>
      <w:lvlJc w:val="left"/>
      <w:pPr>
        <w:ind w:left="4536" w:hanging="425"/>
      </w:pPr>
      <w:rPr>
        <w:rFonts w:hint="default"/>
      </w:rPr>
    </w:lvl>
    <w:lvl w:ilvl="5" w:tplc="62B8C7E2">
      <w:start w:val="1"/>
      <w:numFmt w:val="bullet"/>
      <w:lvlText w:val="•"/>
      <w:lvlJc w:val="left"/>
      <w:pPr>
        <w:ind w:left="5204" w:hanging="425"/>
      </w:pPr>
      <w:rPr>
        <w:rFonts w:hint="default"/>
      </w:rPr>
    </w:lvl>
    <w:lvl w:ilvl="6" w:tplc="C7EAF3BE">
      <w:start w:val="1"/>
      <w:numFmt w:val="bullet"/>
      <w:lvlText w:val="•"/>
      <w:lvlJc w:val="left"/>
      <w:pPr>
        <w:ind w:left="5872" w:hanging="425"/>
      </w:pPr>
      <w:rPr>
        <w:rFonts w:hint="default"/>
      </w:rPr>
    </w:lvl>
    <w:lvl w:ilvl="7" w:tplc="87FA1378">
      <w:start w:val="1"/>
      <w:numFmt w:val="bullet"/>
      <w:lvlText w:val="•"/>
      <w:lvlJc w:val="left"/>
      <w:pPr>
        <w:ind w:left="6541" w:hanging="425"/>
      </w:pPr>
      <w:rPr>
        <w:rFonts w:hint="default"/>
      </w:rPr>
    </w:lvl>
    <w:lvl w:ilvl="8" w:tplc="4E2E9310">
      <w:start w:val="1"/>
      <w:numFmt w:val="bullet"/>
      <w:lvlText w:val="•"/>
      <w:lvlJc w:val="left"/>
      <w:pPr>
        <w:ind w:left="7209" w:hanging="425"/>
      </w:pPr>
      <w:rPr>
        <w:rFonts w:hint="default"/>
      </w:rPr>
    </w:lvl>
  </w:abstractNum>
  <w:abstractNum w:abstractNumId="40" w15:restartNumberingAfterBreak="0">
    <w:nsid w:val="317814DA"/>
    <w:multiLevelType w:val="multilevel"/>
    <w:tmpl w:val="A712FE7C"/>
    <w:lvl w:ilvl="0">
      <w:start w:val="1"/>
      <w:numFmt w:val="decimal"/>
      <w:pStyle w:val="Exhibit"/>
      <w:lvlText w:val="Exhibit %1."/>
      <w:lvlJc w:val="left"/>
      <w:pPr>
        <w:tabs>
          <w:tab w:val="num" w:pos="0"/>
        </w:tabs>
        <w:ind w:left="1440" w:firstLine="0"/>
      </w:pPr>
      <w:rPr>
        <w:rFonts w:hint="default"/>
        <w:b w:val="0"/>
        <w:i/>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37C7161B"/>
    <w:multiLevelType w:val="hybridMultilevel"/>
    <w:tmpl w:val="61B6E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7EF0B49"/>
    <w:multiLevelType w:val="hybridMultilevel"/>
    <w:tmpl w:val="5D945B5A"/>
    <w:lvl w:ilvl="0" w:tplc="05F6207C">
      <w:start w:val="1"/>
      <w:numFmt w:val="decimal"/>
      <w:lvlText w:val="(%1)"/>
      <w:lvlJc w:val="left"/>
      <w:pPr>
        <w:ind w:left="2516" w:hanging="395"/>
      </w:pPr>
      <w:rPr>
        <w:rFonts w:ascii="Times New Roman" w:eastAsia="Times New Roman" w:hAnsi="Times New Roman" w:hint="default"/>
        <w:sz w:val="24"/>
        <w:szCs w:val="24"/>
      </w:rPr>
    </w:lvl>
    <w:lvl w:ilvl="1" w:tplc="8DF2F4E8">
      <w:start w:val="1"/>
      <w:numFmt w:val="lowerLetter"/>
      <w:lvlText w:val="(%2)"/>
      <w:lvlJc w:val="left"/>
      <w:pPr>
        <w:ind w:left="3027" w:hanging="382"/>
      </w:pPr>
      <w:rPr>
        <w:rFonts w:ascii="Times New Roman" w:eastAsia="Times New Roman" w:hAnsi="Times New Roman" w:hint="default"/>
        <w:sz w:val="24"/>
        <w:szCs w:val="24"/>
      </w:rPr>
    </w:lvl>
    <w:lvl w:ilvl="2" w:tplc="2F2AD29A">
      <w:start w:val="1"/>
      <w:numFmt w:val="bullet"/>
      <w:lvlText w:val="•"/>
      <w:lvlJc w:val="left"/>
      <w:pPr>
        <w:ind w:left="3640" w:hanging="382"/>
      </w:pPr>
      <w:rPr>
        <w:rFonts w:hint="default"/>
      </w:rPr>
    </w:lvl>
    <w:lvl w:ilvl="3" w:tplc="EF845B2E">
      <w:start w:val="1"/>
      <w:numFmt w:val="bullet"/>
      <w:lvlText w:val="•"/>
      <w:lvlJc w:val="left"/>
      <w:pPr>
        <w:ind w:left="4253" w:hanging="382"/>
      </w:pPr>
      <w:rPr>
        <w:rFonts w:hint="default"/>
      </w:rPr>
    </w:lvl>
    <w:lvl w:ilvl="4" w:tplc="4A9A8E1C">
      <w:start w:val="1"/>
      <w:numFmt w:val="bullet"/>
      <w:lvlText w:val="•"/>
      <w:lvlJc w:val="left"/>
      <w:pPr>
        <w:ind w:left="4867" w:hanging="382"/>
      </w:pPr>
      <w:rPr>
        <w:rFonts w:hint="default"/>
      </w:rPr>
    </w:lvl>
    <w:lvl w:ilvl="5" w:tplc="43AA2BF6">
      <w:start w:val="1"/>
      <w:numFmt w:val="bullet"/>
      <w:lvlText w:val="•"/>
      <w:lvlJc w:val="left"/>
      <w:pPr>
        <w:ind w:left="5480" w:hanging="382"/>
      </w:pPr>
      <w:rPr>
        <w:rFonts w:hint="default"/>
      </w:rPr>
    </w:lvl>
    <w:lvl w:ilvl="6" w:tplc="EB106B24">
      <w:start w:val="1"/>
      <w:numFmt w:val="bullet"/>
      <w:lvlText w:val="•"/>
      <w:lvlJc w:val="left"/>
      <w:pPr>
        <w:ind w:left="6093" w:hanging="382"/>
      </w:pPr>
      <w:rPr>
        <w:rFonts w:hint="default"/>
      </w:rPr>
    </w:lvl>
    <w:lvl w:ilvl="7" w:tplc="C5365B8C">
      <w:start w:val="1"/>
      <w:numFmt w:val="bullet"/>
      <w:lvlText w:val="•"/>
      <w:lvlJc w:val="left"/>
      <w:pPr>
        <w:ind w:left="6706" w:hanging="382"/>
      </w:pPr>
      <w:rPr>
        <w:rFonts w:hint="default"/>
      </w:rPr>
    </w:lvl>
    <w:lvl w:ilvl="8" w:tplc="9404EB4C">
      <w:start w:val="1"/>
      <w:numFmt w:val="bullet"/>
      <w:lvlText w:val="•"/>
      <w:lvlJc w:val="left"/>
      <w:pPr>
        <w:ind w:left="7319" w:hanging="382"/>
      </w:pPr>
      <w:rPr>
        <w:rFonts w:hint="default"/>
      </w:rPr>
    </w:lvl>
  </w:abstractNum>
  <w:abstractNum w:abstractNumId="43" w15:restartNumberingAfterBreak="0">
    <w:nsid w:val="397E6879"/>
    <w:multiLevelType w:val="hybridMultilevel"/>
    <w:tmpl w:val="7708F93A"/>
    <w:lvl w:ilvl="0" w:tplc="EE781DD4">
      <w:start w:val="1"/>
      <w:numFmt w:val="lowerLetter"/>
      <w:lvlText w:val="(%1)"/>
      <w:lvlJc w:val="left"/>
      <w:pPr>
        <w:ind w:left="1862" w:hanging="425"/>
      </w:pPr>
      <w:rPr>
        <w:rFonts w:ascii="Times New Roman" w:eastAsia="Times New Roman" w:hAnsi="Times New Roman" w:hint="default"/>
        <w:w w:val="99"/>
        <w:sz w:val="20"/>
        <w:szCs w:val="20"/>
      </w:rPr>
    </w:lvl>
    <w:lvl w:ilvl="1" w:tplc="A7F85A52">
      <w:start w:val="1"/>
      <w:numFmt w:val="bullet"/>
      <w:lvlText w:val="•"/>
      <w:lvlJc w:val="left"/>
      <w:pPr>
        <w:ind w:left="2531" w:hanging="425"/>
      </w:pPr>
      <w:rPr>
        <w:rFonts w:hint="default"/>
      </w:rPr>
    </w:lvl>
    <w:lvl w:ilvl="2" w:tplc="6AB04480">
      <w:start w:val="1"/>
      <w:numFmt w:val="bullet"/>
      <w:lvlText w:val="•"/>
      <w:lvlJc w:val="left"/>
      <w:pPr>
        <w:ind w:left="3199" w:hanging="425"/>
      </w:pPr>
      <w:rPr>
        <w:rFonts w:hint="default"/>
      </w:rPr>
    </w:lvl>
    <w:lvl w:ilvl="3" w:tplc="5BDA56C2">
      <w:start w:val="1"/>
      <w:numFmt w:val="bullet"/>
      <w:lvlText w:val="•"/>
      <w:lvlJc w:val="left"/>
      <w:pPr>
        <w:ind w:left="3867" w:hanging="425"/>
      </w:pPr>
      <w:rPr>
        <w:rFonts w:hint="default"/>
      </w:rPr>
    </w:lvl>
    <w:lvl w:ilvl="4" w:tplc="CEB46088">
      <w:start w:val="1"/>
      <w:numFmt w:val="bullet"/>
      <w:lvlText w:val="•"/>
      <w:lvlJc w:val="left"/>
      <w:pPr>
        <w:ind w:left="4536" w:hanging="425"/>
      </w:pPr>
      <w:rPr>
        <w:rFonts w:hint="default"/>
      </w:rPr>
    </w:lvl>
    <w:lvl w:ilvl="5" w:tplc="BE8C9FC6">
      <w:start w:val="1"/>
      <w:numFmt w:val="bullet"/>
      <w:lvlText w:val="•"/>
      <w:lvlJc w:val="left"/>
      <w:pPr>
        <w:ind w:left="5204" w:hanging="425"/>
      </w:pPr>
      <w:rPr>
        <w:rFonts w:hint="default"/>
      </w:rPr>
    </w:lvl>
    <w:lvl w:ilvl="6" w:tplc="07326B7C">
      <w:start w:val="1"/>
      <w:numFmt w:val="bullet"/>
      <w:lvlText w:val="•"/>
      <w:lvlJc w:val="left"/>
      <w:pPr>
        <w:ind w:left="5872" w:hanging="425"/>
      </w:pPr>
      <w:rPr>
        <w:rFonts w:hint="default"/>
      </w:rPr>
    </w:lvl>
    <w:lvl w:ilvl="7" w:tplc="E2AEB65C">
      <w:start w:val="1"/>
      <w:numFmt w:val="bullet"/>
      <w:lvlText w:val="•"/>
      <w:lvlJc w:val="left"/>
      <w:pPr>
        <w:ind w:left="6541" w:hanging="425"/>
      </w:pPr>
      <w:rPr>
        <w:rFonts w:hint="default"/>
      </w:rPr>
    </w:lvl>
    <w:lvl w:ilvl="8" w:tplc="8C2E639E">
      <w:start w:val="1"/>
      <w:numFmt w:val="bullet"/>
      <w:lvlText w:val="•"/>
      <w:lvlJc w:val="left"/>
      <w:pPr>
        <w:ind w:left="7209" w:hanging="425"/>
      </w:pPr>
      <w:rPr>
        <w:rFonts w:hint="default"/>
      </w:rPr>
    </w:lvl>
  </w:abstractNum>
  <w:abstractNum w:abstractNumId="44" w15:restartNumberingAfterBreak="0">
    <w:nsid w:val="39884A4A"/>
    <w:multiLevelType w:val="hybridMultilevel"/>
    <w:tmpl w:val="5B623234"/>
    <w:lvl w:ilvl="0" w:tplc="828A6014">
      <w:start w:val="1"/>
      <w:numFmt w:val="lowerLetter"/>
      <w:lvlText w:val="(%1)"/>
      <w:lvlJc w:val="left"/>
      <w:pPr>
        <w:ind w:left="1862" w:hanging="425"/>
      </w:pPr>
      <w:rPr>
        <w:rFonts w:ascii="Times New Roman" w:eastAsia="Times New Roman" w:hAnsi="Times New Roman" w:hint="default"/>
        <w:w w:val="99"/>
        <w:sz w:val="20"/>
        <w:szCs w:val="20"/>
      </w:rPr>
    </w:lvl>
    <w:lvl w:ilvl="1" w:tplc="3BF6D37C">
      <w:start w:val="1"/>
      <w:numFmt w:val="bullet"/>
      <w:lvlText w:val="•"/>
      <w:lvlJc w:val="left"/>
      <w:pPr>
        <w:ind w:left="2531" w:hanging="425"/>
      </w:pPr>
      <w:rPr>
        <w:rFonts w:hint="default"/>
      </w:rPr>
    </w:lvl>
    <w:lvl w:ilvl="2" w:tplc="BEBE0716">
      <w:start w:val="1"/>
      <w:numFmt w:val="bullet"/>
      <w:lvlText w:val="•"/>
      <w:lvlJc w:val="left"/>
      <w:pPr>
        <w:ind w:left="3199" w:hanging="425"/>
      </w:pPr>
      <w:rPr>
        <w:rFonts w:hint="default"/>
      </w:rPr>
    </w:lvl>
    <w:lvl w:ilvl="3" w:tplc="326004BE">
      <w:start w:val="1"/>
      <w:numFmt w:val="bullet"/>
      <w:lvlText w:val="•"/>
      <w:lvlJc w:val="left"/>
      <w:pPr>
        <w:ind w:left="3867" w:hanging="425"/>
      </w:pPr>
      <w:rPr>
        <w:rFonts w:hint="default"/>
      </w:rPr>
    </w:lvl>
    <w:lvl w:ilvl="4" w:tplc="612A0E0A">
      <w:start w:val="1"/>
      <w:numFmt w:val="bullet"/>
      <w:lvlText w:val="•"/>
      <w:lvlJc w:val="left"/>
      <w:pPr>
        <w:ind w:left="4536" w:hanging="425"/>
      </w:pPr>
      <w:rPr>
        <w:rFonts w:hint="default"/>
      </w:rPr>
    </w:lvl>
    <w:lvl w:ilvl="5" w:tplc="F732D2E6">
      <w:start w:val="1"/>
      <w:numFmt w:val="bullet"/>
      <w:lvlText w:val="•"/>
      <w:lvlJc w:val="left"/>
      <w:pPr>
        <w:ind w:left="5204" w:hanging="425"/>
      </w:pPr>
      <w:rPr>
        <w:rFonts w:hint="default"/>
      </w:rPr>
    </w:lvl>
    <w:lvl w:ilvl="6" w:tplc="3D703ECA">
      <w:start w:val="1"/>
      <w:numFmt w:val="bullet"/>
      <w:lvlText w:val="•"/>
      <w:lvlJc w:val="left"/>
      <w:pPr>
        <w:ind w:left="5872" w:hanging="425"/>
      </w:pPr>
      <w:rPr>
        <w:rFonts w:hint="default"/>
      </w:rPr>
    </w:lvl>
    <w:lvl w:ilvl="7" w:tplc="283E5814">
      <w:start w:val="1"/>
      <w:numFmt w:val="bullet"/>
      <w:lvlText w:val="•"/>
      <w:lvlJc w:val="left"/>
      <w:pPr>
        <w:ind w:left="6541" w:hanging="425"/>
      </w:pPr>
      <w:rPr>
        <w:rFonts w:hint="default"/>
      </w:rPr>
    </w:lvl>
    <w:lvl w:ilvl="8" w:tplc="7362FC82">
      <w:start w:val="1"/>
      <w:numFmt w:val="bullet"/>
      <w:lvlText w:val="•"/>
      <w:lvlJc w:val="left"/>
      <w:pPr>
        <w:ind w:left="7209" w:hanging="425"/>
      </w:pPr>
      <w:rPr>
        <w:rFonts w:hint="default"/>
      </w:rPr>
    </w:lvl>
  </w:abstractNum>
  <w:abstractNum w:abstractNumId="45" w15:restartNumberingAfterBreak="0">
    <w:nsid w:val="3BA606FA"/>
    <w:multiLevelType w:val="hybridMultilevel"/>
    <w:tmpl w:val="93C43944"/>
    <w:lvl w:ilvl="0" w:tplc="734C837A">
      <w:start w:val="1"/>
      <w:numFmt w:val="decimal"/>
      <w:lvlText w:val="(%1)"/>
      <w:lvlJc w:val="left"/>
      <w:pPr>
        <w:ind w:left="2516" w:hanging="395"/>
      </w:pPr>
      <w:rPr>
        <w:rFonts w:ascii="Times New Roman" w:eastAsia="Times New Roman" w:hAnsi="Times New Roman" w:hint="default"/>
        <w:sz w:val="24"/>
        <w:szCs w:val="24"/>
      </w:rPr>
    </w:lvl>
    <w:lvl w:ilvl="1" w:tplc="519423C0">
      <w:start w:val="1"/>
      <w:numFmt w:val="lowerLetter"/>
      <w:lvlText w:val="(%2)"/>
      <w:lvlJc w:val="left"/>
      <w:pPr>
        <w:ind w:left="3027" w:hanging="382"/>
      </w:pPr>
      <w:rPr>
        <w:rFonts w:ascii="Times New Roman" w:eastAsia="Times New Roman" w:hAnsi="Times New Roman" w:hint="default"/>
        <w:sz w:val="24"/>
        <w:szCs w:val="24"/>
      </w:rPr>
    </w:lvl>
    <w:lvl w:ilvl="2" w:tplc="E944830C">
      <w:start w:val="1"/>
      <w:numFmt w:val="lowerRoman"/>
      <w:lvlText w:val="(%3)"/>
      <w:lvlJc w:val="left"/>
      <w:pPr>
        <w:ind w:left="3536" w:hanging="339"/>
        <w:jc w:val="right"/>
      </w:pPr>
      <w:rPr>
        <w:rFonts w:ascii="Times New Roman" w:eastAsia="Times New Roman" w:hAnsi="Times New Roman" w:hint="default"/>
        <w:sz w:val="24"/>
        <w:szCs w:val="24"/>
      </w:rPr>
    </w:lvl>
    <w:lvl w:ilvl="3" w:tplc="F932A378">
      <w:start w:val="1"/>
      <w:numFmt w:val="bullet"/>
      <w:lvlText w:val="•"/>
      <w:lvlJc w:val="left"/>
      <w:pPr>
        <w:ind w:left="4162" w:hanging="339"/>
      </w:pPr>
      <w:rPr>
        <w:rFonts w:hint="default"/>
      </w:rPr>
    </w:lvl>
    <w:lvl w:ilvl="4" w:tplc="B6BA7D9A">
      <w:start w:val="1"/>
      <w:numFmt w:val="bullet"/>
      <w:lvlText w:val="•"/>
      <w:lvlJc w:val="left"/>
      <w:pPr>
        <w:ind w:left="4788" w:hanging="339"/>
      </w:pPr>
      <w:rPr>
        <w:rFonts w:hint="default"/>
      </w:rPr>
    </w:lvl>
    <w:lvl w:ilvl="5" w:tplc="FC9228A4">
      <w:start w:val="1"/>
      <w:numFmt w:val="bullet"/>
      <w:lvlText w:val="•"/>
      <w:lvlJc w:val="left"/>
      <w:pPr>
        <w:ind w:left="5415" w:hanging="339"/>
      </w:pPr>
      <w:rPr>
        <w:rFonts w:hint="default"/>
      </w:rPr>
    </w:lvl>
    <w:lvl w:ilvl="6" w:tplc="6638F2B0">
      <w:start w:val="1"/>
      <w:numFmt w:val="bullet"/>
      <w:lvlText w:val="•"/>
      <w:lvlJc w:val="left"/>
      <w:pPr>
        <w:ind w:left="6041" w:hanging="339"/>
      </w:pPr>
      <w:rPr>
        <w:rFonts w:hint="default"/>
      </w:rPr>
    </w:lvl>
    <w:lvl w:ilvl="7" w:tplc="D0AA8FB0">
      <w:start w:val="1"/>
      <w:numFmt w:val="bullet"/>
      <w:lvlText w:val="•"/>
      <w:lvlJc w:val="left"/>
      <w:pPr>
        <w:ind w:left="6667" w:hanging="339"/>
      </w:pPr>
      <w:rPr>
        <w:rFonts w:hint="default"/>
      </w:rPr>
    </w:lvl>
    <w:lvl w:ilvl="8" w:tplc="D9401C32">
      <w:start w:val="1"/>
      <w:numFmt w:val="bullet"/>
      <w:lvlText w:val="•"/>
      <w:lvlJc w:val="left"/>
      <w:pPr>
        <w:ind w:left="7293" w:hanging="339"/>
      </w:pPr>
      <w:rPr>
        <w:rFonts w:hint="default"/>
      </w:rPr>
    </w:lvl>
  </w:abstractNum>
  <w:abstractNum w:abstractNumId="46" w15:restartNumberingAfterBreak="0">
    <w:nsid w:val="3C02472B"/>
    <w:multiLevelType w:val="hybridMultilevel"/>
    <w:tmpl w:val="1CECCDCC"/>
    <w:lvl w:ilvl="0" w:tplc="B3649E5C">
      <w:start w:val="1"/>
      <w:numFmt w:val="lowerLetter"/>
      <w:lvlText w:val="(%1)"/>
      <w:lvlJc w:val="left"/>
      <w:pPr>
        <w:ind w:left="1862" w:hanging="425"/>
      </w:pPr>
      <w:rPr>
        <w:rFonts w:ascii="Times New Roman" w:eastAsia="Times New Roman" w:hAnsi="Times New Roman" w:hint="default"/>
        <w:w w:val="99"/>
        <w:sz w:val="20"/>
        <w:szCs w:val="20"/>
      </w:rPr>
    </w:lvl>
    <w:lvl w:ilvl="1" w:tplc="98FC6718">
      <w:start w:val="1"/>
      <w:numFmt w:val="bullet"/>
      <w:lvlText w:val="•"/>
      <w:lvlJc w:val="left"/>
      <w:pPr>
        <w:ind w:left="2531" w:hanging="425"/>
      </w:pPr>
      <w:rPr>
        <w:rFonts w:hint="default"/>
      </w:rPr>
    </w:lvl>
    <w:lvl w:ilvl="2" w:tplc="759C59A8">
      <w:start w:val="1"/>
      <w:numFmt w:val="bullet"/>
      <w:lvlText w:val="•"/>
      <w:lvlJc w:val="left"/>
      <w:pPr>
        <w:ind w:left="3199" w:hanging="425"/>
      </w:pPr>
      <w:rPr>
        <w:rFonts w:hint="default"/>
      </w:rPr>
    </w:lvl>
    <w:lvl w:ilvl="3" w:tplc="1ED2D64E">
      <w:start w:val="1"/>
      <w:numFmt w:val="bullet"/>
      <w:lvlText w:val="•"/>
      <w:lvlJc w:val="left"/>
      <w:pPr>
        <w:ind w:left="3867" w:hanging="425"/>
      </w:pPr>
      <w:rPr>
        <w:rFonts w:hint="default"/>
      </w:rPr>
    </w:lvl>
    <w:lvl w:ilvl="4" w:tplc="22D6AF08">
      <w:start w:val="1"/>
      <w:numFmt w:val="bullet"/>
      <w:lvlText w:val="•"/>
      <w:lvlJc w:val="left"/>
      <w:pPr>
        <w:ind w:left="4536" w:hanging="425"/>
      </w:pPr>
      <w:rPr>
        <w:rFonts w:hint="default"/>
      </w:rPr>
    </w:lvl>
    <w:lvl w:ilvl="5" w:tplc="572835D6">
      <w:start w:val="1"/>
      <w:numFmt w:val="bullet"/>
      <w:lvlText w:val="•"/>
      <w:lvlJc w:val="left"/>
      <w:pPr>
        <w:ind w:left="5204" w:hanging="425"/>
      </w:pPr>
      <w:rPr>
        <w:rFonts w:hint="default"/>
      </w:rPr>
    </w:lvl>
    <w:lvl w:ilvl="6" w:tplc="D5A8309E">
      <w:start w:val="1"/>
      <w:numFmt w:val="bullet"/>
      <w:lvlText w:val="•"/>
      <w:lvlJc w:val="left"/>
      <w:pPr>
        <w:ind w:left="5872" w:hanging="425"/>
      </w:pPr>
      <w:rPr>
        <w:rFonts w:hint="default"/>
      </w:rPr>
    </w:lvl>
    <w:lvl w:ilvl="7" w:tplc="91C0E596">
      <w:start w:val="1"/>
      <w:numFmt w:val="bullet"/>
      <w:lvlText w:val="•"/>
      <w:lvlJc w:val="left"/>
      <w:pPr>
        <w:ind w:left="6541" w:hanging="425"/>
      </w:pPr>
      <w:rPr>
        <w:rFonts w:hint="default"/>
      </w:rPr>
    </w:lvl>
    <w:lvl w:ilvl="8" w:tplc="6910EB50">
      <w:start w:val="1"/>
      <w:numFmt w:val="bullet"/>
      <w:lvlText w:val="•"/>
      <w:lvlJc w:val="left"/>
      <w:pPr>
        <w:ind w:left="7209" w:hanging="425"/>
      </w:pPr>
      <w:rPr>
        <w:rFonts w:hint="default"/>
      </w:rPr>
    </w:lvl>
  </w:abstractNum>
  <w:abstractNum w:abstractNumId="47" w15:restartNumberingAfterBreak="0">
    <w:nsid w:val="3CB478C6"/>
    <w:multiLevelType w:val="singleLevel"/>
    <w:tmpl w:val="AE0202DE"/>
    <w:lvl w:ilvl="0">
      <w:start w:val="1"/>
      <w:numFmt w:val="bullet"/>
      <w:lvlText w:val=""/>
      <w:lvlJc w:val="left"/>
      <w:pPr>
        <w:tabs>
          <w:tab w:val="num" w:pos="360"/>
        </w:tabs>
        <w:ind w:left="360" w:hanging="360"/>
      </w:pPr>
      <w:rPr>
        <w:rFonts w:ascii="Wingdings" w:hAnsi="Wingdings" w:hint="default"/>
      </w:rPr>
    </w:lvl>
  </w:abstractNum>
  <w:abstractNum w:abstractNumId="48" w15:restartNumberingAfterBreak="0">
    <w:nsid w:val="3D0A7082"/>
    <w:multiLevelType w:val="hybridMultilevel"/>
    <w:tmpl w:val="086A3C78"/>
    <w:lvl w:ilvl="0" w:tplc="3448FBF0">
      <w:start w:val="1"/>
      <w:numFmt w:val="upperLetter"/>
      <w:lvlText w:val="%1"/>
      <w:lvlJc w:val="left"/>
      <w:pPr>
        <w:ind w:left="2857" w:hanging="322"/>
      </w:pPr>
      <w:rPr>
        <w:rFonts w:ascii="Times New Roman" w:eastAsia="Times New Roman" w:hAnsi="Times New Roman" w:hint="default"/>
        <w:b/>
        <w:bCs/>
        <w:sz w:val="24"/>
        <w:szCs w:val="24"/>
      </w:rPr>
    </w:lvl>
    <w:lvl w:ilvl="1" w:tplc="DCD8F208">
      <w:start w:val="1"/>
      <w:numFmt w:val="bullet"/>
      <w:lvlText w:val="•"/>
      <w:lvlJc w:val="left"/>
      <w:pPr>
        <w:ind w:left="3425" w:hanging="322"/>
      </w:pPr>
      <w:rPr>
        <w:rFonts w:hint="default"/>
      </w:rPr>
    </w:lvl>
    <w:lvl w:ilvl="2" w:tplc="D4148C30">
      <w:start w:val="1"/>
      <w:numFmt w:val="bullet"/>
      <w:lvlText w:val="•"/>
      <w:lvlJc w:val="left"/>
      <w:pPr>
        <w:ind w:left="3994" w:hanging="322"/>
      </w:pPr>
      <w:rPr>
        <w:rFonts w:hint="default"/>
      </w:rPr>
    </w:lvl>
    <w:lvl w:ilvl="3" w:tplc="967E06AE">
      <w:start w:val="1"/>
      <w:numFmt w:val="bullet"/>
      <w:lvlText w:val="•"/>
      <w:lvlJc w:val="left"/>
      <w:pPr>
        <w:ind w:left="4563" w:hanging="322"/>
      </w:pPr>
      <w:rPr>
        <w:rFonts w:hint="default"/>
      </w:rPr>
    </w:lvl>
    <w:lvl w:ilvl="4" w:tplc="7D9ADF26">
      <w:start w:val="1"/>
      <w:numFmt w:val="bullet"/>
      <w:lvlText w:val="•"/>
      <w:lvlJc w:val="left"/>
      <w:pPr>
        <w:ind w:left="5132" w:hanging="322"/>
      </w:pPr>
      <w:rPr>
        <w:rFonts w:hint="default"/>
      </w:rPr>
    </w:lvl>
    <w:lvl w:ilvl="5" w:tplc="634E367E">
      <w:start w:val="1"/>
      <w:numFmt w:val="bullet"/>
      <w:lvlText w:val="•"/>
      <w:lvlJc w:val="left"/>
      <w:pPr>
        <w:ind w:left="5701" w:hanging="322"/>
      </w:pPr>
      <w:rPr>
        <w:rFonts w:hint="default"/>
      </w:rPr>
    </w:lvl>
    <w:lvl w:ilvl="6" w:tplc="D624CD80">
      <w:start w:val="1"/>
      <w:numFmt w:val="bullet"/>
      <w:lvlText w:val="•"/>
      <w:lvlJc w:val="left"/>
      <w:pPr>
        <w:ind w:left="6270" w:hanging="322"/>
      </w:pPr>
      <w:rPr>
        <w:rFonts w:hint="default"/>
      </w:rPr>
    </w:lvl>
    <w:lvl w:ilvl="7" w:tplc="517A1E38">
      <w:start w:val="1"/>
      <w:numFmt w:val="bullet"/>
      <w:lvlText w:val="•"/>
      <w:lvlJc w:val="left"/>
      <w:pPr>
        <w:ind w:left="6839" w:hanging="322"/>
      </w:pPr>
      <w:rPr>
        <w:rFonts w:hint="default"/>
      </w:rPr>
    </w:lvl>
    <w:lvl w:ilvl="8" w:tplc="CDBC546C">
      <w:start w:val="1"/>
      <w:numFmt w:val="bullet"/>
      <w:lvlText w:val="•"/>
      <w:lvlJc w:val="left"/>
      <w:pPr>
        <w:ind w:left="7408" w:hanging="322"/>
      </w:pPr>
      <w:rPr>
        <w:rFonts w:hint="default"/>
      </w:rPr>
    </w:lvl>
  </w:abstractNum>
  <w:abstractNum w:abstractNumId="49" w15:restartNumberingAfterBreak="0">
    <w:nsid w:val="3D6212C9"/>
    <w:multiLevelType w:val="hybridMultilevel"/>
    <w:tmpl w:val="CB24B428"/>
    <w:lvl w:ilvl="0" w:tplc="FE80F9DC">
      <w:start w:val="1"/>
      <w:numFmt w:val="decimal"/>
      <w:lvlText w:val="(%1)"/>
      <w:lvlJc w:val="left"/>
      <w:pPr>
        <w:ind w:left="2516" w:hanging="395"/>
        <w:jc w:val="right"/>
      </w:pPr>
      <w:rPr>
        <w:rFonts w:ascii="Times New Roman" w:eastAsia="Times New Roman" w:hAnsi="Times New Roman" w:hint="default"/>
        <w:sz w:val="24"/>
        <w:szCs w:val="24"/>
      </w:rPr>
    </w:lvl>
    <w:lvl w:ilvl="1" w:tplc="FF3ADBFA">
      <w:start w:val="1"/>
      <w:numFmt w:val="lowerLetter"/>
      <w:lvlText w:val="(%2)"/>
      <w:lvlJc w:val="left"/>
      <w:pPr>
        <w:ind w:left="3027" w:hanging="382"/>
      </w:pPr>
      <w:rPr>
        <w:rFonts w:ascii="Times New Roman" w:eastAsia="Times New Roman" w:hAnsi="Times New Roman" w:hint="default"/>
        <w:sz w:val="24"/>
        <w:szCs w:val="24"/>
      </w:rPr>
    </w:lvl>
    <w:lvl w:ilvl="2" w:tplc="C8028FB2">
      <w:start w:val="1"/>
      <w:numFmt w:val="bullet"/>
      <w:lvlText w:val="•"/>
      <w:lvlJc w:val="left"/>
      <w:pPr>
        <w:ind w:left="3640" w:hanging="382"/>
      </w:pPr>
      <w:rPr>
        <w:rFonts w:hint="default"/>
      </w:rPr>
    </w:lvl>
    <w:lvl w:ilvl="3" w:tplc="10FE4C74">
      <w:start w:val="1"/>
      <w:numFmt w:val="bullet"/>
      <w:lvlText w:val="•"/>
      <w:lvlJc w:val="left"/>
      <w:pPr>
        <w:ind w:left="4253" w:hanging="382"/>
      </w:pPr>
      <w:rPr>
        <w:rFonts w:hint="default"/>
      </w:rPr>
    </w:lvl>
    <w:lvl w:ilvl="4" w:tplc="8104FCCE">
      <w:start w:val="1"/>
      <w:numFmt w:val="bullet"/>
      <w:lvlText w:val="•"/>
      <w:lvlJc w:val="left"/>
      <w:pPr>
        <w:ind w:left="4867" w:hanging="382"/>
      </w:pPr>
      <w:rPr>
        <w:rFonts w:hint="default"/>
      </w:rPr>
    </w:lvl>
    <w:lvl w:ilvl="5" w:tplc="19E2604C">
      <w:start w:val="1"/>
      <w:numFmt w:val="bullet"/>
      <w:lvlText w:val="•"/>
      <w:lvlJc w:val="left"/>
      <w:pPr>
        <w:ind w:left="5480" w:hanging="382"/>
      </w:pPr>
      <w:rPr>
        <w:rFonts w:hint="default"/>
      </w:rPr>
    </w:lvl>
    <w:lvl w:ilvl="6" w:tplc="CF3EFE04">
      <w:start w:val="1"/>
      <w:numFmt w:val="bullet"/>
      <w:lvlText w:val="•"/>
      <w:lvlJc w:val="left"/>
      <w:pPr>
        <w:ind w:left="6093" w:hanging="382"/>
      </w:pPr>
      <w:rPr>
        <w:rFonts w:hint="default"/>
      </w:rPr>
    </w:lvl>
    <w:lvl w:ilvl="7" w:tplc="7E784A30">
      <w:start w:val="1"/>
      <w:numFmt w:val="bullet"/>
      <w:lvlText w:val="•"/>
      <w:lvlJc w:val="left"/>
      <w:pPr>
        <w:ind w:left="6706" w:hanging="382"/>
      </w:pPr>
      <w:rPr>
        <w:rFonts w:hint="default"/>
      </w:rPr>
    </w:lvl>
    <w:lvl w:ilvl="8" w:tplc="82627038">
      <w:start w:val="1"/>
      <w:numFmt w:val="bullet"/>
      <w:lvlText w:val="•"/>
      <w:lvlJc w:val="left"/>
      <w:pPr>
        <w:ind w:left="7319" w:hanging="382"/>
      </w:pPr>
      <w:rPr>
        <w:rFonts w:hint="default"/>
      </w:rPr>
    </w:lvl>
  </w:abstractNum>
  <w:abstractNum w:abstractNumId="50" w15:restartNumberingAfterBreak="0">
    <w:nsid w:val="3EC2535E"/>
    <w:multiLevelType w:val="multilevel"/>
    <w:tmpl w:val="491AF9E2"/>
    <w:name w:val="Alpha LC2"/>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428B0399"/>
    <w:multiLevelType w:val="hybridMultilevel"/>
    <w:tmpl w:val="84D20490"/>
    <w:lvl w:ilvl="0" w:tplc="33629CBC">
      <w:numFmt w:val="bullet"/>
      <w:lvlText w:val=""/>
      <w:lvlJc w:val="left"/>
      <w:pPr>
        <w:ind w:left="720" w:hanging="360"/>
      </w:pPr>
      <w:rPr>
        <w:rFonts w:ascii="Symbol" w:eastAsiaTheme="majorEastAsia" w:hAnsi="Symbol" w:cstheme="majorBid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9C129F8"/>
    <w:multiLevelType w:val="multilevel"/>
    <w:tmpl w:val="04C684EE"/>
    <w:name w:val="HeadingsList"/>
    <w:styleLink w:val="HeadingsList"/>
    <w:lvl w:ilvl="0">
      <w:start w:val="1"/>
      <w:numFmt w:val="decimal"/>
      <w:lvlRestart w:val="0"/>
      <w:pStyle w:val="Heading1"/>
      <w:lvlText w:val="%1."/>
      <w:lvlJc w:val="left"/>
      <w:pPr>
        <w:ind w:left="936" w:hanging="936"/>
      </w:pPr>
      <w:rPr>
        <w:rFonts w:asciiTheme="majorHAnsi" w:eastAsiaTheme="majorEastAsia" w:hAnsiTheme="majorHAnsi" w:cstheme="majorBidi" w:hint="default"/>
        <w:b/>
        <w:bCs/>
        <w:i w:val="0"/>
        <w:iCs w:val="0"/>
        <w:sz w:val="28"/>
        <w:szCs w:val="28"/>
      </w:rPr>
    </w:lvl>
    <w:lvl w:ilvl="1">
      <w:start w:val="1"/>
      <w:numFmt w:val="decimal"/>
      <w:pStyle w:val="Heading2"/>
      <w:lvlText w:val="%1.%2."/>
      <w:lvlJc w:val="left"/>
      <w:pPr>
        <w:ind w:left="936" w:hanging="936"/>
      </w:pPr>
      <w:rPr>
        <w:rFonts w:asciiTheme="majorHAnsi" w:eastAsiaTheme="majorEastAsia" w:hAnsiTheme="majorHAnsi" w:cstheme="majorBidi" w:hint="default"/>
        <w:b/>
        <w:bCs/>
        <w:i w:val="0"/>
        <w:iCs w:val="0"/>
        <w:sz w:val="26"/>
        <w:szCs w:val="26"/>
      </w:rPr>
    </w:lvl>
    <w:lvl w:ilvl="2">
      <w:start w:val="1"/>
      <w:numFmt w:val="decimal"/>
      <w:pStyle w:val="Heading3"/>
      <w:lvlText w:val="%1.%2.%3."/>
      <w:lvlJc w:val="left"/>
      <w:pPr>
        <w:ind w:left="936" w:hanging="936"/>
      </w:pPr>
      <w:rPr>
        <w:rFonts w:asciiTheme="majorHAnsi" w:eastAsiaTheme="majorEastAsia" w:hAnsiTheme="majorHAnsi" w:cstheme="majorBidi" w:hint="default"/>
        <w:b/>
        <w:bCs/>
        <w:i w:val="0"/>
        <w:iCs w:val="0"/>
        <w:sz w:val="24"/>
        <w:szCs w:val="24"/>
      </w:rPr>
    </w:lvl>
    <w:lvl w:ilvl="3">
      <w:start w:val="1"/>
      <w:numFmt w:val="decimal"/>
      <w:pStyle w:val="Heading4"/>
      <w:lvlText w:val="%1.%2.%3.%4."/>
      <w:lvlJc w:val="left"/>
      <w:pPr>
        <w:ind w:left="1296" w:hanging="1296"/>
      </w:pPr>
      <w:rPr>
        <w:rFonts w:asciiTheme="majorHAnsi" w:eastAsiaTheme="majorEastAsia" w:hAnsiTheme="majorHAnsi" w:cstheme="majorBidi" w:hint="default"/>
        <w:b w:val="0"/>
        <w:bCs w:val="0"/>
        <w:i w:val="0"/>
        <w:iCs w:val="0"/>
        <w:sz w:val="24"/>
        <w:szCs w:val="24"/>
      </w:rPr>
    </w:lvl>
    <w:lvl w:ilvl="4">
      <w:start w:val="1"/>
      <w:numFmt w:val="decimal"/>
      <w:pStyle w:val="Heading5"/>
      <w:lvlText w:val="%1.%2.%3.%4.%5."/>
      <w:lvlJc w:val="left"/>
      <w:pPr>
        <w:ind w:left="1296" w:hanging="1296"/>
      </w:pPr>
      <w:rPr>
        <w:rFonts w:asciiTheme="majorHAnsi" w:eastAsiaTheme="majorEastAsia" w:hAnsiTheme="majorHAnsi" w:cstheme="majorBidi" w:hint="default"/>
        <w:b w:val="0"/>
        <w:bCs w:val="0"/>
        <w:i/>
        <w:iCs/>
        <w:sz w:val="24"/>
        <w:szCs w:val="24"/>
      </w:rPr>
    </w:lvl>
    <w:lvl w:ilvl="5">
      <w:start w:val="1"/>
      <w:numFmt w:val="decimal"/>
      <w:pStyle w:val="Heading6"/>
      <w:lvlText w:val="%1.%2.%3.%4.%5.%6."/>
      <w:lvlJc w:val="left"/>
      <w:pPr>
        <w:ind w:left="1296" w:hanging="1296"/>
      </w:pPr>
      <w:rPr>
        <w:rFonts w:hint="default"/>
        <w:b w:val="0"/>
        <w:bCs w:val="0"/>
        <w:i w:val="0"/>
        <w:iCs/>
        <w:sz w:val="24"/>
        <w:szCs w:val="24"/>
      </w:rPr>
    </w:lvl>
    <w:lvl w:ilvl="6">
      <w:start w:val="1"/>
      <w:numFmt w:val="decimal"/>
      <w:pStyle w:val="Heading7"/>
      <w:lvlText w:val="%1.%2.%3.%4.%5.%6.%7."/>
      <w:lvlJc w:val="left"/>
      <w:pPr>
        <w:ind w:left="1296" w:hanging="1296"/>
      </w:pPr>
      <w:rPr>
        <w:rFonts w:hint="default"/>
        <w:b w:val="0"/>
        <w:bCs w:val="0"/>
        <w:i w:val="0"/>
        <w:iCs/>
        <w:sz w:val="24"/>
        <w:szCs w:val="24"/>
      </w:rPr>
    </w:lvl>
    <w:lvl w:ilvl="7">
      <w:start w:val="1"/>
      <w:numFmt w:val="decimal"/>
      <w:pStyle w:val="Heading8"/>
      <w:lvlText w:val="%1.%2.%3.%4.%5.%6.%7.%8."/>
      <w:lvlJc w:val="left"/>
      <w:pPr>
        <w:ind w:left="1296" w:hanging="1296"/>
      </w:pPr>
      <w:rPr>
        <w:rFonts w:hint="default"/>
        <w:b w:val="0"/>
        <w:bCs w:val="0"/>
        <w:i w:val="0"/>
        <w:iCs w:val="0"/>
        <w:sz w:val="20"/>
        <w:szCs w:val="24"/>
      </w:rPr>
    </w:lvl>
    <w:lvl w:ilvl="8">
      <w:start w:val="1"/>
      <w:numFmt w:val="decimal"/>
      <w:pStyle w:val="Heading9"/>
      <w:lvlText w:val="%1.%2.%3.%4.%5.%6.%7.%8.%9."/>
      <w:lvlJc w:val="left"/>
      <w:pPr>
        <w:ind w:left="1296" w:hanging="1296"/>
      </w:pPr>
      <w:rPr>
        <w:rFonts w:hint="default"/>
        <w:b w:val="0"/>
        <w:bCs w:val="0"/>
        <w:i w:val="0"/>
        <w:iCs/>
        <w:sz w:val="20"/>
        <w:szCs w:val="24"/>
      </w:rPr>
    </w:lvl>
  </w:abstractNum>
  <w:abstractNum w:abstractNumId="53" w15:restartNumberingAfterBreak="0">
    <w:nsid w:val="4BA52F74"/>
    <w:multiLevelType w:val="hybridMultilevel"/>
    <w:tmpl w:val="A020617C"/>
    <w:lvl w:ilvl="0" w:tplc="4114E736">
      <w:start w:val="1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C68043D"/>
    <w:multiLevelType w:val="multilevel"/>
    <w:tmpl w:val="F0966A3C"/>
    <w:name w:val="AppendicesList"/>
    <w:styleLink w:val="AppendicesList"/>
    <w:lvl w:ilvl="0">
      <w:start w:val="1"/>
      <w:numFmt w:val="upperLetter"/>
      <w:lvlRestart w:val="0"/>
      <w:lvlText w:val="Appendix %1."/>
      <w:lvlJc w:val="left"/>
      <w:pPr>
        <w:tabs>
          <w:tab w:val="num" w:pos="936"/>
        </w:tabs>
        <w:ind w:left="936" w:hanging="936"/>
      </w:pPr>
      <w:rPr>
        <w:rFonts w:asciiTheme="majorHAnsi" w:eastAsiaTheme="majorEastAsia" w:hAnsiTheme="majorHAnsi" w:cstheme="majorBidi" w:hint="default"/>
        <w:b/>
        <w:bCs/>
        <w:i w:val="0"/>
        <w:iCs w:val="0"/>
        <w:sz w:val="28"/>
        <w:szCs w:val="28"/>
      </w:rPr>
    </w:lvl>
    <w:lvl w:ilvl="1">
      <w:start w:val="1"/>
      <w:numFmt w:val="decimal"/>
      <w:lvlText w:val="%1.%2."/>
      <w:lvlJc w:val="left"/>
      <w:pPr>
        <w:tabs>
          <w:tab w:val="num" w:pos="936"/>
        </w:tabs>
        <w:ind w:left="936" w:hanging="936"/>
      </w:pPr>
      <w:rPr>
        <w:rFonts w:asciiTheme="majorHAnsi" w:eastAsiaTheme="majorEastAsia" w:hAnsiTheme="majorHAnsi" w:cstheme="majorBidi" w:hint="default"/>
        <w:b/>
        <w:bCs/>
        <w:i w:val="0"/>
        <w:iCs w:val="0"/>
        <w:sz w:val="26"/>
        <w:szCs w:val="26"/>
      </w:rPr>
    </w:lvl>
    <w:lvl w:ilvl="2">
      <w:start w:val="1"/>
      <w:numFmt w:val="decimal"/>
      <w:lvlText w:val="%1.%2.%3."/>
      <w:lvlJc w:val="left"/>
      <w:pPr>
        <w:tabs>
          <w:tab w:val="num" w:pos="936"/>
        </w:tabs>
        <w:ind w:left="936" w:hanging="936"/>
      </w:pPr>
      <w:rPr>
        <w:rFonts w:asciiTheme="majorHAnsi" w:eastAsiaTheme="majorEastAsia" w:hAnsiTheme="majorHAnsi" w:cstheme="majorBidi" w:hint="default"/>
        <w:b/>
        <w:bCs/>
        <w:i w:val="0"/>
        <w:iCs w:val="0"/>
        <w:sz w:val="24"/>
        <w:szCs w:val="24"/>
      </w:rPr>
    </w:lvl>
    <w:lvl w:ilvl="3">
      <w:start w:val="1"/>
      <w:numFmt w:val="decimal"/>
      <w:lvlText w:val="%1.%2.%3.%4."/>
      <w:lvlJc w:val="left"/>
      <w:pPr>
        <w:tabs>
          <w:tab w:val="num" w:pos="1296"/>
        </w:tabs>
        <w:ind w:left="1296" w:hanging="1296"/>
      </w:pPr>
      <w:rPr>
        <w:rFonts w:asciiTheme="majorHAnsi" w:eastAsiaTheme="majorEastAsia" w:hAnsiTheme="majorHAnsi" w:cstheme="majorBidi" w:hint="default"/>
        <w:b w:val="0"/>
        <w:bCs w:val="0"/>
        <w:i w:val="0"/>
        <w:iCs w:val="0"/>
        <w:sz w:val="24"/>
        <w:szCs w:val="24"/>
      </w:rPr>
    </w:lvl>
    <w:lvl w:ilvl="4">
      <w:start w:val="1"/>
      <w:numFmt w:val="decimal"/>
      <w:lvlText w:val="%1.%2.%3.%4.%5."/>
      <w:lvlJc w:val="left"/>
      <w:pPr>
        <w:tabs>
          <w:tab w:val="num" w:pos="1296"/>
        </w:tabs>
        <w:ind w:left="1296" w:hanging="1296"/>
      </w:pPr>
      <w:rPr>
        <w:rFonts w:asciiTheme="majorHAnsi" w:eastAsiaTheme="majorEastAsia" w:hAnsiTheme="majorHAnsi" w:cstheme="majorBidi" w:hint="default"/>
        <w:b w:val="0"/>
        <w:bCs w:val="0"/>
        <w:i/>
        <w:iCs/>
        <w:sz w:val="24"/>
        <w:szCs w:val="24"/>
      </w:rPr>
    </w:lvl>
    <w:lvl w:ilvl="5">
      <w:start w:val="1"/>
      <w:numFmt w:val="lowerRoman"/>
      <w:lvlText w:val="(%6)"/>
      <w:lvlJc w:val="left"/>
      <w:pPr>
        <w:tabs>
          <w:tab w:val="num" w:pos="2448"/>
        </w:tabs>
        <w:ind w:left="0" w:firstLine="0"/>
      </w:pPr>
      <w:rPr>
        <w:rFonts w:hint="default"/>
        <w:b w:val="0"/>
        <w:bCs w:val="0"/>
        <w:i w:val="0"/>
        <w:iCs/>
        <w:sz w:val="24"/>
        <w:szCs w:val="24"/>
      </w:rPr>
    </w:lvl>
    <w:lvl w:ilvl="6">
      <w:start w:val="1"/>
      <w:numFmt w:val="decimal"/>
      <w:lvlText w:val="%7."/>
      <w:lvlJc w:val="left"/>
      <w:pPr>
        <w:tabs>
          <w:tab w:val="num" w:pos="2808"/>
        </w:tabs>
        <w:ind w:left="0" w:firstLine="0"/>
      </w:pPr>
      <w:rPr>
        <w:rFonts w:hint="default"/>
        <w:b w:val="0"/>
        <w:bCs w:val="0"/>
        <w:i w:val="0"/>
        <w:iCs/>
        <w:sz w:val="24"/>
        <w:szCs w:val="24"/>
      </w:rPr>
    </w:lvl>
    <w:lvl w:ilvl="7">
      <w:start w:val="1"/>
      <w:numFmt w:val="lowerLetter"/>
      <w:lvlText w:val="%8."/>
      <w:lvlJc w:val="left"/>
      <w:pPr>
        <w:tabs>
          <w:tab w:val="num" w:pos="3168"/>
        </w:tabs>
        <w:ind w:left="0" w:firstLine="0"/>
      </w:pPr>
      <w:rPr>
        <w:rFonts w:hint="default"/>
        <w:b w:val="0"/>
        <w:bCs w:val="0"/>
        <w:i w:val="0"/>
        <w:iCs w:val="0"/>
        <w:sz w:val="20"/>
        <w:szCs w:val="24"/>
      </w:rPr>
    </w:lvl>
    <w:lvl w:ilvl="8">
      <w:start w:val="1"/>
      <w:numFmt w:val="lowerRoman"/>
      <w:lvlText w:val="%9."/>
      <w:lvlJc w:val="left"/>
      <w:pPr>
        <w:tabs>
          <w:tab w:val="num" w:pos="3528"/>
        </w:tabs>
        <w:ind w:left="0" w:firstLine="0"/>
      </w:pPr>
      <w:rPr>
        <w:rFonts w:hint="default"/>
        <w:b w:val="0"/>
        <w:bCs w:val="0"/>
        <w:i w:val="0"/>
        <w:iCs/>
        <w:sz w:val="20"/>
        <w:szCs w:val="24"/>
      </w:rPr>
    </w:lvl>
  </w:abstractNum>
  <w:abstractNum w:abstractNumId="55" w15:restartNumberingAfterBreak="0">
    <w:nsid w:val="4CAF28C5"/>
    <w:multiLevelType w:val="multilevel"/>
    <w:tmpl w:val="B066A80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360"/>
        </w:tabs>
        <w:ind w:left="360" w:hanging="360"/>
      </w:pPr>
      <w:rPr>
        <w:rFonts w:hint="default"/>
      </w:rPr>
    </w:lvl>
    <w:lvl w:ilvl="5">
      <w:start w:val="1"/>
      <w:numFmt w:val="lowerRoman"/>
      <w:lvlText w:val="−"/>
      <w:lvlJc w:val="left"/>
      <w:pPr>
        <w:tabs>
          <w:tab w:val="num" w:pos="720"/>
        </w:tabs>
        <w:ind w:left="720" w:hanging="360"/>
      </w:pPr>
      <w:rPr>
        <w:rFonts w:ascii="Arial" w:hAnsi="Arial" w:cs="Arial"/>
      </w:rPr>
    </w:lvl>
    <w:lvl w:ilvl="6">
      <w:start w:val="1"/>
      <w:numFmt w:val="decimal"/>
      <w:lvlText w:val="−"/>
      <w:lvlJc w:val="left"/>
      <w:pPr>
        <w:tabs>
          <w:tab w:val="num" w:pos="1080"/>
        </w:tabs>
        <w:ind w:left="1080" w:hanging="360"/>
      </w:pPr>
      <w:rPr>
        <w:rFonts w:ascii="Arial" w:hAnsi="Arial" w:cs="Arial"/>
      </w:rPr>
    </w:lvl>
    <w:lvl w:ilvl="7">
      <w:start w:val="1"/>
      <w:numFmt w:val="lowerLetter"/>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56" w15:restartNumberingAfterBreak="0">
    <w:nsid w:val="4D8C387B"/>
    <w:multiLevelType w:val="hybridMultilevel"/>
    <w:tmpl w:val="978202E4"/>
    <w:lvl w:ilvl="0" w:tplc="EC24BBF8">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E7E72FF"/>
    <w:multiLevelType w:val="hybridMultilevel"/>
    <w:tmpl w:val="D6343242"/>
    <w:lvl w:ilvl="0" w:tplc="7D3CF708">
      <w:numFmt w:val="bullet"/>
      <w:lvlText w:val=""/>
      <w:lvlJc w:val="left"/>
      <w:pPr>
        <w:ind w:left="1440" w:hanging="360"/>
      </w:pPr>
      <w:rPr>
        <w:rFonts w:ascii="Symbol" w:hAnsi="Symbol" w:hint="default"/>
        <w:sz w:val="2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8" w15:restartNumberingAfterBreak="0">
    <w:nsid w:val="54AF03D3"/>
    <w:multiLevelType w:val="hybridMultilevel"/>
    <w:tmpl w:val="D4DA65AA"/>
    <w:lvl w:ilvl="0" w:tplc="9454FA2A">
      <w:start w:val="1"/>
      <w:numFmt w:val="decimal"/>
      <w:lvlText w:val="%1"/>
      <w:lvlJc w:val="left"/>
      <w:pPr>
        <w:ind w:left="1721" w:hanging="351"/>
        <w:jc w:val="right"/>
      </w:pPr>
      <w:rPr>
        <w:rFonts w:ascii="Times New Roman" w:eastAsia="Times New Roman" w:hAnsi="Times New Roman" w:hint="default"/>
        <w:sz w:val="24"/>
        <w:szCs w:val="24"/>
      </w:rPr>
    </w:lvl>
    <w:lvl w:ilvl="1" w:tplc="DA1844BA">
      <w:start w:val="1"/>
      <w:numFmt w:val="bullet"/>
      <w:lvlText w:val="•"/>
      <w:lvlJc w:val="left"/>
      <w:pPr>
        <w:ind w:left="2403" w:hanging="351"/>
      </w:pPr>
      <w:rPr>
        <w:rFonts w:hint="default"/>
      </w:rPr>
    </w:lvl>
    <w:lvl w:ilvl="2" w:tplc="FEFCA456">
      <w:start w:val="1"/>
      <w:numFmt w:val="bullet"/>
      <w:lvlText w:val="•"/>
      <w:lvlJc w:val="left"/>
      <w:pPr>
        <w:ind w:left="3086" w:hanging="351"/>
      </w:pPr>
      <w:rPr>
        <w:rFonts w:hint="default"/>
      </w:rPr>
    </w:lvl>
    <w:lvl w:ilvl="3" w:tplc="F2D22244">
      <w:start w:val="1"/>
      <w:numFmt w:val="bullet"/>
      <w:lvlText w:val="•"/>
      <w:lvlJc w:val="left"/>
      <w:pPr>
        <w:ind w:left="3768" w:hanging="351"/>
      </w:pPr>
      <w:rPr>
        <w:rFonts w:hint="default"/>
      </w:rPr>
    </w:lvl>
    <w:lvl w:ilvl="4" w:tplc="F92EE486">
      <w:start w:val="1"/>
      <w:numFmt w:val="bullet"/>
      <w:lvlText w:val="•"/>
      <w:lvlJc w:val="left"/>
      <w:pPr>
        <w:ind w:left="4451" w:hanging="351"/>
      </w:pPr>
      <w:rPr>
        <w:rFonts w:hint="default"/>
      </w:rPr>
    </w:lvl>
    <w:lvl w:ilvl="5" w:tplc="78EC51A4">
      <w:start w:val="1"/>
      <w:numFmt w:val="bullet"/>
      <w:lvlText w:val="•"/>
      <w:lvlJc w:val="left"/>
      <w:pPr>
        <w:ind w:left="5133" w:hanging="351"/>
      </w:pPr>
      <w:rPr>
        <w:rFonts w:hint="default"/>
      </w:rPr>
    </w:lvl>
    <w:lvl w:ilvl="6" w:tplc="94F0366A">
      <w:start w:val="1"/>
      <w:numFmt w:val="bullet"/>
      <w:lvlText w:val="•"/>
      <w:lvlJc w:val="left"/>
      <w:pPr>
        <w:ind w:left="5816" w:hanging="351"/>
      </w:pPr>
      <w:rPr>
        <w:rFonts w:hint="default"/>
      </w:rPr>
    </w:lvl>
    <w:lvl w:ilvl="7" w:tplc="071C1570">
      <w:start w:val="1"/>
      <w:numFmt w:val="bullet"/>
      <w:lvlText w:val="•"/>
      <w:lvlJc w:val="left"/>
      <w:pPr>
        <w:ind w:left="6498" w:hanging="351"/>
      </w:pPr>
      <w:rPr>
        <w:rFonts w:hint="default"/>
      </w:rPr>
    </w:lvl>
    <w:lvl w:ilvl="8" w:tplc="F16072B0">
      <w:start w:val="1"/>
      <w:numFmt w:val="bullet"/>
      <w:lvlText w:val="•"/>
      <w:lvlJc w:val="left"/>
      <w:pPr>
        <w:ind w:left="7181" w:hanging="351"/>
      </w:pPr>
      <w:rPr>
        <w:rFonts w:hint="default"/>
      </w:rPr>
    </w:lvl>
  </w:abstractNum>
  <w:abstractNum w:abstractNumId="59" w15:restartNumberingAfterBreak="0">
    <w:nsid w:val="555E3CCB"/>
    <w:multiLevelType w:val="hybridMultilevel"/>
    <w:tmpl w:val="134EE1E8"/>
    <w:lvl w:ilvl="0" w:tplc="2A7676DA">
      <w:start w:val="1"/>
      <w:numFmt w:val="bullet"/>
      <w:lvlText w:val=""/>
      <w:lvlJc w:val="left"/>
      <w:pPr>
        <w:ind w:left="702" w:hanging="284"/>
      </w:pPr>
      <w:rPr>
        <w:rFonts w:ascii="Symbol" w:eastAsia="Symbol" w:hAnsi="Symbol" w:hint="default"/>
        <w:w w:val="99"/>
        <w:sz w:val="20"/>
        <w:szCs w:val="20"/>
      </w:rPr>
    </w:lvl>
    <w:lvl w:ilvl="1" w:tplc="17E8A744">
      <w:start w:val="1"/>
      <w:numFmt w:val="bullet"/>
      <w:lvlText w:val="•"/>
      <w:lvlJc w:val="left"/>
      <w:pPr>
        <w:ind w:left="1253" w:hanging="284"/>
      </w:pPr>
      <w:rPr>
        <w:rFonts w:hint="default"/>
      </w:rPr>
    </w:lvl>
    <w:lvl w:ilvl="2" w:tplc="57629EAC">
      <w:start w:val="1"/>
      <w:numFmt w:val="bullet"/>
      <w:lvlText w:val="•"/>
      <w:lvlJc w:val="left"/>
      <w:pPr>
        <w:ind w:left="1805" w:hanging="284"/>
      </w:pPr>
      <w:rPr>
        <w:rFonts w:hint="default"/>
      </w:rPr>
    </w:lvl>
    <w:lvl w:ilvl="3" w:tplc="CA18ACD0">
      <w:start w:val="1"/>
      <w:numFmt w:val="bullet"/>
      <w:lvlText w:val="•"/>
      <w:lvlJc w:val="left"/>
      <w:pPr>
        <w:ind w:left="2356" w:hanging="284"/>
      </w:pPr>
      <w:rPr>
        <w:rFonts w:hint="default"/>
      </w:rPr>
    </w:lvl>
    <w:lvl w:ilvl="4" w:tplc="295AC8C6">
      <w:start w:val="1"/>
      <w:numFmt w:val="bullet"/>
      <w:lvlText w:val="•"/>
      <w:lvlJc w:val="left"/>
      <w:pPr>
        <w:ind w:left="2908" w:hanging="284"/>
      </w:pPr>
      <w:rPr>
        <w:rFonts w:hint="default"/>
      </w:rPr>
    </w:lvl>
    <w:lvl w:ilvl="5" w:tplc="0BF2867E">
      <w:start w:val="1"/>
      <w:numFmt w:val="bullet"/>
      <w:lvlText w:val="•"/>
      <w:lvlJc w:val="left"/>
      <w:pPr>
        <w:ind w:left="3459" w:hanging="284"/>
      </w:pPr>
      <w:rPr>
        <w:rFonts w:hint="default"/>
      </w:rPr>
    </w:lvl>
    <w:lvl w:ilvl="6" w:tplc="1AEAFAEA">
      <w:start w:val="1"/>
      <w:numFmt w:val="bullet"/>
      <w:lvlText w:val="•"/>
      <w:lvlJc w:val="left"/>
      <w:pPr>
        <w:ind w:left="4011" w:hanging="284"/>
      </w:pPr>
      <w:rPr>
        <w:rFonts w:hint="default"/>
      </w:rPr>
    </w:lvl>
    <w:lvl w:ilvl="7" w:tplc="A314A21C">
      <w:start w:val="1"/>
      <w:numFmt w:val="bullet"/>
      <w:lvlText w:val="•"/>
      <w:lvlJc w:val="left"/>
      <w:pPr>
        <w:ind w:left="4562" w:hanging="284"/>
      </w:pPr>
      <w:rPr>
        <w:rFonts w:hint="default"/>
      </w:rPr>
    </w:lvl>
    <w:lvl w:ilvl="8" w:tplc="9E721E44">
      <w:start w:val="1"/>
      <w:numFmt w:val="bullet"/>
      <w:lvlText w:val="•"/>
      <w:lvlJc w:val="left"/>
      <w:pPr>
        <w:ind w:left="5114" w:hanging="284"/>
      </w:pPr>
      <w:rPr>
        <w:rFonts w:hint="default"/>
      </w:rPr>
    </w:lvl>
  </w:abstractNum>
  <w:abstractNum w:abstractNumId="60" w15:restartNumberingAfterBreak="0">
    <w:nsid w:val="56B65B69"/>
    <w:multiLevelType w:val="hybridMultilevel"/>
    <w:tmpl w:val="4F167810"/>
    <w:lvl w:ilvl="0" w:tplc="84E6DFBA">
      <w:start w:val="1"/>
      <w:numFmt w:val="lowerLetter"/>
      <w:lvlText w:val="(%1)"/>
      <w:lvlJc w:val="left"/>
      <w:pPr>
        <w:ind w:left="1862" w:hanging="425"/>
      </w:pPr>
      <w:rPr>
        <w:rFonts w:ascii="Times New Roman" w:eastAsia="Times New Roman" w:hAnsi="Times New Roman" w:hint="default"/>
        <w:w w:val="99"/>
        <w:sz w:val="20"/>
        <w:szCs w:val="20"/>
      </w:rPr>
    </w:lvl>
    <w:lvl w:ilvl="1" w:tplc="85EAEE38">
      <w:start w:val="1"/>
      <w:numFmt w:val="bullet"/>
      <w:lvlText w:val="•"/>
      <w:lvlJc w:val="left"/>
      <w:pPr>
        <w:ind w:left="2531" w:hanging="425"/>
      </w:pPr>
      <w:rPr>
        <w:rFonts w:hint="default"/>
      </w:rPr>
    </w:lvl>
    <w:lvl w:ilvl="2" w:tplc="937CA4CE">
      <w:start w:val="1"/>
      <w:numFmt w:val="bullet"/>
      <w:lvlText w:val="•"/>
      <w:lvlJc w:val="left"/>
      <w:pPr>
        <w:ind w:left="3199" w:hanging="425"/>
      </w:pPr>
      <w:rPr>
        <w:rFonts w:hint="default"/>
      </w:rPr>
    </w:lvl>
    <w:lvl w:ilvl="3" w:tplc="0BD654B6">
      <w:start w:val="1"/>
      <w:numFmt w:val="bullet"/>
      <w:lvlText w:val="•"/>
      <w:lvlJc w:val="left"/>
      <w:pPr>
        <w:ind w:left="3867" w:hanging="425"/>
      </w:pPr>
      <w:rPr>
        <w:rFonts w:hint="default"/>
      </w:rPr>
    </w:lvl>
    <w:lvl w:ilvl="4" w:tplc="50DC5D40">
      <w:start w:val="1"/>
      <w:numFmt w:val="bullet"/>
      <w:lvlText w:val="•"/>
      <w:lvlJc w:val="left"/>
      <w:pPr>
        <w:ind w:left="4536" w:hanging="425"/>
      </w:pPr>
      <w:rPr>
        <w:rFonts w:hint="default"/>
      </w:rPr>
    </w:lvl>
    <w:lvl w:ilvl="5" w:tplc="E7CCFE30">
      <w:start w:val="1"/>
      <w:numFmt w:val="bullet"/>
      <w:lvlText w:val="•"/>
      <w:lvlJc w:val="left"/>
      <w:pPr>
        <w:ind w:left="5204" w:hanging="425"/>
      </w:pPr>
      <w:rPr>
        <w:rFonts w:hint="default"/>
      </w:rPr>
    </w:lvl>
    <w:lvl w:ilvl="6" w:tplc="FE16222A">
      <w:start w:val="1"/>
      <w:numFmt w:val="bullet"/>
      <w:lvlText w:val="•"/>
      <w:lvlJc w:val="left"/>
      <w:pPr>
        <w:ind w:left="5872" w:hanging="425"/>
      </w:pPr>
      <w:rPr>
        <w:rFonts w:hint="default"/>
      </w:rPr>
    </w:lvl>
    <w:lvl w:ilvl="7" w:tplc="1AAA69E6">
      <w:start w:val="1"/>
      <w:numFmt w:val="bullet"/>
      <w:lvlText w:val="•"/>
      <w:lvlJc w:val="left"/>
      <w:pPr>
        <w:ind w:left="6541" w:hanging="425"/>
      </w:pPr>
      <w:rPr>
        <w:rFonts w:hint="default"/>
      </w:rPr>
    </w:lvl>
    <w:lvl w:ilvl="8" w:tplc="F92EED46">
      <w:start w:val="1"/>
      <w:numFmt w:val="bullet"/>
      <w:lvlText w:val="•"/>
      <w:lvlJc w:val="left"/>
      <w:pPr>
        <w:ind w:left="7209" w:hanging="425"/>
      </w:pPr>
      <w:rPr>
        <w:rFonts w:hint="default"/>
      </w:rPr>
    </w:lvl>
  </w:abstractNum>
  <w:abstractNum w:abstractNumId="61" w15:restartNumberingAfterBreak="0">
    <w:nsid w:val="5C475C56"/>
    <w:multiLevelType w:val="hybridMultilevel"/>
    <w:tmpl w:val="2974A124"/>
    <w:lvl w:ilvl="0" w:tplc="907A0E58">
      <w:start w:val="1"/>
      <w:numFmt w:val="decimal"/>
      <w:lvlText w:val="(%1)"/>
      <w:lvlJc w:val="left"/>
      <w:pPr>
        <w:ind w:left="2516" w:hanging="395"/>
      </w:pPr>
      <w:rPr>
        <w:rFonts w:ascii="Times New Roman" w:eastAsia="Times New Roman" w:hAnsi="Times New Roman" w:hint="default"/>
        <w:sz w:val="24"/>
        <w:szCs w:val="24"/>
      </w:rPr>
    </w:lvl>
    <w:lvl w:ilvl="1" w:tplc="93021A04">
      <w:start w:val="1"/>
      <w:numFmt w:val="lowerLetter"/>
      <w:lvlText w:val="(%2)"/>
      <w:lvlJc w:val="left"/>
      <w:pPr>
        <w:ind w:left="3027" w:hanging="382"/>
      </w:pPr>
      <w:rPr>
        <w:rFonts w:ascii="Times New Roman" w:eastAsia="Times New Roman" w:hAnsi="Times New Roman" w:hint="default"/>
        <w:sz w:val="24"/>
        <w:szCs w:val="24"/>
      </w:rPr>
    </w:lvl>
    <w:lvl w:ilvl="2" w:tplc="7B98E552">
      <w:start w:val="1"/>
      <w:numFmt w:val="bullet"/>
      <w:lvlText w:val="•"/>
      <w:lvlJc w:val="left"/>
      <w:pPr>
        <w:ind w:left="3640" w:hanging="382"/>
      </w:pPr>
      <w:rPr>
        <w:rFonts w:hint="default"/>
      </w:rPr>
    </w:lvl>
    <w:lvl w:ilvl="3" w:tplc="1D2A2C24">
      <w:start w:val="1"/>
      <w:numFmt w:val="bullet"/>
      <w:lvlText w:val="•"/>
      <w:lvlJc w:val="left"/>
      <w:pPr>
        <w:ind w:left="4253" w:hanging="382"/>
      </w:pPr>
      <w:rPr>
        <w:rFonts w:hint="default"/>
      </w:rPr>
    </w:lvl>
    <w:lvl w:ilvl="4" w:tplc="C02606D6">
      <w:start w:val="1"/>
      <w:numFmt w:val="bullet"/>
      <w:lvlText w:val="•"/>
      <w:lvlJc w:val="left"/>
      <w:pPr>
        <w:ind w:left="4867" w:hanging="382"/>
      </w:pPr>
      <w:rPr>
        <w:rFonts w:hint="default"/>
      </w:rPr>
    </w:lvl>
    <w:lvl w:ilvl="5" w:tplc="AE10340A">
      <w:start w:val="1"/>
      <w:numFmt w:val="bullet"/>
      <w:lvlText w:val="•"/>
      <w:lvlJc w:val="left"/>
      <w:pPr>
        <w:ind w:left="5480" w:hanging="382"/>
      </w:pPr>
      <w:rPr>
        <w:rFonts w:hint="default"/>
      </w:rPr>
    </w:lvl>
    <w:lvl w:ilvl="6" w:tplc="AE4E6166">
      <w:start w:val="1"/>
      <w:numFmt w:val="bullet"/>
      <w:lvlText w:val="•"/>
      <w:lvlJc w:val="left"/>
      <w:pPr>
        <w:ind w:left="6093" w:hanging="382"/>
      </w:pPr>
      <w:rPr>
        <w:rFonts w:hint="default"/>
      </w:rPr>
    </w:lvl>
    <w:lvl w:ilvl="7" w:tplc="DA22F97C">
      <w:start w:val="1"/>
      <w:numFmt w:val="bullet"/>
      <w:lvlText w:val="•"/>
      <w:lvlJc w:val="left"/>
      <w:pPr>
        <w:ind w:left="6706" w:hanging="382"/>
      </w:pPr>
      <w:rPr>
        <w:rFonts w:hint="default"/>
      </w:rPr>
    </w:lvl>
    <w:lvl w:ilvl="8" w:tplc="CFB016E2">
      <w:start w:val="1"/>
      <w:numFmt w:val="bullet"/>
      <w:lvlText w:val="•"/>
      <w:lvlJc w:val="left"/>
      <w:pPr>
        <w:ind w:left="7319" w:hanging="382"/>
      </w:pPr>
      <w:rPr>
        <w:rFonts w:hint="default"/>
      </w:rPr>
    </w:lvl>
  </w:abstractNum>
  <w:abstractNum w:abstractNumId="62" w15:restartNumberingAfterBreak="0">
    <w:nsid w:val="644207D8"/>
    <w:multiLevelType w:val="multilevel"/>
    <w:tmpl w:val="0809001F"/>
    <w:styleLink w:val="111111"/>
    <w:lvl w:ilvl="0">
      <w:start w:val="1"/>
      <w:numFmt w:val="decimal"/>
      <w:lvlText w:val="%1."/>
      <w:lvlJc w:val="left"/>
      <w:pPr>
        <w:ind w:left="360" w:hanging="360"/>
      </w:pPr>
      <w:rPr>
        <w:rFonts w:cs="Times New Roman"/>
        <w:bCs w:val="0"/>
        <w:iCs w:val="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5B76299"/>
    <w:multiLevelType w:val="multilevel"/>
    <w:tmpl w:val="08090023"/>
    <w:styleLink w:val="ArticleSection"/>
    <w:lvl w:ilvl="0">
      <w:start w:val="1"/>
      <w:numFmt w:val="upperRoman"/>
      <w:lvlText w:val="Article %1."/>
      <w:lvlJc w:val="left"/>
      <w:pPr>
        <w:ind w:left="0" w:firstLine="0"/>
      </w:pPr>
      <w:rPr>
        <w:rFonts w:cs="Times New Roman"/>
        <w:bCs w:val="0"/>
        <w:iCs w:val="0"/>
        <w:szCs w:val="2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4" w15:restartNumberingAfterBreak="0">
    <w:nsid w:val="66662A46"/>
    <w:multiLevelType w:val="multilevel"/>
    <w:tmpl w:val="DEB44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7DD4DE6"/>
    <w:multiLevelType w:val="multilevel"/>
    <w:tmpl w:val="04C684EE"/>
    <w:name w:val="HeadingsList2"/>
    <w:numStyleLink w:val="HeadingsList"/>
  </w:abstractNum>
  <w:abstractNum w:abstractNumId="66" w15:restartNumberingAfterBreak="0">
    <w:nsid w:val="68EA1F17"/>
    <w:multiLevelType w:val="hybridMultilevel"/>
    <w:tmpl w:val="B43CED2A"/>
    <w:lvl w:ilvl="0" w:tplc="E6B68770">
      <w:start w:val="1"/>
      <w:numFmt w:val="bullet"/>
      <w:lvlText w:val=""/>
      <w:lvlJc w:val="left"/>
      <w:pPr>
        <w:ind w:left="702" w:hanging="284"/>
      </w:pPr>
      <w:rPr>
        <w:rFonts w:ascii="Symbol" w:eastAsia="Symbol" w:hAnsi="Symbol" w:hint="default"/>
        <w:w w:val="99"/>
        <w:sz w:val="20"/>
        <w:szCs w:val="20"/>
      </w:rPr>
    </w:lvl>
    <w:lvl w:ilvl="1" w:tplc="7E4C986C">
      <w:start w:val="1"/>
      <w:numFmt w:val="bullet"/>
      <w:lvlText w:val="•"/>
      <w:lvlJc w:val="left"/>
      <w:pPr>
        <w:ind w:left="1254" w:hanging="284"/>
      </w:pPr>
      <w:rPr>
        <w:rFonts w:hint="default"/>
      </w:rPr>
    </w:lvl>
    <w:lvl w:ilvl="2" w:tplc="EF5430DE">
      <w:start w:val="1"/>
      <w:numFmt w:val="bullet"/>
      <w:lvlText w:val="•"/>
      <w:lvlJc w:val="left"/>
      <w:pPr>
        <w:ind w:left="1807" w:hanging="284"/>
      </w:pPr>
      <w:rPr>
        <w:rFonts w:hint="default"/>
      </w:rPr>
    </w:lvl>
    <w:lvl w:ilvl="3" w:tplc="FFCE1C60">
      <w:start w:val="1"/>
      <w:numFmt w:val="bullet"/>
      <w:lvlText w:val="•"/>
      <w:lvlJc w:val="left"/>
      <w:pPr>
        <w:ind w:left="2359" w:hanging="284"/>
      </w:pPr>
      <w:rPr>
        <w:rFonts w:hint="default"/>
      </w:rPr>
    </w:lvl>
    <w:lvl w:ilvl="4" w:tplc="020CE060">
      <w:start w:val="1"/>
      <w:numFmt w:val="bullet"/>
      <w:lvlText w:val="•"/>
      <w:lvlJc w:val="left"/>
      <w:pPr>
        <w:ind w:left="2912" w:hanging="284"/>
      </w:pPr>
      <w:rPr>
        <w:rFonts w:hint="default"/>
      </w:rPr>
    </w:lvl>
    <w:lvl w:ilvl="5" w:tplc="682CE964">
      <w:start w:val="1"/>
      <w:numFmt w:val="bullet"/>
      <w:lvlText w:val="•"/>
      <w:lvlJc w:val="left"/>
      <w:pPr>
        <w:ind w:left="3464" w:hanging="284"/>
      </w:pPr>
      <w:rPr>
        <w:rFonts w:hint="default"/>
      </w:rPr>
    </w:lvl>
    <w:lvl w:ilvl="6" w:tplc="32E6EC24">
      <w:start w:val="1"/>
      <w:numFmt w:val="bullet"/>
      <w:lvlText w:val="•"/>
      <w:lvlJc w:val="left"/>
      <w:pPr>
        <w:ind w:left="4017" w:hanging="284"/>
      </w:pPr>
      <w:rPr>
        <w:rFonts w:hint="default"/>
      </w:rPr>
    </w:lvl>
    <w:lvl w:ilvl="7" w:tplc="E316781E">
      <w:start w:val="1"/>
      <w:numFmt w:val="bullet"/>
      <w:lvlText w:val="•"/>
      <w:lvlJc w:val="left"/>
      <w:pPr>
        <w:ind w:left="4569" w:hanging="284"/>
      </w:pPr>
      <w:rPr>
        <w:rFonts w:hint="default"/>
      </w:rPr>
    </w:lvl>
    <w:lvl w:ilvl="8" w:tplc="9A30C662">
      <w:start w:val="1"/>
      <w:numFmt w:val="bullet"/>
      <w:lvlText w:val="•"/>
      <w:lvlJc w:val="left"/>
      <w:pPr>
        <w:ind w:left="5122" w:hanging="284"/>
      </w:pPr>
      <w:rPr>
        <w:rFonts w:hint="default"/>
      </w:rPr>
    </w:lvl>
  </w:abstractNum>
  <w:abstractNum w:abstractNumId="67" w15:restartNumberingAfterBreak="0">
    <w:nsid w:val="695D6309"/>
    <w:multiLevelType w:val="hybridMultilevel"/>
    <w:tmpl w:val="3E4C3F32"/>
    <w:lvl w:ilvl="0" w:tplc="D29E7B7C">
      <w:start w:val="1"/>
      <w:numFmt w:val="lowerLetter"/>
      <w:lvlText w:val="(%1)"/>
      <w:lvlJc w:val="left"/>
      <w:pPr>
        <w:ind w:left="1862" w:hanging="425"/>
      </w:pPr>
      <w:rPr>
        <w:rFonts w:ascii="Times New Roman" w:eastAsia="Times New Roman" w:hAnsi="Times New Roman" w:hint="default"/>
        <w:w w:val="99"/>
        <w:sz w:val="20"/>
        <w:szCs w:val="20"/>
      </w:rPr>
    </w:lvl>
    <w:lvl w:ilvl="1" w:tplc="A7F4BA66">
      <w:start w:val="1"/>
      <w:numFmt w:val="bullet"/>
      <w:lvlText w:val="•"/>
      <w:lvlJc w:val="left"/>
      <w:pPr>
        <w:ind w:left="2531" w:hanging="425"/>
      </w:pPr>
      <w:rPr>
        <w:rFonts w:hint="default"/>
      </w:rPr>
    </w:lvl>
    <w:lvl w:ilvl="2" w:tplc="782C8F6E">
      <w:start w:val="1"/>
      <w:numFmt w:val="bullet"/>
      <w:lvlText w:val="•"/>
      <w:lvlJc w:val="left"/>
      <w:pPr>
        <w:ind w:left="3199" w:hanging="425"/>
      </w:pPr>
      <w:rPr>
        <w:rFonts w:hint="default"/>
      </w:rPr>
    </w:lvl>
    <w:lvl w:ilvl="3" w:tplc="0B5E527A">
      <w:start w:val="1"/>
      <w:numFmt w:val="bullet"/>
      <w:lvlText w:val="•"/>
      <w:lvlJc w:val="left"/>
      <w:pPr>
        <w:ind w:left="3867" w:hanging="425"/>
      </w:pPr>
      <w:rPr>
        <w:rFonts w:hint="default"/>
      </w:rPr>
    </w:lvl>
    <w:lvl w:ilvl="4" w:tplc="8EBC43FE">
      <w:start w:val="1"/>
      <w:numFmt w:val="bullet"/>
      <w:lvlText w:val="•"/>
      <w:lvlJc w:val="left"/>
      <w:pPr>
        <w:ind w:left="4536" w:hanging="425"/>
      </w:pPr>
      <w:rPr>
        <w:rFonts w:hint="default"/>
      </w:rPr>
    </w:lvl>
    <w:lvl w:ilvl="5" w:tplc="F02EAC30">
      <w:start w:val="1"/>
      <w:numFmt w:val="bullet"/>
      <w:lvlText w:val="•"/>
      <w:lvlJc w:val="left"/>
      <w:pPr>
        <w:ind w:left="5204" w:hanging="425"/>
      </w:pPr>
      <w:rPr>
        <w:rFonts w:hint="default"/>
      </w:rPr>
    </w:lvl>
    <w:lvl w:ilvl="6" w:tplc="54887C9A">
      <w:start w:val="1"/>
      <w:numFmt w:val="bullet"/>
      <w:lvlText w:val="•"/>
      <w:lvlJc w:val="left"/>
      <w:pPr>
        <w:ind w:left="5872" w:hanging="425"/>
      </w:pPr>
      <w:rPr>
        <w:rFonts w:hint="default"/>
      </w:rPr>
    </w:lvl>
    <w:lvl w:ilvl="7" w:tplc="97E4B5A8">
      <w:start w:val="1"/>
      <w:numFmt w:val="bullet"/>
      <w:lvlText w:val="•"/>
      <w:lvlJc w:val="left"/>
      <w:pPr>
        <w:ind w:left="6541" w:hanging="425"/>
      </w:pPr>
      <w:rPr>
        <w:rFonts w:hint="default"/>
      </w:rPr>
    </w:lvl>
    <w:lvl w:ilvl="8" w:tplc="924AB8EE">
      <w:start w:val="1"/>
      <w:numFmt w:val="bullet"/>
      <w:lvlText w:val="•"/>
      <w:lvlJc w:val="left"/>
      <w:pPr>
        <w:ind w:left="7209" w:hanging="425"/>
      </w:pPr>
      <w:rPr>
        <w:rFonts w:hint="default"/>
      </w:rPr>
    </w:lvl>
  </w:abstractNum>
  <w:abstractNum w:abstractNumId="68" w15:restartNumberingAfterBreak="0">
    <w:nsid w:val="6B2E1926"/>
    <w:multiLevelType w:val="multilevel"/>
    <w:tmpl w:val="7452E670"/>
    <w:lvl w:ilvl="0">
      <w:start w:val="1"/>
      <w:numFmt w:val="decimal"/>
      <w:lvlRestart w:val="0"/>
      <w:lvlText w:val="%1."/>
      <w:lvlJc w:val="left"/>
      <w:pPr>
        <w:ind w:left="936" w:hanging="936"/>
      </w:pPr>
    </w:lvl>
    <w:lvl w:ilvl="1">
      <w:start w:val="1"/>
      <w:numFmt w:val="decimal"/>
      <w:lvlText w:val="%1.%2."/>
      <w:lvlJc w:val="left"/>
      <w:pPr>
        <w:ind w:left="936" w:hanging="936"/>
      </w:pPr>
    </w:lvl>
    <w:lvl w:ilvl="2">
      <w:start w:val="1"/>
      <w:numFmt w:val="decimal"/>
      <w:lvlText w:val="%1.%2.%3."/>
      <w:lvlJc w:val="left"/>
      <w:pPr>
        <w:ind w:left="936" w:hanging="936"/>
      </w:pPr>
    </w:lvl>
    <w:lvl w:ilvl="3">
      <w:start w:val="1"/>
      <w:numFmt w:val="decimal"/>
      <w:lvlText w:val="%1.%2.%3.%4."/>
      <w:lvlJc w:val="left"/>
      <w:pPr>
        <w:ind w:left="1296" w:hanging="1296"/>
      </w:pPr>
    </w:lvl>
    <w:lvl w:ilvl="4">
      <w:start w:val="1"/>
      <w:numFmt w:val="decimal"/>
      <w:lvlText w:val="%1.%2.%3.%4.%5."/>
      <w:lvlJc w:val="left"/>
      <w:pPr>
        <w:ind w:left="1296" w:hanging="1296"/>
      </w:pPr>
    </w:lvl>
    <w:lvl w:ilvl="5">
      <w:start w:val="1"/>
      <w:numFmt w:val="decimal"/>
      <w:lvlText w:val="%1.%2.%3.%4.%5.%6."/>
      <w:lvlJc w:val="left"/>
      <w:pPr>
        <w:ind w:left="1296" w:hanging="1296"/>
      </w:pPr>
    </w:lvl>
    <w:lvl w:ilvl="6">
      <w:start w:val="1"/>
      <w:numFmt w:val="decimal"/>
      <w:lvlText w:val="%1.%2.%3.%4.%5.%6.%7."/>
      <w:lvlJc w:val="left"/>
      <w:pPr>
        <w:ind w:left="1296" w:hanging="1296"/>
      </w:pPr>
    </w:lvl>
    <w:lvl w:ilvl="7">
      <w:start w:val="1"/>
      <w:numFmt w:val="decimal"/>
      <w:lvlText w:val="%1.%2.%3.%4.%5.%6.%7.%8."/>
      <w:lvlJc w:val="left"/>
      <w:pPr>
        <w:ind w:left="1296" w:hanging="1296"/>
      </w:pPr>
    </w:lvl>
    <w:lvl w:ilvl="8">
      <w:start w:val="1"/>
      <w:numFmt w:val="decimal"/>
      <w:lvlText w:val="%1.%2.%3.%4.%5.%6.%7.%8.%9."/>
      <w:lvlJc w:val="left"/>
      <w:pPr>
        <w:ind w:left="1296" w:hanging="1296"/>
      </w:pPr>
    </w:lvl>
  </w:abstractNum>
  <w:abstractNum w:abstractNumId="69" w15:restartNumberingAfterBreak="0">
    <w:nsid w:val="6C206835"/>
    <w:multiLevelType w:val="hybridMultilevel"/>
    <w:tmpl w:val="F69A1C66"/>
    <w:lvl w:ilvl="0" w:tplc="686C4DAE">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0" w15:restartNumberingAfterBreak="0">
    <w:nsid w:val="6C4F5D67"/>
    <w:multiLevelType w:val="multilevel"/>
    <w:tmpl w:val="6EF2A01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TableBullet1"/>
      <w:lvlText w:val="•"/>
      <w:lvlJc w:val="left"/>
      <w:pPr>
        <w:tabs>
          <w:tab w:val="num" w:pos="360"/>
        </w:tabs>
        <w:ind w:left="360" w:hanging="360"/>
      </w:pPr>
      <w:rPr>
        <w:rFonts w:ascii="Arial" w:hAnsi="Arial" w:cs="Arial"/>
      </w:rPr>
    </w:lvl>
    <w:lvl w:ilvl="5">
      <w:start w:val="1"/>
      <w:numFmt w:val="lowerRoman"/>
      <w:pStyle w:val="TableBullet2"/>
      <w:lvlText w:val="─"/>
      <w:lvlJc w:val="left"/>
      <w:pPr>
        <w:tabs>
          <w:tab w:val="num" w:pos="720"/>
        </w:tabs>
        <w:ind w:left="720" w:hanging="360"/>
      </w:pPr>
      <w:rPr>
        <w:rFonts w:ascii="Arial" w:hAnsi="Arial" w:cs="Arial"/>
      </w:rPr>
    </w:lvl>
    <w:lvl w:ilvl="6">
      <w:start w:val="1"/>
      <w:numFmt w:val="decimal"/>
      <w:pStyle w:val="TableBullet3"/>
      <w:lvlText w:val="−"/>
      <w:lvlJc w:val="left"/>
      <w:pPr>
        <w:tabs>
          <w:tab w:val="num" w:pos="1080"/>
        </w:tabs>
        <w:ind w:left="1080" w:hanging="360"/>
      </w:pPr>
      <w:rPr>
        <w:rFonts w:ascii="Arial" w:hAnsi="Arial" w:cs="Arial"/>
      </w:rPr>
    </w:lvl>
    <w:lvl w:ilvl="7">
      <w:start w:val="1"/>
      <w:numFmt w:val="lowerLetter"/>
      <w:pStyle w:val="TableBullet4"/>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71" w15:restartNumberingAfterBreak="0">
    <w:nsid w:val="6CD44404"/>
    <w:multiLevelType w:val="hybridMultilevel"/>
    <w:tmpl w:val="4120F21A"/>
    <w:lvl w:ilvl="0" w:tplc="63CA9C5A">
      <w:start w:val="1"/>
      <w:numFmt w:val="lowerLetter"/>
      <w:lvlText w:val="(%1)"/>
      <w:lvlJc w:val="left"/>
      <w:pPr>
        <w:ind w:left="1862" w:hanging="425"/>
      </w:pPr>
      <w:rPr>
        <w:rFonts w:ascii="Times New Roman" w:eastAsia="Times New Roman" w:hAnsi="Times New Roman" w:hint="default"/>
        <w:w w:val="99"/>
        <w:sz w:val="20"/>
        <w:szCs w:val="20"/>
      </w:rPr>
    </w:lvl>
    <w:lvl w:ilvl="1" w:tplc="AABA14BA">
      <w:start w:val="1"/>
      <w:numFmt w:val="bullet"/>
      <w:lvlText w:val="•"/>
      <w:lvlJc w:val="left"/>
      <w:pPr>
        <w:ind w:left="2531" w:hanging="425"/>
      </w:pPr>
      <w:rPr>
        <w:rFonts w:hint="default"/>
      </w:rPr>
    </w:lvl>
    <w:lvl w:ilvl="2" w:tplc="79947E96">
      <w:start w:val="1"/>
      <w:numFmt w:val="bullet"/>
      <w:lvlText w:val="•"/>
      <w:lvlJc w:val="left"/>
      <w:pPr>
        <w:ind w:left="3199" w:hanging="425"/>
      </w:pPr>
      <w:rPr>
        <w:rFonts w:hint="default"/>
      </w:rPr>
    </w:lvl>
    <w:lvl w:ilvl="3" w:tplc="AA54F5B0">
      <w:start w:val="1"/>
      <w:numFmt w:val="bullet"/>
      <w:lvlText w:val="•"/>
      <w:lvlJc w:val="left"/>
      <w:pPr>
        <w:ind w:left="3867" w:hanging="425"/>
      </w:pPr>
      <w:rPr>
        <w:rFonts w:hint="default"/>
      </w:rPr>
    </w:lvl>
    <w:lvl w:ilvl="4" w:tplc="00C4DC82">
      <w:start w:val="1"/>
      <w:numFmt w:val="bullet"/>
      <w:lvlText w:val="•"/>
      <w:lvlJc w:val="left"/>
      <w:pPr>
        <w:ind w:left="4536" w:hanging="425"/>
      </w:pPr>
      <w:rPr>
        <w:rFonts w:hint="default"/>
      </w:rPr>
    </w:lvl>
    <w:lvl w:ilvl="5" w:tplc="0FBE60DA">
      <w:start w:val="1"/>
      <w:numFmt w:val="bullet"/>
      <w:lvlText w:val="•"/>
      <w:lvlJc w:val="left"/>
      <w:pPr>
        <w:ind w:left="5204" w:hanging="425"/>
      </w:pPr>
      <w:rPr>
        <w:rFonts w:hint="default"/>
      </w:rPr>
    </w:lvl>
    <w:lvl w:ilvl="6" w:tplc="1BF03A3A">
      <w:start w:val="1"/>
      <w:numFmt w:val="bullet"/>
      <w:lvlText w:val="•"/>
      <w:lvlJc w:val="left"/>
      <w:pPr>
        <w:ind w:left="5872" w:hanging="425"/>
      </w:pPr>
      <w:rPr>
        <w:rFonts w:hint="default"/>
      </w:rPr>
    </w:lvl>
    <w:lvl w:ilvl="7" w:tplc="4D507B1E">
      <w:start w:val="1"/>
      <w:numFmt w:val="bullet"/>
      <w:lvlText w:val="•"/>
      <w:lvlJc w:val="left"/>
      <w:pPr>
        <w:ind w:left="6541" w:hanging="425"/>
      </w:pPr>
      <w:rPr>
        <w:rFonts w:hint="default"/>
      </w:rPr>
    </w:lvl>
    <w:lvl w:ilvl="8" w:tplc="89C23BF8">
      <w:start w:val="1"/>
      <w:numFmt w:val="bullet"/>
      <w:lvlText w:val="•"/>
      <w:lvlJc w:val="left"/>
      <w:pPr>
        <w:ind w:left="7209" w:hanging="425"/>
      </w:pPr>
      <w:rPr>
        <w:rFonts w:hint="default"/>
      </w:rPr>
    </w:lvl>
  </w:abstractNum>
  <w:abstractNum w:abstractNumId="72" w15:restartNumberingAfterBreak="0">
    <w:nsid w:val="73E31B88"/>
    <w:multiLevelType w:val="hybridMultilevel"/>
    <w:tmpl w:val="94225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48F675D"/>
    <w:multiLevelType w:val="multilevel"/>
    <w:tmpl w:val="387A0020"/>
    <w:name w:val="ParagraphNumbering2"/>
    <w:styleLink w:val="ParagraphNumbering"/>
    <w:lvl w:ilvl="0">
      <w:start w:val="1"/>
      <w:numFmt w:val="decimal"/>
      <w:lvlText w:val="%1."/>
      <w:lvlJc w:val="left"/>
      <w:pPr>
        <w:ind w:left="360" w:hanging="360"/>
      </w:pPr>
      <w:rPr>
        <w:rFonts w:asciiTheme="minorHAnsi" w:eastAsiaTheme="minorEastAsia" w:hAnsiTheme="minorHAnsi" w:cstheme="minorBidi" w:hint="default"/>
        <w:bCs w:val="0"/>
        <w:iCs w:val="0"/>
        <w:szCs w:val="20"/>
      </w:rPr>
    </w:lvl>
    <w:lvl w:ilvl="1">
      <w:start w:val="1"/>
      <w:numFmt w:val="lowerLetter"/>
      <w:lvlText w:val="%2)"/>
      <w:lvlJc w:val="left"/>
      <w:pPr>
        <w:ind w:left="360" w:hanging="360"/>
      </w:pPr>
      <w:rPr>
        <w:rFonts w:hint="default"/>
      </w:rPr>
    </w:lvl>
    <w:lvl w:ilvl="2">
      <w:start w:val="1"/>
      <w:numFmt w:val="lowerRoman"/>
      <w:lvlText w:val="%3)"/>
      <w:lvlJc w:val="lef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74" w15:restartNumberingAfterBreak="0">
    <w:nsid w:val="794A60A4"/>
    <w:multiLevelType w:val="hybridMultilevel"/>
    <w:tmpl w:val="9A706728"/>
    <w:lvl w:ilvl="0" w:tplc="05723AA0">
      <w:start w:val="1"/>
      <w:numFmt w:val="lowerLetter"/>
      <w:lvlText w:val="(%1)"/>
      <w:lvlJc w:val="left"/>
      <w:pPr>
        <w:ind w:left="1862" w:hanging="425"/>
      </w:pPr>
      <w:rPr>
        <w:rFonts w:ascii="Times New Roman" w:eastAsia="Times New Roman" w:hAnsi="Times New Roman" w:hint="default"/>
        <w:w w:val="99"/>
        <w:sz w:val="20"/>
        <w:szCs w:val="20"/>
      </w:rPr>
    </w:lvl>
    <w:lvl w:ilvl="1" w:tplc="69B25D3A">
      <w:start w:val="1"/>
      <w:numFmt w:val="bullet"/>
      <w:lvlText w:val="•"/>
      <w:lvlJc w:val="left"/>
      <w:pPr>
        <w:ind w:left="2531" w:hanging="425"/>
      </w:pPr>
      <w:rPr>
        <w:rFonts w:hint="default"/>
      </w:rPr>
    </w:lvl>
    <w:lvl w:ilvl="2" w:tplc="DA801CB0">
      <w:start w:val="1"/>
      <w:numFmt w:val="bullet"/>
      <w:lvlText w:val="•"/>
      <w:lvlJc w:val="left"/>
      <w:pPr>
        <w:ind w:left="3199" w:hanging="425"/>
      </w:pPr>
      <w:rPr>
        <w:rFonts w:hint="default"/>
      </w:rPr>
    </w:lvl>
    <w:lvl w:ilvl="3" w:tplc="EA9CE11A">
      <w:start w:val="1"/>
      <w:numFmt w:val="bullet"/>
      <w:lvlText w:val="•"/>
      <w:lvlJc w:val="left"/>
      <w:pPr>
        <w:ind w:left="3867" w:hanging="425"/>
      </w:pPr>
      <w:rPr>
        <w:rFonts w:hint="default"/>
      </w:rPr>
    </w:lvl>
    <w:lvl w:ilvl="4" w:tplc="1CFC46EA">
      <w:start w:val="1"/>
      <w:numFmt w:val="bullet"/>
      <w:lvlText w:val="•"/>
      <w:lvlJc w:val="left"/>
      <w:pPr>
        <w:ind w:left="4536" w:hanging="425"/>
      </w:pPr>
      <w:rPr>
        <w:rFonts w:hint="default"/>
      </w:rPr>
    </w:lvl>
    <w:lvl w:ilvl="5" w:tplc="F9D4BF0C">
      <w:start w:val="1"/>
      <w:numFmt w:val="bullet"/>
      <w:lvlText w:val="•"/>
      <w:lvlJc w:val="left"/>
      <w:pPr>
        <w:ind w:left="5204" w:hanging="425"/>
      </w:pPr>
      <w:rPr>
        <w:rFonts w:hint="default"/>
      </w:rPr>
    </w:lvl>
    <w:lvl w:ilvl="6" w:tplc="A73C4A84">
      <w:start w:val="1"/>
      <w:numFmt w:val="bullet"/>
      <w:lvlText w:val="•"/>
      <w:lvlJc w:val="left"/>
      <w:pPr>
        <w:ind w:left="5872" w:hanging="425"/>
      </w:pPr>
      <w:rPr>
        <w:rFonts w:hint="default"/>
      </w:rPr>
    </w:lvl>
    <w:lvl w:ilvl="7" w:tplc="09485684">
      <w:start w:val="1"/>
      <w:numFmt w:val="bullet"/>
      <w:lvlText w:val="•"/>
      <w:lvlJc w:val="left"/>
      <w:pPr>
        <w:ind w:left="6541" w:hanging="425"/>
      </w:pPr>
      <w:rPr>
        <w:rFonts w:hint="default"/>
      </w:rPr>
    </w:lvl>
    <w:lvl w:ilvl="8" w:tplc="5A889C40">
      <w:start w:val="1"/>
      <w:numFmt w:val="bullet"/>
      <w:lvlText w:val="•"/>
      <w:lvlJc w:val="left"/>
      <w:pPr>
        <w:ind w:left="7209" w:hanging="425"/>
      </w:pPr>
      <w:rPr>
        <w:rFonts w:hint="default"/>
      </w:rPr>
    </w:lvl>
  </w:abstractNum>
  <w:abstractNum w:abstractNumId="75" w15:restartNumberingAfterBreak="0">
    <w:nsid w:val="7DDC45C3"/>
    <w:multiLevelType w:val="hybridMultilevel"/>
    <w:tmpl w:val="34340E98"/>
    <w:lvl w:ilvl="0" w:tplc="46A0D0C0">
      <w:start w:val="1"/>
      <w:numFmt w:val="lowerLetter"/>
      <w:lvlText w:val="(%1)"/>
      <w:lvlJc w:val="left"/>
      <w:pPr>
        <w:ind w:left="1862" w:hanging="425"/>
      </w:pPr>
      <w:rPr>
        <w:rFonts w:ascii="Times New Roman" w:eastAsia="Times New Roman" w:hAnsi="Times New Roman" w:hint="default"/>
        <w:w w:val="99"/>
        <w:sz w:val="20"/>
        <w:szCs w:val="20"/>
      </w:rPr>
    </w:lvl>
    <w:lvl w:ilvl="1" w:tplc="E16219C4">
      <w:start w:val="1"/>
      <w:numFmt w:val="bullet"/>
      <w:lvlText w:val="•"/>
      <w:lvlJc w:val="left"/>
      <w:pPr>
        <w:ind w:left="2531" w:hanging="425"/>
      </w:pPr>
      <w:rPr>
        <w:rFonts w:hint="default"/>
      </w:rPr>
    </w:lvl>
    <w:lvl w:ilvl="2" w:tplc="E2E404BA">
      <w:start w:val="1"/>
      <w:numFmt w:val="bullet"/>
      <w:lvlText w:val="•"/>
      <w:lvlJc w:val="left"/>
      <w:pPr>
        <w:ind w:left="3199" w:hanging="425"/>
      </w:pPr>
      <w:rPr>
        <w:rFonts w:hint="default"/>
      </w:rPr>
    </w:lvl>
    <w:lvl w:ilvl="3" w:tplc="CD18B096">
      <w:start w:val="1"/>
      <w:numFmt w:val="bullet"/>
      <w:lvlText w:val="•"/>
      <w:lvlJc w:val="left"/>
      <w:pPr>
        <w:ind w:left="3867" w:hanging="425"/>
      </w:pPr>
      <w:rPr>
        <w:rFonts w:hint="default"/>
      </w:rPr>
    </w:lvl>
    <w:lvl w:ilvl="4" w:tplc="0D420F62">
      <w:start w:val="1"/>
      <w:numFmt w:val="bullet"/>
      <w:lvlText w:val="•"/>
      <w:lvlJc w:val="left"/>
      <w:pPr>
        <w:ind w:left="4536" w:hanging="425"/>
      </w:pPr>
      <w:rPr>
        <w:rFonts w:hint="default"/>
      </w:rPr>
    </w:lvl>
    <w:lvl w:ilvl="5" w:tplc="6CD49358">
      <w:start w:val="1"/>
      <w:numFmt w:val="bullet"/>
      <w:lvlText w:val="•"/>
      <w:lvlJc w:val="left"/>
      <w:pPr>
        <w:ind w:left="5204" w:hanging="425"/>
      </w:pPr>
      <w:rPr>
        <w:rFonts w:hint="default"/>
      </w:rPr>
    </w:lvl>
    <w:lvl w:ilvl="6" w:tplc="19BA3EE6">
      <w:start w:val="1"/>
      <w:numFmt w:val="bullet"/>
      <w:lvlText w:val="•"/>
      <w:lvlJc w:val="left"/>
      <w:pPr>
        <w:ind w:left="5872" w:hanging="425"/>
      </w:pPr>
      <w:rPr>
        <w:rFonts w:hint="default"/>
      </w:rPr>
    </w:lvl>
    <w:lvl w:ilvl="7" w:tplc="857E9C46">
      <w:start w:val="1"/>
      <w:numFmt w:val="bullet"/>
      <w:lvlText w:val="•"/>
      <w:lvlJc w:val="left"/>
      <w:pPr>
        <w:ind w:left="6541" w:hanging="425"/>
      </w:pPr>
      <w:rPr>
        <w:rFonts w:hint="default"/>
      </w:rPr>
    </w:lvl>
    <w:lvl w:ilvl="8" w:tplc="9B6AC316">
      <w:start w:val="1"/>
      <w:numFmt w:val="bullet"/>
      <w:lvlText w:val="•"/>
      <w:lvlJc w:val="left"/>
      <w:pPr>
        <w:ind w:left="7209" w:hanging="425"/>
      </w:pPr>
      <w:rPr>
        <w:rFonts w:hint="default"/>
      </w:rPr>
    </w:lvl>
  </w:abstractNum>
  <w:abstractNum w:abstractNumId="76" w15:restartNumberingAfterBreak="0">
    <w:nsid w:val="7E9B5D61"/>
    <w:multiLevelType w:val="hybridMultilevel"/>
    <w:tmpl w:val="30129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4"/>
  </w:num>
  <w:num w:numId="2">
    <w:abstractNumId w:val="52"/>
  </w:num>
  <w:num w:numId="3">
    <w:abstractNumId w:val="73"/>
  </w:num>
  <w:num w:numId="4">
    <w:abstractNumId w:val="62"/>
  </w:num>
  <w:num w:numId="5">
    <w:abstractNumId w:val="28"/>
  </w:num>
  <w:num w:numId="6">
    <w:abstractNumId w:val="63"/>
  </w:num>
  <w:num w:numId="7">
    <w:abstractNumId w:val="40"/>
  </w:num>
  <w:num w:numId="8">
    <w:abstractNumId w:val="68"/>
  </w:num>
  <w:num w:numId="9">
    <w:abstractNumId w:val="34"/>
  </w:num>
  <w:num w:numId="10">
    <w:abstractNumId w:val="12"/>
  </w:num>
  <w:num w:numId="11">
    <w:abstractNumId w:val="1"/>
  </w:num>
  <w:num w:numId="12">
    <w:abstractNumId w:val="7"/>
  </w:num>
  <w:num w:numId="13">
    <w:abstractNumId w:val="0"/>
  </w:num>
  <w:num w:numId="14">
    <w:abstractNumId w:val="70"/>
  </w:num>
  <w:num w:numId="15">
    <w:abstractNumId w:val="4"/>
  </w:num>
  <w:num w:numId="16">
    <w:abstractNumId w:val="47"/>
  </w:num>
  <w:num w:numId="17">
    <w:abstractNumId w:val="12"/>
  </w:num>
  <w:num w:numId="18">
    <w:abstractNumId w:val="68"/>
  </w:num>
  <w:num w:numId="19">
    <w:abstractNumId w:val="68"/>
  </w:num>
  <w:num w:numId="20">
    <w:abstractNumId w:val="68"/>
  </w:num>
  <w:num w:numId="21">
    <w:abstractNumId w:val="68"/>
  </w:num>
  <w:num w:numId="22">
    <w:abstractNumId w:val="68"/>
  </w:num>
  <w:num w:numId="23">
    <w:abstractNumId w:val="12"/>
  </w:num>
  <w:num w:numId="24">
    <w:abstractNumId w:val="7"/>
  </w:num>
  <w:num w:numId="25">
    <w:abstractNumId w:val="12"/>
  </w:num>
  <w:num w:numId="26">
    <w:abstractNumId w:val="12"/>
  </w:num>
  <w:num w:numId="27">
    <w:abstractNumId w:val="12"/>
  </w:num>
  <w:num w:numId="28">
    <w:abstractNumId w:val="7"/>
  </w:num>
  <w:num w:numId="29">
    <w:abstractNumId w:val="7"/>
  </w:num>
  <w:num w:numId="30">
    <w:abstractNumId w:val="7"/>
  </w:num>
  <w:num w:numId="31">
    <w:abstractNumId w:val="40"/>
  </w:num>
  <w:num w:numId="32">
    <w:abstractNumId w:val="70"/>
  </w:num>
  <w:num w:numId="33">
    <w:abstractNumId w:val="70"/>
  </w:num>
  <w:num w:numId="34">
    <w:abstractNumId w:val="70"/>
  </w:num>
  <w:num w:numId="35">
    <w:abstractNumId w:val="70"/>
  </w:num>
  <w:num w:numId="36">
    <w:abstractNumId w:val="50"/>
  </w:num>
  <w:num w:numId="37">
    <w:abstractNumId w:val="55"/>
  </w:num>
  <w:num w:numId="38">
    <w:abstractNumId w:val="69"/>
  </w:num>
  <w:num w:numId="39">
    <w:abstractNumId w:val="12"/>
  </w:num>
  <w:num w:numId="40">
    <w:abstractNumId w:val="12"/>
  </w:num>
  <w:num w:numId="41">
    <w:abstractNumId w:val="22"/>
  </w:num>
  <w:num w:numId="42">
    <w:abstractNumId w:val="51"/>
  </w:num>
  <w:num w:numId="43">
    <w:abstractNumId w:val="72"/>
  </w:num>
  <w:num w:numId="44">
    <w:abstractNumId w:val="53"/>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num>
  <w:num w:numId="47">
    <w:abstractNumId w:val="56"/>
  </w:num>
  <w:num w:numId="48">
    <w:abstractNumId w:val="64"/>
  </w:num>
  <w:num w:numId="49">
    <w:abstractNumId w:val="38"/>
  </w:num>
  <w:num w:numId="50">
    <w:abstractNumId w:val="2"/>
    <w:lvlOverride w:ilvl="0">
      <w:lvl w:ilvl="0">
        <w:numFmt w:val="bullet"/>
        <w:lvlText w:val=""/>
        <w:lvlJc w:val="left"/>
        <w:pPr>
          <w:ind w:left="720" w:hanging="360"/>
        </w:pPr>
        <w:rPr>
          <w:rFonts w:ascii="Symbol" w:hAnsi="Symbol" w:hint="default"/>
          <w:sz w:val="22"/>
        </w:rPr>
      </w:lvl>
    </w:lvlOverride>
  </w:num>
  <w:num w:numId="51">
    <w:abstractNumId w:val="57"/>
  </w:num>
  <w:num w:numId="52">
    <w:abstractNumId w:val="15"/>
  </w:num>
  <w:num w:numId="53">
    <w:abstractNumId w:val="12"/>
  </w:num>
  <w:num w:numId="54">
    <w:abstractNumId w:val="3"/>
  </w:num>
  <w:num w:numId="55">
    <w:abstractNumId w:val="46"/>
  </w:num>
  <w:num w:numId="56">
    <w:abstractNumId w:val="18"/>
  </w:num>
  <w:num w:numId="57">
    <w:abstractNumId w:val="19"/>
  </w:num>
  <w:num w:numId="58">
    <w:abstractNumId w:val="43"/>
  </w:num>
  <w:num w:numId="59">
    <w:abstractNumId w:val="16"/>
  </w:num>
  <w:num w:numId="60">
    <w:abstractNumId w:val="66"/>
  </w:num>
  <w:num w:numId="61">
    <w:abstractNumId w:val="26"/>
  </w:num>
  <w:num w:numId="62">
    <w:abstractNumId w:val="32"/>
  </w:num>
  <w:num w:numId="63">
    <w:abstractNumId w:val="13"/>
  </w:num>
  <w:num w:numId="64">
    <w:abstractNumId w:val="31"/>
  </w:num>
  <w:num w:numId="65">
    <w:abstractNumId w:val="14"/>
  </w:num>
  <w:num w:numId="66">
    <w:abstractNumId w:val="10"/>
  </w:num>
  <w:num w:numId="67">
    <w:abstractNumId w:val="11"/>
  </w:num>
  <w:num w:numId="68">
    <w:abstractNumId w:val="30"/>
  </w:num>
  <w:num w:numId="69">
    <w:abstractNumId w:val="36"/>
  </w:num>
  <w:num w:numId="70">
    <w:abstractNumId w:val="60"/>
  </w:num>
  <w:num w:numId="71">
    <w:abstractNumId w:val="35"/>
  </w:num>
  <w:num w:numId="72">
    <w:abstractNumId w:val="74"/>
  </w:num>
  <w:num w:numId="73">
    <w:abstractNumId w:val="59"/>
  </w:num>
  <w:num w:numId="74">
    <w:abstractNumId w:val="44"/>
  </w:num>
  <w:num w:numId="75">
    <w:abstractNumId w:val="67"/>
  </w:num>
  <w:num w:numId="76">
    <w:abstractNumId w:val="75"/>
  </w:num>
  <w:num w:numId="77">
    <w:abstractNumId w:val="71"/>
  </w:num>
  <w:num w:numId="78">
    <w:abstractNumId w:val="20"/>
  </w:num>
  <w:num w:numId="79">
    <w:abstractNumId w:val="39"/>
  </w:num>
  <w:num w:numId="80">
    <w:abstractNumId w:val="48"/>
  </w:num>
  <w:num w:numId="81">
    <w:abstractNumId w:val="21"/>
  </w:num>
  <w:num w:numId="82">
    <w:abstractNumId w:val="27"/>
  </w:num>
  <w:num w:numId="83">
    <w:abstractNumId w:val="58"/>
  </w:num>
  <w:num w:numId="84">
    <w:abstractNumId w:val="33"/>
  </w:num>
  <w:num w:numId="85">
    <w:abstractNumId w:val="42"/>
  </w:num>
  <w:num w:numId="86">
    <w:abstractNumId w:val="37"/>
  </w:num>
  <w:num w:numId="87">
    <w:abstractNumId w:val="61"/>
  </w:num>
  <w:num w:numId="88">
    <w:abstractNumId w:val="23"/>
  </w:num>
  <w:num w:numId="89">
    <w:abstractNumId w:val="25"/>
  </w:num>
  <w:num w:numId="90">
    <w:abstractNumId w:val="5"/>
  </w:num>
  <w:num w:numId="91">
    <w:abstractNumId w:val="49"/>
  </w:num>
  <w:num w:numId="92">
    <w:abstractNumId w:val="45"/>
  </w:num>
  <w:num w:numId="93">
    <w:abstractNumId w:val="8"/>
  </w:num>
  <w:num w:numId="94">
    <w:abstractNumId w:val="6"/>
  </w:num>
  <w:num w:numId="9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1"/>
  </w:num>
  <w:num w:numId="98">
    <w:abstractNumId w:val="76"/>
  </w:num>
  <w:num w:numId="99">
    <w:abstractNumId w:val="29"/>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efaultTableStyle w:val="NERATable"/>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Num" w:val=" "/>
    <w:docVar w:name="Draft" w:val=" "/>
    <w:docVar w:name="Draft1" w:val=" "/>
    <w:docVar w:name="Draft2" w:val=" "/>
    <w:docVar w:name="Draft3" w:val=" "/>
    <w:docVar w:name="Draft4" w:val=" "/>
    <w:docVar w:name="Draft5" w:val=" "/>
    <w:docVar w:name="Language" w:val="English (Australia)"/>
    <w:docVar w:name="ReportTitle" w:val="Retirement Villages (Contractual Arrangements) Regulations Regulatory Impact Statement"/>
    <w:docVar w:name="xVersion" w:val="1.0.0.0012"/>
  </w:docVars>
  <w:rsids>
    <w:rsidRoot w:val="00166B4D"/>
    <w:rsid w:val="0000023C"/>
    <w:rsid w:val="000008A9"/>
    <w:rsid w:val="00003494"/>
    <w:rsid w:val="000043A8"/>
    <w:rsid w:val="0001041F"/>
    <w:rsid w:val="00012613"/>
    <w:rsid w:val="0001560E"/>
    <w:rsid w:val="000168F7"/>
    <w:rsid w:val="00016FD2"/>
    <w:rsid w:val="0002034A"/>
    <w:rsid w:val="000215D1"/>
    <w:rsid w:val="00024F1D"/>
    <w:rsid w:val="00030463"/>
    <w:rsid w:val="00034D67"/>
    <w:rsid w:val="0003771A"/>
    <w:rsid w:val="00037FB0"/>
    <w:rsid w:val="00040E43"/>
    <w:rsid w:val="00040EBC"/>
    <w:rsid w:val="00042276"/>
    <w:rsid w:val="000464B3"/>
    <w:rsid w:val="000468F2"/>
    <w:rsid w:val="00046CEB"/>
    <w:rsid w:val="0005379B"/>
    <w:rsid w:val="00054E00"/>
    <w:rsid w:val="0005714A"/>
    <w:rsid w:val="00061380"/>
    <w:rsid w:val="000622A1"/>
    <w:rsid w:val="00066623"/>
    <w:rsid w:val="000670B1"/>
    <w:rsid w:val="00067132"/>
    <w:rsid w:val="00067565"/>
    <w:rsid w:val="00067B47"/>
    <w:rsid w:val="000737CA"/>
    <w:rsid w:val="0007539B"/>
    <w:rsid w:val="00075617"/>
    <w:rsid w:val="0007567B"/>
    <w:rsid w:val="00081BC7"/>
    <w:rsid w:val="000916E4"/>
    <w:rsid w:val="00094445"/>
    <w:rsid w:val="00094F7F"/>
    <w:rsid w:val="00097770"/>
    <w:rsid w:val="00097E02"/>
    <w:rsid w:val="000A31FD"/>
    <w:rsid w:val="000A3258"/>
    <w:rsid w:val="000A46E6"/>
    <w:rsid w:val="000A4CDF"/>
    <w:rsid w:val="000A5F49"/>
    <w:rsid w:val="000A65A9"/>
    <w:rsid w:val="000B1C6F"/>
    <w:rsid w:val="000B3DA5"/>
    <w:rsid w:val="000B4118"/>
    <w:rsid w:val="000B722D"/>
    <w:rsid w:val="000C02BB"/>
    <w:rsid w:val="000C252F"/>
    <w:rsid w:val="000C3465"/>
    <w:rsid w:val="000C39B2"/>
    <w:rsid w:val="000C66DE"/>
    <w:rsid w:val="000C6F39"/>
    <w:rsid w:val="000C7EB0"/>
    <w:rsid w:val="000D41CD"/>
    <w:rsid w:val="000E2576"/>
    <w:rsid w:val="000E2B53"/>
    <w:rsid w:val="000E3B42"/>
    <w:rsid w:val="000E65F5"/>
    <w:rsid w:val="000F0457"/>
    <w:rsid w:val="000F21C2"/>
    <w:rsid w:val="000F3486"/>
    <w:rsid w:val="000F44C5"/>
    <w:rsid w:val="000F5DD9"/>
    <w:rsid w:val="000F6D5D"/>
    <w:rsid w:val="000F6E65"/>
    <w:rsid w:val="000F6F92"/>
    <w:rsid w:val="001032BF"/>
    <w:rsid w:val="0010381D"/>
    <w:rsid w:val="00103B9A"/>
    <w:rsid w:val="00106BEF"/>
    <w:rsid w:val="00111DC6"/>
    <w:rsid w:val="00115E6E"/>
    <w:rsid w:val="00117AA1"/>
    <w:rsid w:val="00120F57"/>
    <w:rsid w:val="00122C10"/>
    <w:rsid w:val="001259C9"/>
    <w:rsid w:val="00125EB3"/>
    <w:rsid w:val="0012776A"/>
    <w:rsid w:val="00131CDA"/>
    <w:rsid w:val="001358B3"/>
    <w:rsid w:val="001363FB"/>
    <w:rsid w:val="00136D7F"/>
    <w:rsid w:val="00137A56"/>
    <w:rsid w:val="00140C0F"/>
    <w:rsid w:val="00141AB3"/>
    <w:rsid w:val="00144587"/>
    <w:rsid w:val="001453E1"/>
    <w:rsid w:val="001472A2"/>
    <w:rsid w:val="001500C2"/>
    <w:rsid w:val="001504E3"/>
    <w:rsid w:val="00150A14"/>
    <w:rsid w:val="00151986"/>
    <w:rsid w:val="00154BF1"/>
    <w:rsid w:val="00154FD8"/>
    <w:rsid w:val="00161689"/>
    <w:rsid w:val="001616EE"/>
    <w:rsid w:val="001619FC"/>
    <w:rsid w:val="00163FB4"/>
    <w:rsid w:val="00164096"/>
    <w:rsid w:val="00164714"/>
    <w:rsid w:val="0016508A"/>
    <w:rsid w:val="00166B4D"/>
    <w:rsid w:val="00171357"/>
    <w:rsid w:val="00171EC1"/>
    <w:rsid w:val="001729AF"/>
    <w:rsid w:val="0017352C"/>
    <w:rsid w:val="00174488"/>
    <w:rsid w:val="00177013"/>
    <w:rsid w:val="00182486"/>
    <w:rsid w:val="00183366"/>
    <w:rsid w:val="001867C0"/>
    <w:rsid w:val="00187951"/>
    <w:rsid w:val="0019081C"/>
    <w:rsid w:val="0019171D"/>
    <w:rsid w:val="00192C44"/>
    <w:rsid w:val="001969BE"/>
    <w:rsid w:val="00196AFC"/>
    <w:rsid w:val="00196C87"/>
    <w:rsid w:val="001A339C"/>
    <w:rsid w:val="001A5598"/>
    <w:rsid w:val="001A7BC5"/>
    <w:rsid w:val="001B1389"/>
    <w:rsid w:val="001B1F73"/>
    <w:rsid w:val="001B2C95"/>
    <w:rsid w:val="001B52CF"/>
    <w:rsid w:val="001B693E"/>
    <w:rsid w:val="001C0D24"/>
    <w:rsid w:val="001C4C44"/>
    <w:rsid w:val="001C6350"/>
    <w:rsid w:val="001D3592"/>
    <w:rsid w:val="001E0B83"/>
    <w:rsid w:val="001E0C18"/>
    <w:rsid w:val="001E0E85"/>
    <w:rsid w:val="001E2867"/>
    <w:rsid w:val="001E3554"/>
    <w:rsid w:val="001E468F"/>
    <w:rsid w:val="001E5780"/>
    <w:rsid w:val="001E5800"/>
    <w:rsid w:val="001E5FAB"/>
    <w:rsid w:val="001E6942"/>
    <w:rsid w:val="001E6A08"/>
    <w:rsid w:val="001E6D6D"/>
    <w:rsid w:val="001F55DA"/>
    <w:rsid w:val="001F57FB"/>
    <w:rsid w:val="001F7ED6"/>
    <w:rsid w:val="002019FC"/>
    <w:rsid w:val="00201D8A"/>
    <w:rsid w:val="00213082"/>
    <w:rsid w:val="00213CF4"/>
    <w:rsid w:val="00217CDA"/>
    <w:rsid w:val="002233B9"/>
    <w:rsid w:val="00226CAC"/>
    <w:rsid w:val="00227551"/>
    <w:rsid w:val="00231335"/>
    <w:rsid w:val="0023189F"/>
    <w:rsid w:val="002327EC"/>
    <w:rsid w:val="002328B6"/>
    <w:rsid w:val="002335E4"/>
    <w:rsid w:val="00234300"/>
    <w:rsid w:val="002345F6"/>
    <w:rsid w:val="002364DA"/>
    <w:rsid w:val="00236CA2"/>
    <w:rsid w:val="00240DCF"/>
    <w:rsid w:val="00241269"/>
    <w:rsid w:val="0024159E"/>
    <w:rsid w:val="00241B84"/>
    <w:rsid w:val="00242966"/>
    <w:rsid w:val="00243AF6"/>
    <w:rsid w:val="00244ACF"/>
    <w:rsid w:val="00246749"/>
    <w:rsid w:val="002474E4"/>
    <w:rsid w:val="002508D7"/>
    <w:rsid w:val="0025152D"/>
    <w:rsid w:val="00251FC3"/>
    <w:rsid w:val="002549E3"/>
    <w:rsid w:val="002571F1"/>
    <w:rsid w:val="00257209"/>
    <w:rsid w:val="00262169"/>
    <w:rsid w:val="002629FB"/>
    <w:rsid w:val="00262DC1"/>
    <w:rsid w:val="00263234"/>
    <w:rsid w:val="00263EEF"/>
    <w:rsid w:val="00273685"/>
    <w:rsid w:val="00275104"/>
    <w:rsid w:val="00275686"/>
    <w:rsid w:val="0027745A"/>
    <w:rsid w:val="002834FE"/>
    <w:rsid w:val="00284213"/>
    <w:rsid w:val="00285C2A"/>
    <w:rsid w:val="00285E2B"/>
    <w:rsid w:val="002866FC"/>
    <w:rsid w:val="00290A8B"/>
    <w:rsid w:val="00290D37"/>
    <w:rsid w:val="0029234F"/>
    <w:rsid w:val="002936B2"/>
    <w:rsid w:val="00293BDC"/>
    <w:rsid w:val="00294F68"/>
    <w:rsid w:val="00295318"/>
    <w:rsid w:val="002959CC"/>
    <w:rsid w:val="002968DF"/>
    <w:rsid w:val="00296CF9"/>
    <w:rsid w:val="00297B2E"/>
    <w:rsid w:val="002A25AC"/>
    <w:rsid w:val="002A3DF6"/>
    <w:rsid w:val="002A57D3"/>
    <w:rsid w:val="002A6945"/>
    <w:rsid w:val="002B06AD"/>
    <w:rsid w:val="002B47A2"/>
    <w:rsid w:val="002B7066"/>
    <w:rsid w:val="002B714F"/>
    <w:rsid w:val="002B72D0"/>
    <w:rsid w:val="002C1681"/>
    <w:rsid w:val="002C19CA"/>
    <w:rsid w:val="002C1E2B"/>
    <w:rsid w:val="002C21E5"/>
    <w:rsid w:val="002C2F7C"/>
    <w:rsid w:val="002C3D82"/>
    <w:rsid w:val="002C6151"/>
    <w:rsid w:val="002D14C7"/>
    <w:rsid w:val="002D1757"/>
    <w:rsid w:val="002D2E9C"/>
    <w:rsid w:val="002D5AE4"/>
    <w:rsid w:val="002D7CE6"/>
    <w:rsid w:val="002E073C"/>
    <w:rsid w:val="002E10E2"/>
    <w:rsid w:val="002F53CE"/>
    <w:rsid w:val="002F7C8E"/>
    <w:rsid w:val="00302AF5"/>
    <w:rsid w:val="00310149"/>
    <w:rsid w:val="00312A7C"/>
    <w:rsid w:val="00314C95"/>
    <w:rsid w:val="00314EC0"/>
    <w:rsid w:val="00320EDE"/>
    <w:rsid w:val="00330E2F"/>
    <w:rsid w:val="00334851"/>
    <w:rsid w:val="00334976"/>
    <w:rsid w:val="00340767"/>
    <w:rsid w:val="00342642"/>
    <w:rsid w:val="0035025E"/>
    <w:rsid w:val="003515D6"/>
    <w:rsid w:val="00351E78"/>
    <w:rsid w:val="00352443"/>
    <w:rsid w:val="00352A2F"/>
    <w:rsid w:val="00353376"/>
    <w:rsid w:val="0035411C"/>
    <w:rsid w:val="003545FF"/>
    <w:rsid w:val="00361DF5"/>
    <w:rsid w:val="00362BF5"/>
    <w:rsid w:val="00364398"/>
    <w:rsid w:val="00364B96"/>
    <w:rsid w:val="003703FF"/>
    <w:rsid w:val="003705A8"/>
    <w:rsid w:val="0037130C"/>
    <w:rsid w:val="00373CD6"/>
    <w:rsid w:val="00374016"/>
    <w:rsid w:val="0037581A"/>
    <w:rsid w:val="0037601E"/>
    <w:rsid w:val="0038074A"/>
    <w:rsid w:val="00381970"/>
    <w:rsid w:val="00381B97"/>
    <w:rsid w:val="00384F59"/>
    <w:rsid w:val="0038555D"/>
    <w:rsid w:val="003914A4"/>
    <w:rsid w:val="00395FFD"/>
    <w:rsid w:val="0039740D"/>
    <w:rsid w:val="003A149E"/>
    <w:rsid w:val="003A3D1C"/>
    <w:rsid w:val="003A4838"/>
    <w:rsid w:val="003A567D"/>
    <w:rsid w:val="003A6A67"/>
    <w:rsid w:val="003B50EC"/>
    <w:rsid w:val="003C102B"/>
    <w:rsid w:val="003C20B4"/>
    <w:rsid w:val="003C2386"/>
    <w:rsid w:val="003C6334"/>
    <w:rsid w:val="003C72EA"/>
    <w:rsid w:val="003D0E19"/>
    <w:rsid w:val="003D236D"/>
    <w:rsid w:val="003D25AB"/>
    <w:rsid w:val="003D3B90"/>
    <w:rsid w:val="003D490F"/>
    <w:rsid w:val="003D4A5F"/>
    <w:rsid w:val="003D533C"/>
    <w:rsid w:val="003D5572"/>
    <w:rsid w:val="003D6E07"/>
    <w:rsid w:val="003D6F8B"/>
    <w:rsid w:val="003D72C6"/>
    <w:rsid w:val="003D7600"/>
    <w:rsid w:val="003E55F9"/>
    <w:rsid w:val="003E5AFE"/>
    <w:rsid w:val="003E6441"/>
    <w:rsid w:val="003F05FC"/>
    <w:rsid w:val="003F17A6"/>
    <w:rsid w:val="003F4479"/>
    <w:rsid w:val="003F5716"/>
    <w:rsid w:val="004035C6"/>
    <w:rsid w:val="00404E8F"/>
    <w:rsid w:val="00404EFB"/>
    <w:rsid w:val="0040584D"/>
    <w:rsid w:val="0040651A"/>
    <w:rsid w:val="0041115F"/>
    <w:rsid w:val="00411AA1"/>
    <w:rsid w:val="00412263"/>
    <w:rsid w:val="004122F1"/>
    <w:rsid w:val="00413D78"/>
    <w:rsid w:val="00414008"/>
    <w:rsid w:val="004146BA"/>
    <w:rsid w:val="00427B4B"/>
    <w:rsid w:val="00427D2F"/>
    <w:rsid w:val="00430CE8"/>
    <w:rsid w:val="00433EF0"/>
    <w:rsid w:val="00436AB2"/>
    <w:rsid w:val="00442C66"/>
    <w:rsid w:val="00444F46"/>
    <w:rsid w:val="004462EA"/>
    <w:rsid w:val="004467AB"/>
    <w:rsid w:val="0044799B"/>
    <w:rsid w:val="004522D3"/>
    <w:rsid w:val="004532CD"/>
    <w:rsid w:val="00453986"/>
    <w:rsid w:val="00453D51"/>
    <w:rsid w:val="004541A0"/>
    <w:rsid w:val="004607E8"/>
    <w:rsid w:val="00460DE5"/>
    <w:rsid w:val="00460F33"/>
    <w:rsid w:val="00462A39"/>
    <w:rsid w:val="00463344"/>
    <w:rsid w:val="00463895"/>
    <w:rsid w:val="00463BED"/>
    <w:rsid w:val="00465124"/>
    <w:rsid w:val="00465DA4"/>
    <w:rsid w:val="004751B2"/>
    <w:rsid w:val="0048074D"/>
    <w:rsid w:val="004809AB"/>
    <w:rsid w:val="00480A3B"/>
    <w:rsid w:val="00483A2F"/>
    <w:rsid w:val="0048589A"/>
    <w:rsid w:val="00485BA3"/>
    <w:rsid w:val="004872EF"/>
    <w:rsid w:val="00492CD5"/>
    <w:rsid w:val="00493E59"/>
    <w:rsid w:val="004A54E5"/>
    <w:rsid w:val="004B0665"/>
    <w:rsid w:val="004B39B1"/>
    <w:rsid w:val="004B5CDB"/>
    <w:rsid w:val="004B645B"/>
    <w:rsid w:val="004B7F08"/>
    <w:rsid w:val="004C243F"/>
    <w:rsid w:val="004C25DA"/>
    <w:rsid w:val="004C2BA1"/>
    <w:rsid w:val="004C5596"/>
    <w:rsid w:val="004C6178"/>
    <w:rsid w:val="004C740B"/>
    <w:rsid w:val="004C7B6C"/>
    <w:rsid w:val="004D0963"/>
    <w:rsid w:val="004D5225"/>
    <w:rsid w:val="004E2D1C"/>
    <w:rsid w:val="004E6459"/>
    <w:rsid w:val="004E65AE"/>
    <w:rsid w:val="004E6E20"/>
    <w:rsid w:val="004F056C"/>
    <w:rsid w:val="004F1926"/>
    <w:rsid w:val="004F51AC"/>
    <w:rsid w:val="004F6212"/>
    <w:rsid w:val="004F6A51"/>
    <w:rsid w:val="004F6CFA"/>
    <w:rsid w:val="004F77F8"/>
    <w:rsid w:val="00506762"/>
    <w:rsid w:val="00506DD9"/>
    <w:rsid w:val="00511DB4"/>
    <w:rsid w:val="00516165"/>
    <w:rsid w:val="00516EA0"/>
    <w:rsid w:val="00520463"/>
    <w:rsid w:val="00521F48"/>
    <w:rsid w:val="00522135"/>
    <w:rsid w:val="00525845"/>
    <w:rsid w:val="0052657B"/>
    <w:rsid w:val="00526D6A"/>
    <w:rsid w:val="00531F97"/>
    <w:rsid w:val="0053239E"/>
    <w:rsid w:val="0053468A"/>
    <w:rsid w:val="00541347"/>
    <w:rsid w:val="00544F39"/>
    <w:rsid w:val="00546402"/>
    <w:rsid w:val="00546933"/>
    <w:rsid w:val="00553762"/>
    <w:rsid w:val="00554ADE"/>
    <w:rsid w:val="00556443"/>
    <w:rsid w:val="00561C1C"/>
    <w:rsid w:val="00563AA4"/>
    <w:rsid w:val="00564CE8"/>
    <w:rsid w:val="0056527B"/>
    <w:rsid w:val="00566463"/>
    <w:rsid w:val="00566695"/>
    <w:rsid w:val="005705AE"/>
    <w:rsid w:val="0057126C"/>
    <w:rsid w:val="00571876"/>
    <w:rsid w:val="005751AD"/>
    <w:rsid w:val="0057695C"/>
    <w:rsid w:val="005772A7"/>
    <w:rsid w:val="005800FE"/>
    <w:rsid w:val="005803A0"/>
    <w:rsid w:val="0058058F"/>
    <w:rsid w:val="005809C3"/>
    <w:rsid w:val="00584169"/>
    <w:rsid w:val="005847CE"/>
    <w:rsid w:val="005911A3"/>
    <w:rsid w:val="005920BD"/>
    <w:rsid w:val="00592606"/>
    <w:rsid w:val="00593964"/>
    <w:rsid w:val="00593AB5"/>
    <w:rsid w:val="00595583"/>
    <w:rsid w:val="00595831"/>
    <w:rsid w:val="005958C2"/>
    <w:rsid w:val="00597A58"/>
    <w:rsid w:val="005A0922"/>
    <w:rsid w:val="005A0CAA"/>
    <w:rsid w:val="005A13EB"/>
    <w:rsid w:val="005A171C"/>
    <w:rsid w:val="005A2418"/>
    <w:rsid w:val="005A4A5E"/>
    <w:rsid w:val="005A5797"/>
    <w:rsid w:val="005A588C"/>
    <w:rsid w:val="005A5A6C"/>
    <w:rsid w:val="005B0B0D"/>
    <w:rsid w:val="005B1DE2"/>
    <w:rsid w:val="005B3940"/>
    <w:rsid w:val="005B41F3"/>
    <w:rsid w:val="005B4384"/>
    <w:rsid w:val="005B736C"/>
    <w:rsid w:val="005B7B55"/>
    <w:rsid w:val="005B7FF4"/>
    <w:rsid w:val="005C0753"/>
    <w:rsid w:val="005C1E91"/>
    <w:rsid w:val="005C3294"/>
    <w:rsid w:val="005C3385"/>
    <w:rsid w:val="005C4835"/>
    <w:rsid w:val="005C4F50"/>
    <w:rsid w:val="005C5C5D"/>
    <w:rsid w:val="005C61E4"/>
    <w:rsid w:val="005C6951"/>
    <w:rsid w:val="005D2A8F"/>
    <w:rsid w:val="005D68E2"/>
    <w:rsid w:val="005E0E8A"/>
    <w:rsid w:val="005E2BED"/>
    <w:rsid w:val="005E6B91"/>
    <w:rsid w:val="005F026C"/>
    <w:rsid w:val="005F2A10"/>
    <w:rsid w:val="005F2E16"/>
    <w:rsid w:val="005F3A43"/>
    <w:rsid w:val="005F5C23"/>
    <w:rsid w:val="005F6481"/>
    <w:rsid w:val="005F72F1"/>
    <w:rsid w:val="005F76B0"/>
    <w:rsid w:val="006024AA"/>
    <w:rsid w:val="00602660"/>
    <w:rsid w:val="00610577"/>
    <w:rsid w:val="006108BA"/>
    <w:rsid w:val="00613D74"/>
    <w:rsid w:val="00614FDF"/>
    <w:rsid w:val="00615B6A"/>
    <w:rsid w:val="00620A4A"/>
    <w:rsid w:val="00624321"/>
    <w:rsid w:val="006246E1"/>
    <w:rsid w:val="00625D4A"/>
    <w:rsid w:val="00633D92"/>
    <w:rsid w:val="0063518D"/>
    <w:rsid w:val="00636233"/>
    <w:rsid w:val="00636E51"/>
    <w:rsid w:val="0064261C"/>
    <w:rsid w:val="006433DF"/>
    <w:rsid w:val="006437BF"/>
    <w:rsid w:val="00643CE7"/>
    <w:rsid w:val="0064635E"/>
    <w:rsid w:val="00647438"/>
    <w:rsid w:val="00650ABB"/>
    <w:rsid w:val="0065453A"/>
    <w:rsid w:val="006549F5"/>
    <w:rsid w:val="00654CD9"/>
    <w:rsid w:val="0066006C"/>
    <w:rsid w:val="00661251"/>
    <w:rsid w:val="006643FE"/>
    <w:rsid w:val="006649C0"/>
    <w:rsid w:val="00664CB7"/>
    <w:rsid w:val="00667533"/>
    <w:rsid w:val="00672FA6"/>
    <w:rsid w:val="00675E2A"/>
    <w:rsid w:val="00676082"/>
    <w:rsid w:val="00676639"/>
    <w:rsid w:val="0068076F"/>
    <w:rsid w:val="0068090D"/>
    <w:rsid w:val="006814FE"/>
    <w:rsid w:val="006820C4"/>
    <w:rsid w:val="006822C2"/>
    <w:rsid w:val="006822FA"/>
    <w:rsid w:val="00682AEC"/>
    <w:rsid w:val="006837E3"/>
    <w:rsid w:val="00691EDE"/>
    <w:rsid w:val="00691FAB"/>
    <w:rsid w:val="006929E6"/>
    <w:rsid w:val="00693BAA"/>
    <w:rsid w:val="006948C7"/>
    <w:rsid w:val="00695FB2"/>
    <w:rsid w:val="00696149"/>
    <w:rsid w:val="00696BC8"/>
    <w:rsid w:val="00696FFB"/>
    <w:rsid w:val="006A0751"/>
    <w:rsid w:val="006A15D6"/>
    <w:rsid w:val="006A2736"/>
    <w:rsid w:val="006A32E4"/>
    <w:rsid w:val="006A65B2"/>
    <w:rsid w:val="006A6898"/>
    <w:rsid w:val="006B0710"/>
    <w:rsid w:val="006B2067"/>
    <w:rsid w:val="006B73BF"/>
    <w:rsid w:val="006C232F"/>
    <w:rsid w:val="006C31B4"/>
    <w:rsid w:val="006C38D9"/>
    <w:rsid w:val="006C44B0"/>
    <w:rsid w:val="006C5ADA"/>
    <w:rsid w:val="006D7ABB"/>
    <w:rsid w:val="006E3882"/>
    <w:rsid w:val="006E4254"/>
    <w:rsid w:val="006E4BB5"/>
    <w:rsid w:val="006E7E5C"/>
    <w:rsid w:val="006F50CD"/>
    <w:rsid w:val="006F5219"/>
    <w:rsid w:val="006F6040"/>
    <w:rsid w:val="00701454"/>
    <w:rsid w:val="00705F68"/>
    <w:rsid w:val="00705F78"/>
    <w:rsid w:val="00706DB2"/>
    <w:rsid w:val="007104B4"/>
    <w:rsid w:val="0071245E"/>
    <w:rsid w:val="0071615B"/>
    <w:rsid w:val="007243A5"/>
    <w:rsid w:val="007411A2"/>
    <w:rsid w:val="007435E2"/>
    <w:rsid w:val="007436B2"/>
    <w:rsid w:val="00743BDE"/>
    <w:rsid w:val="007444DE"/>
    <w:rsid w:val="007447E7"/>
    <w:rsid w:val="0074488B"/>
    <w:rsid w:val="007516BD"/>
    <w:rsid w:val="007532F5"/>
    <w:rsid w:val="00755734"/>
    <w:rsid w:val="0075689E"/>
    <w:rsid w:val="00756C7A"/>
    <w:rsid w:val="00760555"/>
    <w:rsid w:val="00763882"/>
    <w:rsid w:val="007652C0"/>
    <w:rsid w:val="00766068"/>
    <w:rsid w:val="007716E8"/>
    <w:rsid w:val="0077198C"/>
    <w:rsid w:val="00772D53"/>
    <w:rsid w:val="00773AD4"/>
    <w:rsid w:val="00773D6B"/>
    <w:rsid w:val="007742B3"/>
    <w:rsid w:val="007750CD"/>
    <w:rsid w:val="007755B0"/>
    <w:rsid w:val="00775A8B"/>
    <w:rsid w:val="00777117"/>
    <w:rsid w:val="00777E49"/>
    <w:rsid w:val="00780AD9"/>
    <w:rsid w:val="00780AE4"/>
    <w:rsid w:val="00783531"/>
    <w:rsid w:val="0078369D"/>
    <w:rsid w:val="00792DDB"/>
    <w:rsid w:val="00796B53"/>
    <w:rsid w:val="00797879"/>
    <w:rsid w:val="007A04D4"/>
    <w:rsid w:val="007A490B"/>
    <w:rsid w:val="007A4E28"/>
    <w:rsid w:val="007A550F"/>
    <w:rsid w:val="007A6C4D"/>
    <w:rsid w:val="007B06A4"/>
    <w:rsid w:val="007B1358"/>
    <w:rsid w:val="007B2C64"/>
    <w:rsid w:val="007B34CD"/>
    <w:rsid w:val="007B4893"/>
    <w:rsid w:val="007B4D81"/>
    <w:rsid w:val="007B5BAF"/>
    <w:rsid w:val="007C0147"/>
    <w:rsid w:val="007C0443"/>
    <w:rsid w:val="007C089A"/>
    <w:rsid w:val="007C3120"/>
    <w:rsid w:val="007C621C"/>
    <w:rsid w:val="007C6CCA"/>
    <w:rsid w:val="007C7761"/>
    <w:rsid w:val="007C7B3D"/>
    <w:rsid w:val="007D08AE"/>
    <w:rsid w:val="007D1EA2"/>
    <w:rsid w:val="007D5930"/>
    <w:rsid w:val="007D5B4A"/>
    <w:rsid w:val="007D7AB0"/>
    <w:rsid w:val="007E0E33"/>
    <w:rsid w:val="007E1A96"/>
    <w:rsid w:val="007E2ACE"/>
    <w:rsid w:val="007E307A"/>
    <w:rsid w:val="007E7532"/>
    <w:rsid w:val="007F0B26"/>
    <w:rsid w:val="007F2661"/>
    <w:rsid w:val="007F5D69"/>
    <w:rsid w:val="00803693"/>
    <w:rsid w:val="008125B7"/>
    <w:rsid w:val="00813B55"/>
    <w:rsid w:val="008142C1"/>
    <w:rsid w:val="00815172"/>
    <w:rsid w:val="0081545B"/>
    <w:rsid w:val="008167AB"/>
    <w:rsid w:val="00816926"/>
    <w:rsid w:val="00820335"/>
    <w:rsid w:val="008214C9"/>
    <w:rsid w:val="00825F43"/>
    <w:rsid w:val="008308DC"/>
    <w:rsid w:val="00830BE2"/>
    <w:rsid w:val="00832A4A"/>
    <w:rsid w:val="008350C0"/>
    <w:rsid w:val="00836356"/>
    <w:rsid w:val="00836AD4"/>
    <w:rsid w:val="008404AF"/>
    <w:rsid w:val="008424BC"/>
    <w:rsid w:val="00846885"/>
    <w:rsid w:val="00846889"/>
    <w:rsid w:val="00846C98"/>
    <w:rsid w:val="00847282"/>
    <w:rsid w:val="00855DF3"/>
    <w:rsid w:val="008562D8"/>
    <w:rsid w:val="008607FB"/>
    <w:rsid w:val="00863E4B"/>
    <w:rsid w:val="008641B7"/>
    <w:rsid w:val="00865309"/>
    <w:rsid w:val="00865746"/>
    <w:rsid w:val="00866669"/>
    <w:rsid w:val="0086674C"/>
    <w:rsid w:val="00866AD6"/>
    <w:rsid w:val="008700A9"/>
    <w:rsid w:val="0087032F"/>
    <w:rsid w:val="008724FC"/>
    <w:rsid w:val="00874494"/>
    <w:rsid w:val="00876788"/>
    <w:rsid w:val="00877448"/>
    <w:rsid w:val="00880CAA"/>
    <w:rsid w:val="00881394"/>
    <w:rsid w:val="0088222C"/>
    <w:rsid w:val="00882309"/>
    <w:rsid w:val="00882641"/>
    <w:rsid w:val="00883DA8"/>
    <w:rsid w:val="00886889"/>
    <w:rsid w:val="008951E9"/>
    <w:rsid w:val="00897F6A"/>
    <w:rsid w:val="008A1CC4"/>
    <w:rsid w:val="008A4275"/>
    <w:rsid w:val="008A66AB"/>
    <w:rsid w:val="008A75BF"/>
    <w:rsid w:val="008A7828"/>
    <w:rsid w:val="008B227F"/>
    <w:rsid w:val="008B27F1"/>
    <w:rsid w:val="008B362D"/>
    <w:rsid w:val="008B44E5"/>
    <w:rsid w:val="008B625A"/>
    <w:rsid w:val="008B7C71"/>
    <w:rsid w:val="008B7D27"/>
    <w:rsid w:val="008C663C"/>
    <w:rsid w:val="008C6D90"/>
    <w:rsid w:val="008C70D6"/>
    <w:rsid w:val="008C7486"/>
    <w:rsid w:val="008D170D"/>
    <w:rsid w:val="008D2150"/>
    <w:rsid w:val="008D2DD9"/>
    <w:rsid w:val="008D5B99"/>
    <w:rsid w:val="008D7BB4"/>
    <w:rsid w:val="008E2736"/>
    <w:rsid w:val="008E5689"/>
    <w:rsid w:val="008F3A96"/>
    <w:rsid w:val="008F4D88"/>
    <w:rsid w:val="008F664A"/>
    <w:rsid w:val="00901FE4"/>
    <w:rsid w:val="00902A98"/>
    <w:rsid w:val="00904A41"/>
    <w:rsid w:val="009063C1"/>
    <w:rsid w:val="00906A15"/>
    <w:rsid w:val="0090772F"/>
    <w:rsid w:val="00910444"/>
    <w:rsid w:val="009106E5"/>
    <w:rsid w:val="00910FA0"/>
    <w:rsid w:val="00913A2F"/>
    <w:rsid w:val="00914E85"/>
    <w:rsid w:val="0091571A"/>
    <w:rsid w:val="0091651C"/>
    <w:rsid w:val="0091707C"/>
    <w:rsid w:val="009205C7"/>
    <w:rsid w:val="00921289"/>
    <w:rsid w:val="00921B5C"/>
    <w:rsid w:val="00926B4B"/>
    <w:rsid w:val="00927480"/>
    <w:rsid w:val="00927AFF"/>
    <w:rsid w:val="009315F0"/>
    <w:rsid w:val="009327D6"/>
    <w:rsid w:val="00932FCF"/>
    <w:rsid w:val="009332FF"/>
    <w:rsid w:val="009344B3"/>
    <w:rsid w:val="00935778"/>
    <w:rsid w:val="00937DA1"/>
    <w:rsid w:val="00940CC2"/>
    <w:rsid w:val="00941E87"/>
    <w:rsid w:val="0094208D"/>
    <w:rsid w:val="00942F66"/>
    <w:rsid w:val="0094638B"/>
    <w:rsid w:val="00946671"/>
    <w:rsid w:val="009536FD"/>
    <w:rsid w:val="00955886"/>
    <w:rsid w:val="00956921"/>
    <w:rsid w:val="009574BF"/>
    <w:rsid w:val="00961906"/>
    <w:rsid w:val="00961B5F"/>
    <w:rsid w:val="009634C9"/>
    <w:rsid w:val="009702E0"/>
    <w:rsid w:val="009706A0"/>
    <w:rsid w:val="00971869"/>
    <w:rsid w:val="009725A5"/>
    <w:rsid w:val="009734A2"/>
    <w:rsid w:val="009779E4"/>
    <w:rsid w:val="009803D2"/>
    <w:rsid w:val="009828E4"/>
    <w:rsid w:val="00985F18"/>
    <w:rsid w:val="00987B62"/>
    <w:rsid w:val="00987BCB"/>
    <w:rsid w:val="00990CB6"/>
    <w:rsid w:val="00992175"/>
    <w:rsid w:val="0099285D"/>
    <w:rsid w:val="00992FE2"/>
    <w:rsid w:val="0099609E"/>
    <w:rsid w:val="00996221"/>
    <w:rsid w:val="009A1BFE"/>
    <w:rsid w:val="009A39DC"/>
    <w:rsid w:val="009A3A56"/>
    <w:rsid w:val="009A41CE"/>
    <w:rsid w:val="009B5E6E"/>
    <w:rsid w:val="009B6742"/>
    <w:rsid w:val="009C03B9"/>
    <w:rsid w:val="009C0F9F"/>
    <w:rsid w:val="009C10E2"/>
    <w:rsid w:val="009C1F30"/>
    <w:rsid w:val="009C243D"/>
    <w:rsid w:val="009C286C"/>
    <w:rsid w:val="009D2981"/>
    <w:rsid w:val="009D5287"/>
    <w:rsid w:val="009D5AA0"/>
    <w:rsid w:val="009D6215"/>
    <w:rsid w:val="009D7D52"/>
    <w:rsid w:val="009E0432"/>
    <w:rsid w:val="009E1B43"/>
    <w:rsid w:val="009E1BDB"/>
    <w:rsid w:val="009E2E92"/>
    <w:rsid w:val="009E3F4B"/>
    <w:rsid w:val="009E7605"/>
    <w:rsid w:val="009F0A6C"/>
    <w:rsid w:val="009F11EB"/>
    <w:rsid w:val="009F2D9E"/>
    <w:rsid w:val="009F3D34"/>
    <w:rsid w:val="009F426C"/>
    <w:rsid w:val="009F5738"/>
    <w:rsid w:val="009F62F7"/>
    <w:rsid w:val="00A000C7"/>
    <w:rsid w:val="00A039E1"/>
    <w:rsid w:val="00A0575B"/>
    <w:rsid w:val="00A06670"/>
    <w:rsid w:val="00A07D21"/>
    <w:rsid w:val="00A146C2"/>
    <w:rsid w:val="00A15BA3"/>
    <w:rsid w:val="00A169E6"/>
    <w:rsid w:val="00A26CEF"/>
    <w:rsid w:val="00A277A2"/>
    <w:rsid w:val="00A30944"/>
    <w:rsid w:val="00A32E7B"/>
    <w:rsid w:val="00A33FBC"/>
    <w:rsid w:val="00A360CF"/>
    <w:rsid w:val="00A3671A"/>
    <w:rsid w:val="00A37F55"/>
    <w:rsid w:val="00A41FF9"/>
    <w:rsid w:val="00A422F4"/>
    <w:rsid w:val="00A4265D"/>
    <w:rsid w:val="00A4333D"/>
    <w:rsid w:val="00A45320"/>
    <w:rsid w:val="00A51552"/>
    <w:rsid w:val="00A52017"/>
    <w:rsid w:val="00A54503"/>
    <w:rsid w:val="00A555EC"/>
    <w:rsid w:val="00A56649"/>
    <w:rsid w:val="00A56C52"/>
    <w:rsid w:val="00A60223"/>
    <w:rsid w:val="00A61620"/>
    <w:rsid w:val="00A649B7"/>
    <w:rsid w:val="00A66E18"/>
    <w:rsid w:val="00A6717A"/>
    <w:rsid w:val="00A73A6C"/>
    <w:rsid w:val="00A745D6"/>
    <w:rsid w:val="00A75B66"/>
    <w:rsid w:val="00A769BE"/>
    <w:rsid w:val="00A8062F"/>
    <w:rsid w:val="00A80857"/>
    <w:rsid w:val="00A815F0"/>
    <w:rsid w:val="00A81B8E"/>
    <w:rsid w:val="00A82C39"/>
    <w:rsid w:val="00A87371"/>
    <w:rsid w:val="00A92ABB"/>
    <w:rsid w:val="00A9491E"/>
    <w:rsid w:val="00A96B82"/>
    <w:rsid w:val="00A96FFA"/>
    <w:rsid w:val="00A97A3D"/>
    <w:rsid w:val="00AA0BE1"/>
    <w:rsid w:val="00AA23F3"/>
    <w:rsid w:val="00AA2D56"/>
    <w:rsid w:val="00AA66EA"/>
    <w:rsid w:val="00AA70A0"/>
    <w:rsid w:val="00AA71B6"/>
    <w:rsid w:val="00AA7CEF"/>
    <w:rsid w:val="00AB2AF8"/>
    <w:rsid w:val="00AB41CB"/>
    <w:rsid w:val="00AB459D"/>
    <w:rsid w:val="00AB46BD"/>
    <w:rsid w:val="00AB5F50"/>
    <w:rsid w:val="00AB7484"/>
    <w:rsid w:val="00AC0547"/>
    <w:rsid w:val="00AC305B"/>
    <w:rsid w:val="00AC3672"/>
    <w:rsid w:val="00AC485F"/>
    <w:rsid w:val="00AC6BEF"/>
    <w:rsid w:val="00AC7689"/>
    <w:rsid w:val="00AD10CB"/>
    <w:rsid w:val="00AD1F96"/>
    <w:rsid w:val="00AD4F67"/>
    <w:rsid w:val="00AD58C3"/>
    <w:rsid w:val="00AD6BA0"/>
    <w:rsid w:val="00AD6CC6"/>
    <w:rsid w:val="00AE1640"/>
    <w:rsid w:val="00AE22B6"/>
    <w:rsid w:val="00AE3125"/>
    <w:rsid w:val="00AE4F86"/>
    <w:rsid w:val="00AE6A55"/>
    <w:rsid w:val="00AE6CC9"/>
    <w:rsid w:val="00AF0FA7"/>
    <w:rsid w:val="00AF2F79"/>
    <w:rsid w:val="00AF417E"/>
    <w:rsid w:val="00AF74F3"/>
    <w:rsid w:val="00AF7B1A"/>
    <w:rsid w:val="00B01861"/>
    <w:rsid w:val="00B03D05"/>
    <w:rsid w:val="00B04231"/>
    <w:rsid w:val="00B055C3"/>
    <w:rsid w:val="00B059F3"/>
    <w:rsid w:val="00B06BAA"/>
    <w:rsid w:val="00B073EF"/>
    <w:rsid w:val="00B07A3D"/>
    <w:rsid w:val="00B10AD6"/>
    <w:rsid w:val="00B11B8E"/>
    <w:rsid w:val="00B1490E"/>
    <w:rsid w:val="00B15F87"/>
    <w:rsid w:val="00B166F7"/>
    <w:rsid w:val="00B201A2"/>
    <w:rsid w:val="00B22210"/>
    <w:rsid w:val="00B226E8"/>
    <w:rsid w:val="00B2283F"/>
    <w:rsid w:val="00B22B99"/>
    <w:rsid w:val="00B24BAD"/>
    <w:rsid w:val="00B24DA3"/>
    <w:rsid w:val="00B2664B"/>
    <w:rsid w:val="00B270A3"/>
    <w:rsid w:val="00B273E0"/>
    <w:rsid w:val="00B332EB"/>
    <w:rsid w:val="00B33CF7"/>
    <w:rsid w:val="00B33DC7"/>
    <w:rsid w:val="00B3484D"/>
    <w:rsid w:val="00B3521C"/>
    <w:rsid w:val="00B35E4A"/>
    <w:rsid w:val="00B3615D"/>
    <w:rsid w:val="00B36FE6"/>
    <w:rsid w:val="00B41458"/>
    <w:rsid w:val="00B41BC0"/>
    <w:rsid w:val="00B438E1"/>
    <w:rsid w:val="00B45749"/>
    <w:rsid w:val="00B45CAD"/>
    <w:rsid w:val="00B470E3"/>
    <w:rsid w:val="00B5082A"/>
    <w:rsid w:val="00B53C65"/>
    <w:rsid w:val="00B546D3"/>
    <w:rsid w:val="00B56D38"/>
    <w:rsid w:val="00B60C30"/>
    <w:rsid w:val="00B61C8E"/>
    <w:rsid w:val="00B62FE3"/>
    <w:rsid w:val="00B64B3B"/>
    <w:rsid w:val="00B654D0"/>
    <w:rsid w:val="00B65C6C"/>
    <w:rsid w:val="00B66202"/>
    <w:rsid w:val="00B72AA6"/>
    <w:rsid w:val="00B7439B"/>
    <w:rsid w:val="00B758AF"/>
    <w:rsid w:val="00B77834"/>
    <w:rsid w:val="00B778AA"/>
    <w:rsid w:val="00B8484D"/>
    <w:rsid w:val="00B8694B"/>
    <w:rsid w:val="00B872FE"/>
    <w:rsid w:val="00B905B7"/>
    <w:rsid w:val="00B92170"/>
    <w:rsid w:val="00BA19EF"/>
    <w:rsid w:val="00BA1C76"/>
    <w:rsid w:val="00BA2DB9"/>
    <w:rsid w:val="00BA3495"/>
    <w:rsid w:val="00BA39E7"/>
    <w:rsid w:val="00BA4236"/>
    <w:rsid w:val="00BA6ADE"/>
    <w:rsid w:val="00BA7A50"/>
    <w:rsid w:val="00BB3D56"/>
    <w:rsid w:val="00BB5B49"/>
    <w:rsid w:val="00BC4D8D"/>
    <w:rsid w:val="00BC74BD"/>
    <w:rsid w:val="00BD24FA"/>
    <w:rsid w:val="00BD31CD"/>
    <w:rsid w:val="00BD61DA"/>
    <w:rsid w:val="00BD73C1"/>
    <w:rsid w:val="00BE032D"/>
    <w:rsid w:val="00BE14D9"/>
    <w:rsid w:val="00BE323A"/>
    <w:rsid w:val="00BE3BE3"/>
    <w:rsid w:val="00BE6CE4"/>
    <w:rsid w:val="00BE7F07"/>
    <w:rsid w:val="00BF046A"/>
    <w:rsid w:val="00BF06F1"/>
    <w:rsid w:val="00BF192D"/>
    <w:rsid w:val="00BF297F"/>
    <w:rsid w:val="00BF7A4E"/>
    <w:rsid w:val="00C03D50"/>
    <w:rsid w:val="00C044E6"/>
    <w:rsid w:val="00C06BE4"/>
    <w:rsid w:val="00C07A68"/>
    <w:rsid w:val="00C07ED7"/>
    <w:rsid w:val="00C11D17"/>
    <w:rsid w:val="00C11E1E"/>
    <w:rsid w:val="00C17865"/>
    <w:rsid w:val="00C17AA4"/>
    <w:rsid w:val="00C203B1"/>
    <w:rsid w:val="00C21548"/>
    <w:rsid w:val="00C223E1"/>
    <w:rsid w:val="00C232ED"/>
    <w:rsid w:val="00C23BED"/>
    <w:rsid w:val="00C240F1"/>
    <w:rsid w:val="00C25530"/>
    <w:rsid w:val="00C277C5"/>
    <w:rsid w:val="00C3261B"/>
    <w:rsid w:val="00C36ED1"/>
    <w:rsid w:val="00C37C80"/>
    <w:rsid w:val="00C37EFF"/>
    <w:rsid w:val="00C42722"/>
    <w:rsid w:val="00C467ED"/>
    <w:rsid w:val="00C47EB4"/>
    <w:rsid w:val="00C52235"/>
    <w:rsid w:val="00C544C9"/>
    <w:rsid w:val="00C54BA0"/>
    <w:rsid w:val="00C5656D"/>
    <w:rsid w:val="00C57A52"/>
    <w:rsid w:val="00C606F0"/>
    <w:rsid w:val="00C6175D"/>
    <w:rsid w:val="00C64B81"/>
    <w:rsid w:val="00C6698F"/>
    <w:rsid w:val="00C703F5"/>
    <w:rsid w:val="00C72FB8"/>
    <w:rsid w:val="00C73DC6"/>
    <w:rsid w:val="00C74FA3"/>
    <w:rsid w:val="00C82707"/>
    <w:rsid w:val="00C8277F"/>
    <w:rsid w:val="00C84678"/>
    <w:rsid w:val="00C8487F"/>
    <w:rsid w:val="00C8508D"/>
    <w:rsid w:val="00C86F37"/>
    <w:rsid w:val="00C871A4"/>
    <w:rsid w:val="00C93BEF"/>
    <w:rsid w:val="00C96596"/>
    <w:rsid w:val="00C96877"/>
    <w:rsid w:val="00C9696E"/>
    <w:rsid w:val="00CA0EBA"/>
    <w:rsid w:val="00CA27B0"/>
    <w:rsid w:val="00CA74AF"/>
    <w:rsid w:val="00CB0410"/>
    <w:rsid w:val="00CB1BBE"/>
    <w:rsid w:val="00CB21DF"/>
    <w:rsid w:val="00CB3AE6"/>
    <w:rsid w:val="00CB56F4"/>
    <w:rsid w:val="00CC2827"/>
    <w:rsid w:val="00CD0784"/>
    <w:rsid w:val="00CD39F0"/>
    <w:rsid w:val="00CD4809"/>
    <w:rsid w:val="00CD5492"/>
    <w:rsid w:val="00CE0916"/>
    <w:rsid w:val="00CE215B"/>
    <w:rsid w:val="00CF478C"/>
    <w:rsid w:val="00CF5534"/>
    <w:rsid w:val="00CF6021"/>
    <w:rsid w:val="00CF78F3"/>
    <w:rsid w:val="00D0060A"/>
    <w:rsid w:val="00D01936"/>
    <w:rsid w:val="00D1019D"/>
    <w:rsid w:val="00D11FB5"/>
    <w:rsid w:val="00D124F4"/>
    <w:rsid w:val="00D136CF"/>
    <w:rsid w:val="00D16120"/>
    <w:rsid w:val="00D20E81"/>
    <w:rsid w:val="00D21A4C"/>
    <w:rsid w:val="00D22642"/>
    <w:rsid w:val="00D2557F"/>
    <w:rsid w:val="00D25E9D"/>
    <w:rsid w:val="00D26427"/>
    <w:rsid w:val="00D27800"/>
    <w:rsid w:val="00D3188B"/>
    <w:rsid w:val="00D40133"/>
    <w:rsid w:val="00D41B57"/>
    <w:rsid w:val="00D44DCC"/>
    <w:rsid w:val="00D50CA3"/>
    <w:rsid w:val="00D513FB"/>
    <w:rsid w:val="00D5246D"/>
    <w:rsid w:val="00D52A86"/>
    <w:rsid w:val="00D56F8B"/>
    <w:rsid w:val="00D57D67"/>
    <w:rsid w:val="00D57E95"/>
    <w:rsid w:val="00D60927"/>
    <w:rsid w:val="00D645EC"/>
    <w:rsid w:val="00D6489C"/>
    <w:rsid w:val="00D70380"/>
    <w:rsid w:val="00D70C36"/>
    <w:rsid w:val="00D71A39"/>
    <w:rsid w:val="00D73319"/>
    <w:rsid w:val="00D73DC7"/>
    <w:rsid w:val="00D75EE8"/>
    <w:rsid w:val="00D76409"/>
    <w:rsid w:val="00D77D6D"/>
    <w:rsid w:val="00D8095A"/>
    <w:rsid w:val="00D80D8D"/>
    <w:rsid w:val="00D81911"/>
    <w:rsid w:val="00D8277D"/>
    <w:rsid w:val="00D83089"/>
    <w:rsid w:val="00D91884"/>
    <w:rsid w:val="00D93CEE"/>
    <w:rsid w:val="00D975FA"/>
    <w:rsid w:val="00D97F7B"/>
    <w:rsid w:val="00DA0D53"/>
    <w:rsid w:val="00DA180D"/>
    <w:rsid w:val="00DA196A"/>
    <w:rsid w:val="00DA385E"/>
    <w:rsid w:val="00DA507C"/>
    <w:rsid w:val="00DA508D"/>
    <w:rsid w:val="00DA6A6B"/>
    <w:rsid w:val="00DA712F"/>
    <w:rsid w:val="00DB5FC7"/>
    <w:rsid w:val="00DC095E"/>
    <w:rsid w:val="00DC504E"/>
    <w:rsid w:val="00DC684B"/>
    <w:rsid w:val="00DC6BE0"/>
    <w:rsid w:val="00DC7C2A"/>
    <w:rsid w:val="00DD036C"/>
    <w:rsid w:val="00DD0984"/>
    <w:rsid w:val="00DD14CD"/>
    <w:rsid w:val="00DD2A0C"/>
    <w:rsid w:val="00DE15B5"/>
    <w:rsid w:val="00DE2BD0"/>
    <w:rsid w:val="00DE5538"/>
    <w:rsid w:val="00DF12AE"/>
    <w:rsid w:val="00DF17E2"/>
    <w:rsid w:val="00DF556D"/>
    <w:rsid w:val="00DF60C1"/>
    <w:rsid w:val="00DF6909"/>
    <w:rsid w:val="00E00348"/>
    <w:rsid w:val="00E00F05"/>
    <w:rsid w:val="00E01374"/>
    <w:rsid w:val="00E026E4"/>
    <w:rsid w:val="00E06F83"/>
    <w:rsid w:val="00E153A1"/>
    <w:rsid w:val="00E15DE7"/>
    <w:rsid w:val="00E16FC8"/>
    <w:rsid w:val="00E2550F"/>
    <w:rsid w:val="00E268D0"/>
    <w:rsid w:val="00E32114"/>
    <w:rsid w:val="00E35BC9"/>
    <w:rsid w:val="00E3672D"/>
    <w:rsid w:val="00E36E33"/>
    <w:rsid w:val="00E40B97"/>
    <w:rsid w:val="00E42126"/>
    <w:rsid w:val="00E45483"/>
    <w:rsid w:val="00E467FE"/>
    <w:rsid w:val="00E53566"/>
    <w:rsid w:val="00E5485F"/>
    <w:rsid w:val="00E56D37"/>
    <w:rsid w:val="00E60E16"/>
    <w:rsid w:val="00E61DB4"/>
    <w:rsid w:val="00E640D8"/>
    <w:rsid w:val="00E64AE6"/>
    <w:rsid w:val="00E64BDA"/>
    <w:rsid w:val="00E65B01"/>
    <w:rsid w:val="00E66A4A"/>
    <w:rsid w:val="00E679DF"/>
    <w:rsid w:val="00E71835"/>
    <w:rsid w:val="00E722A3"/>
    <w:rsid w:val="00E742FF"/>
    <w:rsid w:val="00E74C7F"/>
    <w:rsid w:val="00E74D4C"/>
    <w:rsid w:val="00E75942"/>
    <w:rsid w:val="00E80C67"/>
    <w:rsid w:val="00E82E5B"/>
    <w:rsid w:val="00E83646"/>
    <w:rsid w:val="00E854B0"/>
    <w:rsid w:val="00E90384"/>
    <w:rsid w:val="00E913D0"/>
    <w:rsid w:val="00E91FD7"/>
    <w:rsid w:val="00E96009"/>
    <w:rsid w:val="00EA3303"/>
    <w:rsid w:val="00EB178C"/>
    <w:rsid w:val="00EB1DAB"/>
    <w:rsid w:val="00EB2CDF"/>
    <w:rsid w:val="00EB6229"/>
    <w:rsid w:val="00EB6391"/>
    <w:rsid w:val="00EB6473"/>
    <w:rsid w:val="00EB7059"/>
    <w:rsid w:val="00EC0768"/>
    <w:rsid w:val="00EC37A1"/>
    <w:rsid w:val="00EC6F1F"/>
    <w:rsid w:val="00EC7A65"/>
    <w:rsid w:val="00ED0EB7"/>
    <w:rsid w:val="00ED5BAE"/>
    <w:rsid w:val="00EE17C8"/>
    <w:rsid w:val="00EE1C7E"/>
    <w:rsid w:val="00EE566D"/>
    <w:rsid w:val="00EE66D8"/>
    <w:rsid w:val="00EE731A"/>
    <w:rsid w:val="00EE743E"/>
    <w:rsid w:val="00EF1195"/>
    <w:rsid w:val="00EF5257"/>
    <w:rsid w:val="00EF5865"/>
    <w:rsid w:val="00EF5C0A"/>
    <w:rsid w:val="00EF6C0A"/>
    <w:rsid w:val="00EF718D"/>
    <w:rsid w:val="00F00936"/>
    <w:rsid w:val="00F03C22"/>
    <w:rsid w:val="00F04B73"/>
    <w:rsid w:val="00F053CE"/>
    <w:rsid w:val="00F11BA3"/>
    <w:rsid w:val="00F12685"/>
    <w:rsid w:val="00F15C83"/>
    <w:rsid w:val="00F17622"/>
    <w:rsid w:val="00F25943"/>
    <w:rsid w:val="00F25A5C"/>
    <w:rsid w:val="00F26B83"/>
    <w:rsid w:val="00F31244"/>
    <w:rsid w:val="00F351FE"/>
    <w:rsid w:val="00F4150B"/>
    <w:rsid w:val="00F419FD"/>
    <w:rsid w:val="00F41EBB"/>
    <w:rsid w:val="00F439B7"/>
    <w:rsid w:val="00F445AA"/>
    <w:rsid w:val="00F47955"/>
    <w:rsid w:val="00F507B1"/>
    <w:rsid w:val="00F51F91"/>
    <w:rsid w:val="00F56F54"/>
    <w:rsid w:val="00F6324A"/>
    <w:rsid w:val="00F6335C"/>
    <w:rsid w:val="00F636E5"/>
    <w:rsid w:val="00F704A1"/>
    <w:rsid w:val="00F730D3"/>
    <w:rsid w:val="00F765F2"/>
    <w:rsid w:val="00F77E7F"/>
    <w:rsid w:val="00F8204B"/>
    <w:rsid w:val="00F86DE0"/>
    <w:rsid w:val="00F903DE"/>
    <w:rsid w:val="00F94115"/>
    <w:rsid w:val="00F94AEB"/>
    <w:rsid w:val="00F959E4"/>
    <w:rsid w:val="00FA128B"/>
    <w:rsid w:val="00FA24F0"/>
    <w:rsid w:val="00FA775D"/>
    <w:rsid w:val="00FB0653"/>
    <w:rsid w:val="00FB35E2"/>
    <w:rsid w:val="00FB538F"/>
    <w:rsid w:val="00FB594C"/>
    <w:rsid w:val="00FB6302"/>
    <w:rsid w:val="00FC014B"/>
    <w:rsid w:val="00FC2E7D"/>
    <w:rsid w:val="00FC4257"/>
    <w:rsid w:val="00FC4E47"/>
    <w:rsid w:val="00FC6F29"/>
    <w:rsid w:val="00FD0C7D"/>
    <w:rsid w:val="00FD3409"/>
    <w:rsid w:val="00FD4159"/>
    <w:rsid w:val="00FD79F2"/>
    <w:rsid w:val="00FE3A26"/>
    <w:rsid w:val="00FE408D"/>
    <w:rsid w:val="00FF0D38"/>
    <w:rsid w:val="00FF1B51"/>
    <w:rsid w:val="00FF26B0"/>
    <w:rsid w:val="00FF3367"/>
    <w:rsid w:val="00FF3950"/>
    <w:rsid w:val="00FF4B52"/>
    <w:rsid w:val="00FF574F"/>
    <w:rsid w:val="00FF60A8"/>
    <w:rsid w:val="00FF67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4015C4-2115-4EAC-AFC9-01E9152F0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4"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99"/>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B4D"/>
    <w:pPr>
      <w:spacing w:after="240" w:line="240" w:lineRule="auto"/>
    </w:pPr>
    <w:rPr>
      <w:sz w:val="24"/>
      <w:szCs w:val="24"/>
      <w:lang w:val="en-AU" w:eastAsia="ja-JP"/>
    </w:rPr>
  </w:style>
  <w:style w:type="paragraph" w:styleId="Heading1">
    <w:name w:val="heading 1"/>
    <w:aliases w:val="1.,Chapter Heading (Long),Section Heading,h1,1m,Level 1 Head,A MAJOR/BOLD,heading 1,No numbers,1 ghost,g,LetHead1,MisHead1,Normalhead1,Normal Heading 1,1,Heading 1- no break,Volume Heading,Heading,II+,I,h11,Head1,Chapter Heading,A,-0"/>
    <w:basedOn w:val="Normal"/>
    <w:next w:val="BodyText"/>
    <w:link w:val="Heading1Char"/>
    <w:uiPriority w:val="9"/>
    <w:qFormat/>
    <w:rsid w:val="00166B4D"/>
    <w:pPr>
      <w:keepNext/>
      <w:keepLines/>
      <w:numPr>
        <w:numId w:val="2"/>
      </w:numPr>
      <w:outlineLvl w:val="0"/>
    </w:pPr>
    <w:rPr>
      <w:rFonts w:asciiTheme="majorHAnsi" w:eastAsiaTheme="majorEastAsia" w:hAnsiTheme="majorHAnsi" w:cstheme="majorBidi"/>
      <w:b/>
      <w:bCs/>
      <w:sz w:val="28"/>
      <w:szCs w:val="28"/>
    </w:rPr>
  </w:style>
  <w:style w:type="paragraph" w:styleId="Heading2">
    <w:name w:val="heading 2"/>
    <w:aliases w:val="1.1,Chapter Heading (Short),Reset numbering,h2,h2 main heading,headline,h,2 headline,heading 2,AWT Heading 2,H2,Major,H21,H22,sect,2m,h 2,Section,heading2,Sub-heading,h21,h22,B Sub/Bold,B Sub/Bold1,B Sub/Bold2,B Sub/Bold11,h2 main heading1"/>
    <w:basedOn w:val="Heading1"/>
    <w:next w:val="BodyText"/>
    <w:link w:val="Heading2Char"/>
    <w:uiPriority w:val="9"/>
    <w:qFormat/>
    <w:rsid w:val="00166B4D"/>
    <w:pPr>
      <w:numPr>
        <w:ilvl w:val="1"/>
      </w:numPr>
      <w:outlineLvl w:val="1"/>
    </w:pPr>
    <w:rPr>
      <w:sz w:val="26"/>
      <w:szCs w:val="26"/>
    </w:rPr>
  </w:style>
  <w:style w:type="paragraph" w:styleId="Heading3">
    <w:name w:val="heading 3"/>
    <w:aliases w:val="(a),a,SSPara,Para 3,Sub-sub Para,Para3,head3hdbk,H3,C Sub-Sub/Italic,h3 sub heading,Head 3,Head 31,Head 32,C Sub-Sub/Italic1,3,Sub2Para,h3,3 bullet,b,2,SimSSPara,(1),(1)1,(1)2,h31,h32,h311,h33,h312,h321,h3111,h34,h313,h322,h3112,h35,h314,h323"/>
    <w:basedOn w:val="Heading2"/>
    <w:next w:val="BodyText"/>
    <w:link w:val="Heading3Char"/>
    <w:uiPriority w:val="9"/>
    <w:qFormat/>
    <w:rsid w:val="00166B4D"/>
    <w:pPr>
      <w:numPr>
        <w:ilvl w:val="2"/>
      </w:numPr>
      <w:outlineLvl w:val="2"/>
    </w:pPr>
    <w:rPr>
      <w:sz w:val="24"/>
      <w:szCs w:val="24"/>
    </w:rPr>
  </w:style>
  <w:style w:type="paragraph" w:styleId="Heading4">
    <w:name w:val="heading 4"/>
    <w:aliases w:val="(i),i"/>
    <w:basedOn w:val="Heading3"/>
    <w:next w:val="BodyText"/>
    <w:link w:val="Heading4Char"/>
    <w:uiPriority w:val="9"/>
    <w:qFormat/>
    <w:rsid w:val="00166B4D"/>
    <w:pPr>
      <w:numPr>
        <w:ilvl w:val="3"/>
      </w:numPr>
      <w:outlineLvl w:val="3"/>
    </w:pPr>
    <w:rPr>
      <w:b w:val="0"/>
      <w:bCs w:val="0"/>
    </w:rPr>
  </w:style>
  <w:style w:type="paragraph" w:styleId="Heading5">
    <w:name w:val="heading 5"/>
    <w:basedOn w:val="Heading4"/>
    <w:next w:val="BodyText"/>
    <w:link w:val="Heading5Char"/>
    <w:uiPriority w:val="9"/>
    <w:qFormat/>
    <w:rsid w:val="00166B4D"/>
    <w:pPr>
      <w:numPr>
        <w:ilvl w:val="4"/>
      </w:numPr>
      <w:outlineLvl w:val="4"/>
    </w:pPr>
    <w:rPr>
      <w:i/>
      <w:iCs/>
    </w:rPr>
  </w:style>
  <w:style w:type="paragraph" w:styleId="Heading6">
    <w:name w:val="heading 6"/>
    <w:aliases w:val="Legal Level 1.,Level 1,sub-dash,5,Spare2"/>
    <w:basedOn w:val="Normal"/>
    <w:next w:val="BodyText"/>
    <w:link w:val="Heading6Char"/>
    <w:uiPriority w:val="9"/>
    <w:unhideWhenUsed/>
    <w:qFormat/>
    <w:rsid w:val="00A07D21"/>
    <w:pPr>
      <w:keepNext/>
      <w:keepLines/>
      <w:numPr>
        <w:ilvl w:val="5"/>
        <w:numId w:val="2"/>
      </w:numPr>
      <w:spacing w:before="200" w:after="0"/>
      <w:outlineLvl w:val="5"/>
    </w:pPr>
    <w:rPr>
      <w:rFonts w:asciiTheme="majorHAnsi" w:eastAsiaTheme="majorEastAsia" w:hAnsiTheme="majorHAnsi" w:cstheme="majorBidi"/>
      <w:iCs/>
    </w:rPr>
  </w:style>
  <w:style w:type="paragraph" w:styleId="Heading7">
    <w:name w:val="heading 7"/>
    <w:aliases w:val="h7,heading 7,Legal Level 1.1., D'N'U,D'N'U,Spare3"/>
    <w:basedOn w:val="Normal"/>
    <w:next w:val="BodyText"/>
    <w:link w:val="Heading7Char"/>
    <w:uiPriority w:val="9"/>
    <w:unhideWhenUsed/>
    <w:qFormat/>
    <w:rsid w:val="00A07D21"/>
    <w:pPr>
      <w:keepNext/>
      <w:keepLines/>
      <w:numPr>
        <w:ilvl w:val="6"/>
        <w:numId w:val="2"/>
      </w:numPr>
      <w:spacing w:before="200" w:after="0"/>
      <w:outlineLvl w:val="6"/>
    </w:pPr>
    <w:rPr>
      <w:rFonts w:asciiTheme="majorHAnsi" w:eastAsiaTheme="majorEastAsia" w:hAnsiTheme="majorHAnsi" w:cstheme="majorBidi"/>
      <w:iCs/>
    </w:rPr>
  </w:style>
  <w:style w:type="paragraph" w:styleId="Heading8">
    <w:name w:val="heading 8"/>
    <w:aliases w:val="h8, D.N.U,D.N.U,Spare4"/>
    <w:basedOn w:val="Normal"/>
    <w:next w:val="BodyText"/>
    <w:link w:val="Heading8Char"/>
    <w:uiPriority w:val="9"/>
    <w:unhideWhenUsed/>
    <w:qFormat/>
    <w:rsid w:val="00A07D21"/>
    <w:pPr>
      <w:keepNext/>
      <w:keepLines/>
      <w:numPr>
        <w:ilvl w:val="7"/>
        <w:numId w:val="2"/>
      </w:numPr>
      <w:spacing w:before="200" w:after="0"/>
      <w:outlineLvl w:val="7"/>
    </w:pPr>
    <w:rPr>
      <w:rFonts w:asciiTheme="majorHAnsi" w:eastAsiaTheme="majorEastAsia" w:hAnsiTheme="majorHAnsi" w:cstheme="majorBidi"/>
      <w:sz w:val="20"/>
    </w:rPr>
  </w:style>
  <w:style w:type="paragraph" w:styleId="Heading9">
    <w:name w:val="heading 9"/>
    <w:aliases w:val="h9,heading 9, DNU,DNU,Spare5"/>
    <w:basedOn w:val="Normal"/>
    <w:next w:val="BodyText"/>
    <w:link w:val="Heading9Char"/>
    <w:uiPriority w:val="9"/>
    <w:unhideWhenUsed/>
    <w:qFormat/>
    <w:rsid w:val="00A07D21"/>
    <w:pPr>
      <w:keepNext/>
      <w:keepLines/>
      <w:numPr>
        <w:ilvl w:val="8"/>
        <w:numId w:val="2"/>
      </w:numPr>
      <w:spacing w:before="200" w:after="0"/>
      <w:outlineLvl w:val="8"/>
    </w:pPr>
    <w:rPr>
      <w:rFonts w:asciiTheme="majorHAnsi" w:eastAsiaTheme="majorEastAsia" w:hAnsiTheme="majorHAnsi"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Chapter Heading (Long) Char,Section Heading Char,h1 Char,1m Char,Level 1 Head Char,A MAJOR/BOLD Char,heading 1 Char,No numbers Char,1 ghost Char,g Char,LetHead1 Char,MisHead1 Char,Normalhead1 Char,Normal Heading 1 Char,1 Char"/>
    <w:basedOn w:val="DefaultParagraphFont"/>
    <w:link w:val="Heading1"/>
    <w:rsid w:val="00166B4D"/>
    <w:rPr>
      <w:rFonts w:asciiTheme="majorHAnsi" w:eastAsiaTheme="majorEastAsia" w:hAnsiTheme="majorHAnsi" w:cstheme="majorBidi"/>
      <w:b/>
      <w:bCs/>
      <w:sz w:val="28"/>
      <w:szCs w:val="28"/>
      <w:lang w:val="en-AU" w:eastAsia="ja-JP"/>
    </w:rPr>
  </w:style>
  <w:style w:type="character" w:customStyle="1" w:styleId="Heading2Char">
    <w:name w:val="Heading 2 Char"/>
    <w:aliases w:val="1.1 Char,Chapter Heading (Short) Char,Reset numbering Char,h2 Char,h2 main heading Char,headline Char,h Char,2 headline Char,heading 2 Char,AWT Heading 2 Char,H2 Char,Major Char,H21 Char,H22 Char,sect Char,2m Char,h 2 Char,Section Char"/>
    <w:basedOn w:val="DefaultParagraphFont"/>
    <w:link w:val="Heading2"/>
    <w:rsid w:val="00166B4D"/>
    <w:rPr>
      <w:rFonts w:asciiTheme="majorHAnsi" w:eastAsiaTheme="majorEastAsia" w:hAnsiTheme="majorHAnsi" w:cstheme="majorBidi"/>
      <w:b/>
      <w:bCs/>
      <w:sz w:val="26"/>
      <w:szCs w:val="26"/>
      <w:lang w:val="en-AU" w:eastAsia="ja-JP"/>
    </w:rPr>
  </w:style>
  <w:style w:type="character" w:customStyle="1" w:styleId="Heading3Char">
    <w:name w:val="Heading 3 Char"/>
    <w:aliases w:val="(a) Char,a Char,SSPara Char,Para 3 Char,Sub-sub Para Char,Para3 Char,head3hdbk Char,H3 Char,C Sub-Sub/Italic Char,h3 sub heading Char,Head 3 Char,Head 31 Char,Head 32 Char,C Sub-Sub/Italic1 Char,3 Char,Sub2Para Char,h3 Char,3 bullet Char"/>
    <w:basedOn w:val="DefaultParagraphFont"/>
    <w:link w:val="Heading3"/>
    <w:rsid w:val="00166B4D"/>
    <w:rPr>
      <w:rFonts w:asciiTheme="majorHAnsi" w:eastAsiaTheme="majorEastAsia" w:hAnsiTheme="majorHAnsi" w:cstheme="majorBidi"/>
      <w:b/>
      <w:bCs/>
      <w:sz w:val="24"/>
      <w:szCs w:val="24"/>
      <w:lang w:val="en-AU" w:eastAsia="ja-JP"/>
    </w:rPr>
  </w:style>
  <w:style w:type="character" w:customStyle="1" w:styleId="Heading4Char">
    <w:name w:val="Heading 4 Char"/>
    <w:aliases w:val="(i) Char,i Char"/>
    <w:basedOn w:val="DefaultParagraphFont"/>
    <w:link w:val="Heading4"/>
    <w:rsid w:val="00166B4D"/>
    <w:rPr>
      <w:rFonts w:asciiTheme="majorHAnsi" w:eastAsiaTheme="majorEastAsia" w:hAnsiTheme="majorHAnsi" w:cstheme="majorBidi"/>
      <w:sz w:val="24"/>
      <w:szCs w:val="24"/>
      <w:lang w:val="en-AU" w:eastAsia="ja-JP"/>
    </w:rPr>
  </w:style>
  <w:style w:type="character" w:customStyle="1" w:styleId="Heading5Char">
    <w:name w:val="Heading 5 Char"/>
    <w:basedOn w:val="DefaultParagraphFont"/>
    <w:link w:val="Heading5"/>
    <w:rsid w:val="00166B4D"/>
    <w:rPr>
      <w:rFonts w:asciiTheme="majorHAnsi" w:eastAsiaTheme="majorEastAsia" w:hAnsiTheme="majorHAnsi" w:cstheme="majorBidi"/>
      <w:i/>
      <w:iCs/>
      <w:sz w:val="24"/>
      <w:szCs w:val="24"/>
      <w:lang w:val="en-AU" w:eastAsia="ja-JP"/>
    </w:rPr>
  </w:style>
  <w:style w:type="character" w:customStyle="1" w:styleId="Heading6Char">
    <w:name w:val="Heading 6 Char"/>
    <w:aliases w:val="Legal Level 1. Char,Level 1 Char,sub-dash Char,5 Char,Spare2 Char"/>
    <w:basedOn w:val="DefaultParagraphFont"/>
    <w:link w:val="Heading6"/>
    <w:rsid w:val="007A4E28"/>
    <w:rPr>
      <w:rFonts w:asciiTheme="majorHAnsi" w:eastAsiaTheme="majorEastAsia" w:hAnsiTheme="majorHAnsi" w:cstheme="majorBidi"/>
      <w:iCs/>
      <w:sz w:val="24"/>
      <w:szCs w:val="24"/>
      <w:lang w:val="en-AU" w:eastAsia="ja-JP"/>
    </w:rPr>
  </w:style>
  <w:style w:type="character" w:customStyle="1" w:styleId="Heading7Char">
    <w:name w:val="Heading 7 Char"/>
    <w:aliases w:val="h7 Char,heading 7 Char,Legal Level 1.1. Char, D'N'U Char,D'N'U Char,Spare3 Char"/>
    <w:basedOn w:val="DefaultParagraphFont"/>
    <w:link w:val="Heading7"/>
    <w:rsid w:val="007A4E28"/>
    <w:rPr>
      <w:rFonts w:asciiTheme="majorHAnsi" w:eastAsiaTheme="majorEastAsia" w:hAnsiTheme="majorHAnsi" w:cstheme="majorBidi"/>
      <w:iCs/>
      <w:sz w:val="24"/>
      <w:szCs w:val="24"/>
      <w:lang w:val="en-AU" w:eastAsia="ja-JP"/>
    </w:rPr>
  </w:style>
  <w:style w:type="character" w:customStyle="1" w:styleId="Heading8Char">
    <w:name w:val="Heading 8 Char"/>
    <w:aliases w:val="h8 Char, D.N.U Char,D.N.U Char,Spare4 Char"/>
    <w:basedOn w:val="DefaultParagraphFont"/>
    <w:link w:val="Heading8"/>
    <w:rsid w:val="007A4E28"/>
    <w:rPr>
      <w:rFonts w:asciiTheme="majorHAnsi" w:eastAsiaTheme="majorEastAsia" w:hAnsiTheme="majorHAnsi" w:cstheme="majorBidi"/>
      <w:sz w:val="20"/>
      <w:szCs w:val="24"/>
      <w:lang w:val="en-AU" w:eastAsia="ja-JP"/>
    </w:rPr>
  </w:style>
  <w:style w:type="character" w:customStyle="1" w:styleId="Heading9Char">
    <w:name w:val="Heading 9 Char"/>
    <w:aliases w:val="h9 Char,heading 9 Char, DNU Char,DNU Char,Spare5 Char"/>
    <w:basedOn w:val="DefaultParagraphFont"/>
    <w:link w:val="Heading9"/>
    <w:rsid w:val="007A4E28"/>
    <w:rPr>
      <w:rFonts w:asciiTheme="majorHAnsi" w:eastAsiaTheme="majorEastAsia" w:hAnsiTheme="majorHAnsi" w:cstheme="majorBidi"/>
      <w:iCs/>
      <w:sz w:val="20"/>
      <w:szCs w:val="24"/>
      <w:lang w:val="en-AU" w:eastAsia="ja-JP"/>
    </w:rPr>
  </w:style>
  <w:style w:type="paragraph" w:customStyle="1" w:styleId="AddressBlock">
    <w:name w:val="Address Block"/>
    <w:basedOn w:val="Normal"/>
    <w:uiPriority w:val="4"/>
    <w:rsid w:val="00A07D21"/>
    <w:pPr>
      <w:spacing w:after="0" w:line="200" w:lineRule="atLeast"/>
    </w:pPr>
    <w:rPr>
      <w:rFonts w:asciiTheme="majorHAnsi" w:eastAsiaTheme="majorEastAsia" w:hAnsiTheme="majorHAnsi" w:cstheme="majorBidi"/>
      <w:sz w:val="16"/>
      <w:szCs w:val="16"/>
    </w:rPr>
  </w:style>
  <w:style w:type="paragraph" w:customStyle="1" w:styleId="ClientNameCrossRef">
    <w:name w:val="Client Name Cross Ref"/>
    <w:basedOn w:val="Normal"/>
    <w:uiPriority w:val="4"/>
    <w:rsid w:val="00A07D21"/>
    <w:pPr>
      <w:spacing w:after="180" w:line="200" w:lineRule="atLeast"/>
    </w:pPr>
    <w:rPr>
      <w:rFonts w:asciiTheme="majorHAnsi" w:hAnsiTheme="majorHAnsi" w:cstheme="majorBidi"/>
      <w:sz w:val="16"/>
      <w:szCs w:val="16"/>
    </w:rPr>
  </w:style>
  <w:style w:type="paragraph" w:customStyle="1" w:styleId="HeadingU">
    <w:name w:val="Heading U"/>
    <w:basedOn w:val="Heading1"/>
    <w:next w:val="BodyText"/>
    <w:qFormat/>
    <w:rsid w:val="00166B4D"/>
    <w:pPr>
      <w:numPr>
        <w:numId w:val="0"/>
      </w:numPr>
    </w:pPr>
    <w:rPr>
      <w:bCs w:val="0"/>
    </w:rPr>
  </w:style>
  <w:style w:type="character" w:styleId="PageNumber">
    <w:name w:val="page number"/>
    <w:basedOn w:val="DefaultParagraphFont"/>
    <w:uiPriority w:val="4"/>
    <w:rsid w:val="00A07D21"/>
    <w:rPr>
      <w:rFonts w:asciiTheme="minorHAnsi" w:eastAsiaTheme="minorEastAsia" w:hAnsiTheme="minorHAnsi" w:cstheme="minorBidi"/>
      <w:b w:val="0"/>
      <w:bCs w:val="0"/>
      <w:i w:val="0"/>
      <w:iCs w:val="0"/>
      <w:smallCaps w:val="0"/>
      <w:noProof w:val="0"/>
      <w:sz w:val="20"/>
      <w:szCs w:val="20"/>
      <w:u w:val="none"/>
      <w:lang w:val="en-GB" w:eastAsia="ja-JP"/>
    </w:rPr>
  </w:style>
  <w:style w:type="paragraph" w:customStyle="1" w:styleId="DraftMarkings">
    <w:name w:val="Draft Markings"/>
    <w:basedOn w:val="ClientNameCrossRef"/>
    <w:rsid w:val="00A07D21"/>
    <w:pPr>
      <w:spacing w:after="0" w:line="240" w:lineRule="auto"/>
      <w:jc w:val="right"/>
    </w:pPr>
    <w:rPr>
      <w:rFonts w:eastAsiaTheme="majorEastAsia"/>
      <w:b/>
      <w:sz w:val="20"/>
      <w:szCs w:val="20"/>
    </w:rPr>
  </w:style>
  <w:style w:type="numbering" w:customStyle="1" w:styleId="AppendicesList">
    <w:name w:val="Appendices List"/>
    <w:uiPriority w:val="99"/>
    <w:rsid w:val="00433EF0"/>
    <w:pPr>
      <w:numPr>
        <w:numId w:val="1"/>
      </w:numPr>
    </w:pPr>
  </w:style>
  <w:style w:type="numbering" w:customStyle="1" w:styleId="HeadingsList">
    <w:name w:val="Headings List"/>
    <w:uiPriority w:val="99"/>
    <w:rsid w:val="00C72FB8"/>
    <w:pPr>
      <w:numPr>
        <w:numId w:val="2"/>
      </w:numPr>
    </w:pPr>
  </w:style>
  <w:style w:type="paragraph" w:styleId="BalloonText">
    <w:name w:val="Balloon Text"/>
    <w:basedOn w:val="Normal"/>
    <w:link w:val="BalloonTextChar"/>
    <w:uiPriority w:val="4"/>
    <w:rsid w:val="00A07D21"/>
    <w:pPr>
      <w:spacing w:after="0"/>
    </w:pPr>
    <w:rPr>
      <w:rFonts w:ascii="Tahoma" w:hAnsi="Tahoma" w:cs="Tahoma"/>
      <w:sz w:val="16"/>
      <w:szCs w:val="16"/>
    </w:rPr>
  </w:style>
  <w:style w:type="character" w:customStyle="1" w:styleId="BalloonTextChar">
    <w:name w:val="Balloon Text Char"/>
    <w:basedOn w:val="DefaultParagraphFont"/>
    <w:link w:val="BalloonText"/>
    <w:uiPriority w:val="4"/>
    <w:rsid w:val="007A4E28"/>
    <w:rPr>
      <w:rFonts w:ascii="Tahoma" w:hAnsi="Tahoma" w:cs="Tahoma"/>
      <w:noProof w:val="0"/>
      <w:sz w:val="16"/>
      <w:szCs w:val="16"/>
      <w:lang w:val="en-GB" w:eastAsia="ja-JP"/>
    </w:rPr>
  </w:style>
  <w:style w:type="paragraph" w:styleId="ListNumber">
    <w:name w:val="List Number"/>
    <w:basedOn w:val="Normal"/>
    <w:qFormat/>
    <w:rsid w:val="00166B4D"/>
    <w:pPr>
      <w:numPr>
        <w:ilvl w:val="5"/>
        <w:numId w:val="30"/>
      </w:numPr>
      <w:spacing w:after="120" w:line="260" w:lineRule="atLeast"/>
      <w:outlineLvl w:val="5"/>
    </w:pPr>
    <w:rPr>
      <w:rFonts w:cstheme="minorHAnsi"/>
      <w:szCs w:val="20"/>
    </w:rPr>
  </w:style>
  <w:style w:type="paragraph" w:styleId="ListBullet">
    <w:name w:val="List Bullet"/>
    <w:aliases w:val="IPA Bullet,UL,UL + Arial,9 pt,Normal + Bold,Underline,After:  12 pt,Lista con viñetas,Normal + Arial,List Bullet Title,List Bullet Title Char Char Char,List Bullet Title Char Char Char Char,List Bullet1 Char,l,list no space after,lb"/>
    <w:basedOn w:val="Normal"/>
    <w:link w:val="ListBulletChar"/>
    <w:qFormat/>
    <w:rsid w:val="00166B4D"/>
    <w:pPr>
      <w:numPr>
        <w:ilvl w:val="4"/>
        <w:numId w:val="10"/>
      </w:numPr>
      <w:spacing w:after="120" w:line="260" w:lineRule="atLeast"/>
      <w:outlineLvl w:val="4"/>
    </w:pPr>
    <w:rPr>
      <w:rFonts w:cstheme="minorHAnsi"/>
      <w:szCs w:val="20"/>
    </w:rPr>
  </w:style>
  <w:style w:type="paragraph" w:styleId="ListBullet2">
    <w:name w:val="List Bullet 2"/>
    <w:aliases w:val="Lista con viñetas 2,List Bullet 2 Char Char Char"/>
    <w:basedOn w:val="Normal"/>
    <w:qFormat/>
    <w:rsid w:val="00166B4D"/>
    <w:pPr>
      <w:numPr>
        <w:ilvl w:val="5"/>
        <w:numId w:val="10"/>
      </w:numPr>
      <w:spacing w:after="120" w:line="260" w:lineRule="atLeast"/>
      <w:outlineLvl w:val="5"/>
    </w:pPr>
    <w:rPr>
      <w:rFonts w:cstheme="minorHAnsi"/>
      <w:szCs w:val="20"/>
    </w:rPr>
  </w:style>
  <w:style w:type="paragraph" w:styleId="Header">
    <w:name w:val="header"/>
    <w:basedOn w:val="Normal"/>
    <w:link w:val="HeaderChar"/>
    <w:uiPriority w:val="4"/>
    <w:rsid w:val="00A07D21"/>
    <w:pPr>
      <w:tabs>
        <w:tab w:val="center" w:pos="4320"/>
        <w:tab w:val="right" w:pos="8640"/>
      </w:tabs>
    </w:pPr>
  </w:style>
  <w:style w:type="character" w:customStyle="1" w:styleId="HeaderChar">
    <w:name w:val="Header Char"/>
    <w:basedOn w:val="DefaultParagraphFont"/>
    <w:link w:val="Header"/>
    <w:uiPriority w:val="4"/>
    <w:rsid w:val="007A4E28"/>
    <w:rPr>
      <w:noProof w:val="0"/>
      <w:sz w:val="24"/>
      <w:szCs w:val="24"/>
      <w:lang w:val="en-GB" w:eastAsia="ja-JP"/>
    </w:rPr>
  </w:style>
  <w:style w:type="paragraph" w:styleId="Footer">
    <w:name w:val="footer"/>
    <w:basedOn w:val="Normal"/>
    <w:link w:val="FooterChar"/>
    <w:uiPriority w:val="4"/>
    <w:rsid w:val="00A07D21"/>
    <w:pPr>
      <w:tabs>
        <w:tab w:val="center" w:pos="4320"/>
        <w:tab w:val="right" w:pos="8640"/>
      </w:tabs>
    </w:pPr>
  </w:style>
  <w:style w:type="character" w:customStyle="1" w:styleId="FooterChar">
    <w:name w:val="Footer Char"/>
    <w:basedOn w:val="DefaultParagraphFont"/>
    <w:link w:val="Footer"/>
    <w:uiPriority w:val="4"/>
    <w:rsid w:val="007A4E28"/>
    <w:rPr>
      <w:noProof w:val="0"/>
      <w:sz w:val="24"/>
      <w:szCs w:val="24"/>
      <w:lang w:val="en-GB" w:eastAsia="ja-JP"/>
    </w:rPr>
  </w:style>
  <w:style w:type="paragraph" w:customStyle="1" w:styleId="HeadingU2">
    <w:name w:val="Heading U2"/>
    <w:basedOn w:val="Heading2"/>
    <w:next w:val="BodyText"/>
    <w:qFormat/>
    <w:rsid w:val="00166B4D"/>
    <w:pPr>
      <w:numPr>
        <w:ilvl w:val="0"/>
        <w:numId w:val="0"/>
      </w:numPr>
    </w:pPr>
  </w:style>
  <w:style w:type="paragraph" w:customStyle="1" w:styleId="Exhibit">
    <w:name w:val="Exhibit"/>
    <w:basedOn w:val="Normal"/>
    <w:next w:val="Normal"/>
    <w:qFormat/>
    <w:rsid w:val="00166B4D"/>
    <w:pPr>
      <w:keepLines/>
      <w:numPr>
        <w:numId w:val="31"/>
      </w:numPr>
      <w:spacing w:after="260"/>
    </w:pPr>
    <w:rPr>
      <w:i/>
    </w:rPr>
  </w:style>
  <w:style w:type="paragraph" w:styleId="Caption">
    <w:name w:val="caption"/>
    <w:basedOn w:val="Normal"/>
    <w:next w:val="Normal"/>
    <w:uiPriority w:val="99"/>
    <w:qFormat/>
    <w:rsid w:val="00166B4D"/>
    <w:pPr>
      <w:keepNext/>
      <w:keepLines/>
      <w:spacing w:after="0"/>
      <w:jc w:val="center"/>
    </w:pPr>
    <w:rPr>
      <w:b/>
      <w:bCs/>
    </w:rPr>
  </w:style>
  <w:style w:type="paragraph" w:customStyle="1" w:styleId="ClientName">
    <w:name w:val="Client Name"/>
    <w:basedOn w:val="Normal"/>
    <w:uiPriority w:val="4"/>
    <w:rsid w:val="00A07D21"/>
    <w:pPr>
      <w:spacing w:line="520" w:lineRule="atLeast"/>
    </w:pPr>
    <w:rPr>
      <w:rFonts w:asciiTheme="majorHAnsi" w:eastAsiaTheme="majorEastAsia" w:hAnsiTheme="majorHAnsi" w:cstheme="majorBidi"/>
      <w:sz w:val="44"/>
      <w:szCs w:val="44"/>
    </w:rPr>
  </w:style>
  <w:style w:type="paragraph" w:customStyle="1" w:styleId="Filestamp">
    <w:name w:val="Filestamp"/>
    <w:basedOn w:val="Normal"/>
    <w:uiPriority w:val="4"/>
    <w:rsid w:val="00A07D21"/>
    <w:pPr>
      <w:spacing w:before="460" w:line="240" w:lineRule="atLeast"/>
    </w:pPr>
    <w:rPr>
      <w:sz w:val="10"/>
      <w:szCs w:val="10"/>
    </w:rPr>
  </w:style>
  <w:style w:type="character" w:styleId="FootnoteReference">
    <w:name w:val="footnote reference"/>
    <w:basedOn w:val="DefaultParagraphFont"/>
    <w:uiPriority w:val="99"/>
    <w:semiHidden/>
    <w:rsid w:val="00A07D21"/>
    <w:rPr>
      <w:rFonts w:cstheme="minorBidi"/>
      <w:bCs w:val="0"/>
      <w:iCs w:val="0"/>
      <w:noProof w:val="0"/>
      <w:szCs w:val="24"/>
      <w:vertAlign w:val="superscript"/>
      <w:lang w:val="en-GB" w:eastAsia="ja-JP"/>
    </w:rPr>
  </w:style>
  <w:style w:type="paragraph" w:styleId="FootnoteText">
    <w:name w:val="footnote text"/>
    <w:basedOn w:val="Normal"/>
    <w:link w:val="FootnoteTextChar"/>
    <w:uiPriority w:val="99"/>
    <w:rsid w:val="00A07D21"/>
    <w:pPr>
      <w:spacing w:after="120"/>
      <w:ind w:left="360" w:hanging="360"/>
    </w:pPr>
    <w:rPr>
      <w:sz w:val="18"/>
      <w:szCs w:val="18"/>
    </w:rPr>
  </w:style>
  <w:style w:type="character" w:customStyle="1" w:styleId="FootnoteTextChar">
    <w:name w:val="Footnote Text Char"/>
    <w:basedOn w:val="DefaultParagraphFont"/>
    <w:link w:val="FootnoteText"/>
    <w:uiPriority w:val="99"/>
    <w:rsid w:val="007A4E28"/>
    <w:rPr>
      <w:noProof w:val="0"/>
      <w:sz w:val="18"/>
      <w:szCs w:val="18"/>
      <w:lang w:val="en-GB" w:eastAsia="ja-JP"/>
    </w:rPr>
  </w:style>
  <w:style w:type="paragraph" w:customStyle="1" w:styleId="LetterDate">
    <w:name w:val="Letter Date"/>
    <w:basedOn w:val="Normal"/>
    <w:next w:val="Normal"/>
    <w:uiPriority w:val="4"/>
    <w:rsid w:val="00A07D21"/>
    <w:pPr>
      <w:spacing w:line="360" w:lineRule="atLeast"/>
    </w:pPr>
    <w:rPr>
      <w:sz w:val="28"/>
      <w:szCs w:val="28"/>
    </w:rPr>
  </w:style>
  <w:style w:type="table" w:customStyle="1" w:styleId="OWGTable">
    <w:name w:val="OWG Table"/>
    <w:basedOn w:val="TableNormal"/>
    <w:uiPriority w:val="99"/>
    <w:rsid w:val="00493E59"/>
    <w:pPr>
      <w:spacing w:after="0" w:line="240" w:lineRule="auto"/>
    </w:pPr>
    <w:rPr>
      <w:rFonts w:ascii="Times New Roman" w:eastAsia="MS Mincho" w:hAnsi="Times New Roman" w:cs="Times New Roman"/>
      <w:sz w:val="20"/>
      <w:szCs w:val="20"/>
    </w:rPr>
    <w:tblPr>
      <w:jc w:val="center"/>
    </w:tblPr>
    <w:trPr>
      <w:jc w:val="center"/>
    </w:trPr>
    <w:tblStylePr w:type="firstRow">
      <w:pPr>
        <w:wordWrap/>
        <w:spacing w:afterLines="0" w:after="60" w:afterAutospacing="0"/>
      </w:pPr>
      <w:rPr>
        <w:b/>
      </w:rPr>
      <w:tblPr/>
      <w:tcPr>
        <w:tcBorders>
          <w:bottom w:val="single" w:sz="4" w:space="0" w:color="auto"/>
        </w:tcBorders>
      </w:tcPr>
    </w:tblStylePr>
    <w:tblStylePr w:type="lastRow">
      <w:tblPr/>
      <w:tcPr>
        <w:tcBorders>
          <w:bottom w:val="single" w:sz="4" w:space="0" w:color="auto"/>
        </w:tcBorders>
      </w:tcPr>
    </w:tblStylePr>
    <w:tblStylePr w:type="firstCol">
      <w:rPr>
        <w:b w:val="0"/>
      </w:rPr>
      <w:tblPr/>
      <w:tcPr>
        <w:tcBorders>
          <w:top w:val="nil"/>
          <w:left w:val="nil"/>
          <w:bottom w:val="nil"/>
          <w:right w:val="nil"/>
          <w:insideH w:val="nil"/>
          <w:insideV w:val="nil"/>
          <w:tl2br w:val="nil"/>
          <w:tr2bl w:val="nil"/>
        </w:tcBorders>
      </w:tcPr>
    </w:tblStylePr>
  </w:style>
  <w:style w:type="paragraph" w:customStyle="1" w:styleId="ReportCrossRef">
    <w:name w:val="Report Cross Ref"/>
    <w:basedOn w:val="Normal"/>
    <w:uiPriority w:val="4"/>
    <w:rsid w:val="00A07D21"/>
    <w:pPr>
      <w:spacing w:line="200" w:lineRule="atLeast"/>
    </w:pPr>
    <w:rPr>
      <w:rFonts w:asciiTheme="majorHAnsi" w:eastAsiaTheme="majorEastAsia" w:hAnsiTheme="majorHAnsi" w:cstheme="majorBidi"/>
    </w:rPr>
  </w:style>
  <w:style w:type="paragraph" w:customStyle="1" w:styleId="ReportTitle">
    <w:name w:val="Report Title"/>
    <w:basedOn w:val="Normal"/>
    <w:next w:val="LetterDate"/>
    <w:uiPriority w:val="4"/>
    <w:rsid w:val="00A07D21"/>
    <w:pPr>
      <w:spacing w:before="300" w:line="520" w:lineRule="atLeast"/>
    </w:pPr>
    <w:rPr>
      <w:rFonts w:asciiTheme="majorHAnsi" w:eastAsiaTheme="majorEastAsia" w:hAnsiTheme="majorHAnsi" w:cstheme="majorBidi"/>
      <w:b/>
      <w:sz w:val="44"/>
      <w:szCs w:val="44"/>
    </w:rPr>
  </w:style>
  <w:style w:type="paragraph" w:styleId="Subtitle">
    <w:name w:val="Subtitle"/>
    <w:basedOn w:val="Title"/>
    <w:link w:val="SubtitleChar"/>
    <w:uiPriority w:val="4"/>
    <w:rsid w:val="00A07D21"/>
    <w:rPr>
      <w:caps w:val="0"/>
      <w:sz w:val="28"/>
      <w:szCs w:val="28"/>
    </w:rPr>
  </w:style>
  <w:style w:type="character" w:customStyle="1" w:styleId="SubtitleChar">
    <w:name w:val="Subtitle Char"/>
    <w:basedOn w:val="DefaultParagraphFont"/>
    <w:link w:val="Subtitle"/>
    <w:uiPriority w:val="4"/>
    <w:rsid w:val="007A4E28"/>
    <w:rPr>
      <w:rFonts w:asciiTheme="majorHAnsi" w:eastAsiaTheme="majorEastAsia" w:hAnsiTheme="majorHAnsi" w:cstheme="majorBidi"/>
      <w:b/>
      <w:noProof w:val="0"/>
      <w:sz w:val="28"/>
      <w:szCs w:val="28"/>
      <w:lang w:val="en-GB" w:eastAsia="ja-JP"/>
    </w:rPr>
  </w:style>
  <w:style w:type="paragraph" w:styleId="Title">
    <w:name w:val="Title"/>
    <w:basedOn w:val="Normal"/>
    <w:link w:val="TitleChar"/>
    <w:uiPriority w:val="4"/>
    <w:rsid w:val="00A07D21"/>
    <w:pPr>
      <w:keepNext/>
      <w:keepLines/>
      <w:spacing w:after="0"/>
      <w:jc w:val="center"/>
    </w:pPr>
    <w:rPr>
      <w:rFonts w:asciiTheme="majorHAnsi" w:eastAsiaTheme="majorEastAsia" w:hAnsiTheme="majorHAnsi" w:cstheme="majorBidi"/>
      <w:b/>
      <w:caps/>
      <w:sz w:val="36"/>
      <w:szCs w:val="36"/>
    </w:rPr>
  </w:style>
  <w:style w:type="character" w:customStyle="1" w:styleId="TitleChar">
    <w:name w:val="Title Char"/>
    <w:basedOn w:val="DefaultParagraphFont"/>
    <w:link w:val="Title"/>
    <w:uiPriority w:val="4"/>
    <w:rsid w:val="007A4E28"/>
    <w:rPr>
      <w:rFonts w:asciiTheme="majorHAnsi" w:eastAsiaTheme="majorEastAsia" w:hAnsiTheme="majorHAnsi" w:cstheme="majorBidi"/>
      <w:b/>
      <w:caps/>
      <w:noProof w:val="0"/>
      <w:sz w:val="36"/>
      <w:szCs w:val="36"/>
      <w:lang w:val="en-GB" w:eastAsia="ja-JP"/>
    </w:rPr>
  </w:style>
  <w:style w:type="paragraph" w:customStyle="1" w:styleId="TextBox">
    <w:name w:val="TextBox"/>
    <w:basedOn w:val="Normal"/>
    <w:next w:val="Normal"/>
    <w:qFormat/>
    <w:rsid w:val="00166B4D"/>
    <w:pPr>
      <w:pBdr>
        <w:top w:val="single" w:sz="6" w:space="12" w:color="auto"/>
        <w:left w:val="single" w:sz="6" w:space="12" w:color="auto"/>
        <w:bottom w:val="single" w:sz="6" w:space="12" w:color="auto"/>
        <w:right w:val="single" w:sz="6" w:space="12" w:color="auto"/>
      </w:pBdr>
      <w:spacing w:after="300"/>
      <w:ind w:left="288" w:right="302"/>
    </w:pPr>
  </w:style>
  <w:style w:type="paragraph" w:customStyle="1" w:styleId="TextBoxBullet">
    <w:name w:val="TextBoxBullet"/>
    <w:basedOn w:val="ListBullet"/>
    <w:qFormat/>
    <w:rsid w:val="00166B4D"/>
    <w:pPr>
      <w:numPr>
        <w:ilvl w:val="0"/>
        <w:numId w:val="0"/>
      </w:numPr>
      <w:pBdr>
        <w:top w:val="single" w:sz="4" w:space="12" w:color="auto"/>
        <w:left w:val="single" w:sz="4" w:space="12" w:color="auto"/>
        <w:bottom w:val="single" w:sz="4" w:space="12" w:color="auto"/>
        <w:right w:val="single" w:sz="4" w:space="12" w:color="auto"/>
      </w:pBdr>
      <w:ind w:right="301"/>
    </w:pPr>
  </w:style>
  <w:style w:type="paragraph" w:styleId="TOC1">
    <w:name w:val="toc 1"/>
    <w:basedOn w:val="Heading1"/>
    <w:next w:val="Normal"/>
    <w:uiPriority w:val="39"/>
    <w:qFormat/>
    <w:rsid w:val="001E3554"/>
    <w:pPr>
      <w:keepNext w:val="0"/>
      <w:numPr>
        <w:numId w:val="0"/>
      </w:numPr>
      <w:tabs>
        <w:tab w:val="left" w:pos="1354"/>
        <w:tab w:val="right" w:pos="8640"/>
      </w:tabs>
      <w:suppressAutoHyphens/>
      <w:spacing w:before="240" w:after="0"/>
      <w:ind w:left="936" w:right="1077" w:hanging="936"/>
      <w:outlineLvl w:val="9"/>
    </w:pPr>
  </w:style>
  <w:style w:type="paragraph" w:styleId="TOC2">
    <w:name w:val="toc 2"/>
    <w:basedOn w:val="TOC1"/>
    <w:next w:val="Normal"/>
    <w:uiPriority w:val="39"/>
    <w:unhideWhenUsed/>
    <w:qFormat/>
    <w:rsid w:val="00480A3B"/>
    <w:pPr>
      <w:spacing w:before="0"/>
    </w:pPr>
    <w:rPr>
      <w:b w:val="0"/>
      <w:sz w:val="26"/>
      <w:szCs w:val="26"/>
    </w:rPr>
  </w:style>
  <w:style w:type="paragraph" w:styleId="TOC3">
    <w:name w:val="toc 3"/>
    <w:basedOn w:val="TOC2"/>
    <w:next w:val="Normal"/>
    <w:unhideWhenUsed/>
    <w:qFormat/>
    <w:rsid w:val="00A07D21"/>
  </w:style>
  <w:style w:type="paragraph" w:styleId="TOC4">
    <w:name w:val="toc 4"/>
    <w:basedOn w:val="TOC3"/>
    <w:next w:val="Normal"/>
    <w:unhideWhenUsed/>
    <w:rsid w:val="00A07D21"/>
    <w:pPr>
      <w:tabs>
        <w:tab w:val="clear" w:pos="1354"/>
        <w:tab w:val="left" w:pos="1350"/>
      </w:tabs>
      <w:ind w:left="1296" w:hanging="1296"/>
    </w:pPr>
  </w:style>
  <w:style w:type="paragraph" w:styleId="TOC5">
    <w:name w:val="toc 5"/>
    <w:basedOn w:val="TOC4"/>
    <w:next w:val="Normal"/>
    <w:unhideWhenUsed/>
    <w:rsid w:val="00A07D21"/>
  </w:style>
  <w:style w:type="paragraph" w:styleId="TOC6">
    <w:name w:val="toc 6"/>
    <w:basedOn w:val="TOC1"/>
    <w:next w:val="Normal"/>
    <w:autoRedefine/>
    <w:unhideWhenUsed/>
    <w:rsid w:val="00A07D21"/>
    <w:pPr>
      <w:tabs>
        <w:tab w:val="left" w:pos="1980"/>
      </w:tabs>
    </w:pPr>
  </w:style>
  <w:style w:type="paragraph" w:styleId="TOC7">
    <w:name w:val="toc 7"/>
    <w:basedOn w:val="Normal"/>
    <w:next w:val="Normal"/>
    <w:autoRedefine/>
    <w:unhideWhenUsed/>
    <w:rsid w:val="00A07D21"/>
    <w:pPr>
      <w:tabs>
        <w:tab w:val="right" w:pos="9029"/>
      </w:tabs>
      <w:spacing w:after="300" w:line="271" w:lineRule="auto"/>
      <w:ind w:left="1320"/>
      <w:jc w:val="both"/>
    </w:pPr>
    <w:rPr>
      <w:sz w:val="20"/>
      <w:szCs w:val="20"/>
    </w:rPr>
  </w:style>
  <w:style w:type="paragraph" w:styleId="TOC8">
    <w:name w:val="toc 8"/>
    <w:basedOn w:val="Normal"/>
    <w:next w:val="Normal"/>
    <w:autoRedefine/>
    <w:unhideWhenUsed/>
    <w:rsid w:val="00A07D21"/>
    <w:pPr>
      <w:tabs>
        <w:tab w:val="right" w:pos="9029"/>
      </w:tabs>
      <w:spacing w:after="300" w:line="271" w:lineRule="auto"/>
      <w:ind w:left="1540"/>
      <w:jc w:val="both"/>
    </w:pPr>
    <w:rPr>
      <w:sz w:val="20"/>
      <w:szCs w:val="20"/>
    </w:rPr>
  </w:style>
  <w:style w:type="paragraph" w:styleId="TOC9">
    <w:name w:val="toc 9"/>
    <w:basedOn w:val="Normal"/>
    <w:next w:val="Normal"/>
    <w:autoRedefine/>
    <w:unhideWhenUsed/>
    <w:rsid w:val="00A07D21"/>
    <w:pPr>
      <w:tabs>
        <w:tab w:val="right" w:pos="9029"/>
      </w:tabs>
      <w:spacing w:after="300" w:line="271" w:lineRule="auto"/>
      <w:ind w:left="1760"/>
      <w:jc w:val="both"/>
    </w:pPr>
    <w:rPr>
      <w:sz w:val="20"/>
      <w:szCs w:val="20"/>
    </w:rPr>
  </w:style>
  <w:style w:type="paragraph" w:styleId="TOCHeading">
    <w:name w:val="TOC Heading"/>
    <w:basedOn w:val="Normal"/>
    <w:uiPriority w:val="4"/>
    <w:rsid w:val="008A7828"/>
    <w:pPr>
      <w:spacing w:before="300" w:after="0" w:line="360" w:lineRule="atLeast"/>
    </w:pPr>
    <w:rPr>
      <w:rFonts w:asciiTheme="majorHAnsi" w:eastAsiaTheme="majorEastAsia" w:hAnsiTheme="majorHAnsi" w:cstheme="majorBidi"/>
      <w:b/>
      <w:sz w:val="28"/>
      <w:szCs w:val="28"/>
    </w:rPr>
  </w:style>
  <w:style w:type="paragraph" w:styleId="BodyText">
    <w:name w:val="Body Text"/>
    <w:aliases w:val="Body,Text,2 + justified,by,2 + justified + 14 pt,Bold,Custom Color(RGB(51,63,127)),2 + 14 pt,Italic,Custom Color(RGB(0,36,126)),Justified + 14 pt,Ita..."/>
    <w:basedOn w:val="Normal"/>
    <w:link w:val="BodyTextChar"/>
    <w:qFormat/>
    <w:rsid w:val="00166B4D"/>
  </w:style>
  <w:style w:type="character" w:customStyle="1" w:styleId="BodyTextChar">
    <w:name w:val="Body Text Char"/>
    <w:aliases w:val="Body Char,Text Char,2 + justified Char,by Char,2 + justified + 14 pt Char,Bold Char,Custom Color(RGB(51 Char,63 Char,127)) Char,2 + 14 pt Char,Italic Char,Custom Color(RGB(0 Char,36 Char,126)) Char,Justified + 14 pt Char,Ita... Char"/>
    <w:basedOn w:val="DefaultParagraphFont"/>
    <w:link w:val="BodyText"/>
    <w:rsid w:val="00166B4D"/>
    <w:rPr>
      <w:sz w:val="24"/>
      <w:szCs w:val="24"/>
      <w:lang w:val="en-GB" w:eastAsia="ja-JP"/>
    </w:rPr>
  </w:style>
  <w:style w:type="paragraph" w:customStyle="1" w:styleId="DocNum">
    <w:name w:val="DocNum"/>
    <w:basedOn w:val="Normal"/>
    <w:uiPriority w:val="4"/>
    <w:rsid w:val="00A07D21"/>
    <w:pPr>
      <w:spacing w:after="0"/>
    </w:pPr>
    <w:rPr>
      <w:rFonts w:asciiTheme="majorHAnsi" w:eastAsiaTheme="majorEastAsia" w:hAnsiTheme="majorHAnsi" w:cstheme="majorBidi"/>
      <w:sz w:val="14"/>
      <w:szCs w:val="14"/>
    </w:rPr>
  </w:style>
  <w:style w:type="numbering" w:customStyle="1" w:styleId="ParagraphNumbering">
    <w:name w:val="Paragraph Numbering"/>
    <w:uiPriority w:val="99"/>
    <w:rsid w:val="00BA2DB9"/>
    <w:pPr>
      <w:numPr>
        <w:numId w:val="3"/>
      </w:numPr>
    </w:pPr>
  </w:style>
  <w:style w:type="character" w:styleId="PlaceholderText">
    <w:name w:val="Placeholder Text"/>
    <w:basedOn w:val="DefaultParagraphFont"/>
    <w:uiPriority w:val="99"/>
    <w:semiHidden/>
    <w:rsid w:val="00A07D21"/>
    <w:rPr>
      <w:rFonts w:cstheme="minorBidi"/>
      <w:bCs w:val="0"/>
      <w:iCs w:val="0"/>
      <w:noProof w:val="0"/>
      <w:color w:val="808080"/>
      <w:szCs w:val="24"/>
      <w:lang w:val="en-GB" w:eastAsia="ja-JP"/>
    </w:rPr>
  </w:style>
  <w:style w:type="paragraph" w:customStyle="1" w:styleId="Table">
    <w:name w:val="Table"/>
    <w:basedOn w:val="Normal"/>
    <w:uiPriority w:val="4"/>
    <w:qFormat/>
    <w:rsid w:val="00166B4D"/>
    <w:pPr>
      <w:keepNext/>
      <w:spacing w:after="0"/>
      <w:jc w:val="both"/>
    </w:pPr>
    <w:rPr>
      <w:rFonts w:asciiTheme="majorHAnsi" w:eastAsiaTheme="majorEastAsia" w:hAnsiTheme="majorHAnsi" w:cstheme="majorBidi"/>
    </w:rPr>
  </w:style>
  <w:style w:type="paragraph" w:customStyle="1" w:styleId="TableLogoText">
    <w:name w:val="Table Logo Text"/>
    <w:basedOn w:val="Normal"/>
    <w:rsid w:val="00A07D21"/>
    <w:rPr>
      <w:rFonts w:asciiTheme="majorHAnsi" w:eastAsiaTheme="majorEastAsia" w:hAnsiTheme="majorHAnsi" w:cstheme="majorBidi"/>
    </w:rPr>
  </w:style>
  <w:style w:type="table" w:styleId="TableGrid">
    <w:name w:val="Table Grid"/>
    <w:basedOn w:val="TableNormal"/>
    <w:rsid w:val="00A07D21"/>
    <w:pPr>
      <w:spacing w:after="24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A07D21"/>
    <w:pPr>
      <w:numPr>
        <w:numId w:val="4"/>
      </w:numPr>
    </w:pPr>
  </w:style>
  <w:style w:type="numbering" w:styleId="1ai">
    <w:name w:val="Outline List 1"/>
    <w:basedOn w:val="NoList"/>
    <w:rsid w:val="00A07D21"/>
    <w:pPr>
      <w:numPr>
        <w:numId w:val="5"/>
      </w:numPr>
    </w:pPr>
  </w:style>
  <w:style w:type="numbering" w:styleId="ArticleSection">
    <w:name w:val="Outline List 3"/>
    <w:basedOn w:val="NoList"/>
    <w:rsid w:val="00A07D21"/>
    <w:pPr>
      <w:numPr>
        <w:numId w:val="6"/>
      </w:numPr>
    </w:pPr>
  </w:style>
  <w:style w:type="paragraph" w:styleId="Bibliography">
    <w:name w:val="Bibliography"/>
    <w:basedOn w:val="Normal"/>
    <w:next w:val="Normal"/>
    <w:uiPriority w:val="37"/>
    <w:semiHidden/>
    <w:unhideWhenUsed/>
    <w:rsid w:val="00A07D21"/>
  </w:style>
  <w:style w:type="paragraph" w:styleId="BlockText">
    <w:name w:val="Block Text"/>
    <w:basedOn w:val="Normal"/>
    <w:uiPriority w:val="4"/>
    <w:rsid w:val="00A07D21"/>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i/>
      <w:iCs/>
      <w:color w:val="4F81BD" w:themeColor="accent1"/>
    </w:rPr>
  </w:style>
  <w:style w:type="paragraph" w:styleId="BodyText2">
    <w:name w:val="Body Text 2"/>
    <w:basedOn w:val="Normal"/>
    <w:link w:val="BodyText2Char"/>
    <w:uiPriority w:val="4"/>
    <w:semiHidden/>
    <w:rsid w:val="00A07D21"/>
    <w:pPr>
      <w:spacing w:line="480" w:lineRule="auto"/>
    </w:pPr>
  </w:style>
  <w:style w:type="character" w:customStyle="1" w:styleId="BodyText2Char">
    <w:name w:val="Body Text 2 Char"/>
    <w:basedOn w:val="DefaultParagraphFont"/>
    <w:link w:val="BodyText2"/>
    <w:uiPriority w:val="4"/>
    <w:semiHidden/>
    <w:rsid w:val="007A4E28"/>
    <w:rPr>
      <w:noProof w:val="0"/>
      <w:sz w:val="24"/>
      <w:szCs w:val="24"/>
      <w:lang w:val="en-GB" w:eastAsia="ja-JP"/>
    </w:rPr>
  </w:style>
  <w:style w:type="paragraph" w:styleId="BodyText3">
    <w:name w:val="Body Text 3"/>
    <w:basedOn w:val="Normal"/>
    <w:link w:val="BodyText3Char"/>
    <w:uiPriority w:val="4"/>
    <w:semiHidden/>
    <w:rsid w:val="00A07D21"/>
    <w:rPr>
      <w:sz w:val="16"/>
      <w:szCs w:val="16"/>
    </w:rPr>
  </w:style>
  <w:style w:type="character" w:customStyle="1" w:styleId="BodyText3Char">
    <w:name w:val="Body Text 3 Char"/>
    <w:basedOn w:val="DefaultParagraphFont"/>
    <w:link w:val="BodyText3"/>
    <w:uiPriority w:val="4"/>
    <w:semiHidden/>
    <w:rsid w:val="007A4E28"/>
    <w:rPr>
      <w:noProof w:val="0"/>
      <w:sz w:val="16"/>
      <w:szCs w:val="16"/>
      <w:lang w:val="en-GB" w:eastAsia="ja-JP"/>
    </w:rPr>
  </w:style>
  <w:style w:type="paragraph" w:styleId="BodyTextFirstIndent">
    <w:name w:val="Body Text First Indent"/>
    <w:basedOn w:val="BodyText"/>
    <w:link w:val="BodyTextFirstIndentChar"/>
    <w:qFormat/>
    <w:rsid w:val="00166B4D"/>
    <w:pPr>
      <w:ind w:firstLine="360"/>
    </w:pPr>
  </w:style>
  <w:style w:type="character" w:customStyle="1" w:styleId="BodyTextFirstIndentChar">
    <w:name w:val="Body Text First Indent Char"/>
    <w:basedOn w:val="BodyTextChar"/>
    <w:link w:val="BodyTextFirstIndent"/>
    <w:rsid w:val="00166B4D"/>
    <w:rPr>
      <w:sz w:val="24"/>
      <w:szCs w:val="24"/>
      <w:lang w:val="en-GB" w:eastAsia="ja-JP"/>
    </w:rPr>
  </w:style>
  <w:style w:type="paragraph" w:styleId="BodyTextIndent">
    <w:name w:val="Body Text Indent"/>
    <w:basedOn w:val="BodyText"/>
    <w:link w:val="BodyTextIndentChar"/>
    <w:qFormat/>
    <w:rsid w:val="00166B4D"/>
    <w:pPr>
      <w:ind w:left="360"/>
    </w:pPr>
  </w:style>
  <w:style w:type="character" w:customStyle="1" w:styleId="BodyTextIndentChar">
    <w:name w:val="Body Text Indent Char"/>
    <w:basedOn w:val="DefaultParagraphFont"/>
    <w:link w:val="BodyTextIndent"/>
    <w:rsid w:val="00166B4D"/>
    <w:rPr>
      <w:sz w:val="24"/>
      <w:szCs w:val="24"/>
      <w:lang w:val="en-GB" w:eastAsia="ja-JP"/>
    </w:rPr>
  </w:style>
  <w:style w:type="paragraph" w:styleId="BodyTextFirstIndent2">
    <w:name w:val="Body Text First Indent 2"/>
    <w:basedOn w:val="BodyTextIndent"/>
    <w:link w:val="BodyTextFirstIndent2Char"/>
    <w:uiPriority w:val="4"/>
    <w:semiHidden/>
    <w:rsid w:val="00A07D21"/>
    <w:pPr>
      <w:ind w:firstLine="360"/>
    </w:pPr>
  </w:style>
  <w:style w:type="character" w:customStyle="1" w:styleId="BodyTextFirstIndent2Char">
    <w:name w:val="Body Text First Indent 2 Char"/>
    <w:basedOn w:val="BodyTextIndentChar"/>
    <w:link w:val="BodyTextFirstIndent2"/>
    <w:uiPriority w:val="4"/>
    <w:semiHidden/>
    <w:rsid w:val="007A4E28"/>
    <w:rPr>
      <w:noProof w:val="0"/>
      <w:sz w:val="24"/>
      <w:szCs w:val="24"/>
      <w:lang w:val="en-GB" w:eastAsia="ja-JP"/>
    </w:rPr>
  </w:style>
  <w:style w:type="paragraph" w:styleId="BodyTextIndent2">
    <w:name w:val="Body Text Indent 2"/>
    <w:basedOn w:val="BodyText2"/>
    <w:link w:val="BodyTextIndent2Char"/>
    <w:uiPriority w:val="4"/>
    <w:semiHidden/>
    <w:rsid w:val="00312A7C"/>
    <w:pPr>
      <w:ind w:left="360"/>
    </w:pPr>
  </w:style>
  <w:style w:type="character" w:customStyle="1" w:styleId="BodyTextIndent2Char">
    <w:name w:val="Body Text Indent 2 Char"/>
    <w:basedOn w:val="DefaultParagraphFont"/>
    <w:link w:val="BodyTextIndent2"/>
    <w:uiPriority w:val="4"/>
    <w:semiHidden/>
    <w:rsid w:val="007A4E28"/>
    <w:rPr>
      <w:noProof w:val="0"/>
      <w:sz w:val="24"/>
      <w:szCs w:val="24"/>
      <w:lang w:val="en-GB" w:eastAsia="ja-JP"/>
    </w:rPr>
  </w:style>
  <w:style w:type="paragraph" w:styleId="BodyTextIndent3">
    <w:name w:val="Body Text Indent 3"/>
    <w:basedOn w:val="BodyText3"/>
    <w:link w:val="BodyTextIndent3Char"/>
    <w:uiPriority w:val="4"/>
    <w:semiHidden/>
    <w:rsid w:val="00312A7C"/>
    <w:pPr>
      <w:ind w:left="360"/>
    </w:pPr>
  </w:style>
  <w:style w:type="character" w:customStyle="1" w:styleId="BodyTextIndent3Char">
    <w:name w:val="Body Text Indent 3 Char"/>
    <w:basedOn w:val="DefaultParagraphFont"/>
    <w:link w:val="BodyTextIndent3"/>
    <w:uiPriority w:val="4"/>
    <w:semiHidden/>
    <w:rsid w:val="007A4E28"/>
    <w:rPr>
      <w:noProof w:val="0"/>
      <w:sz w:val="16"/>
      <w:szCs w:val="16"/>
      <w:lang w:val="en-GB" w:eastAsia="ja-JP"/>
    </w:rPr>
  </w:style>
  <w:style w:type="character" w:styleId="BookTitle">
    <w:name w:val="Book Title"/>
    <w:basedOn w:val="DefaultParagraphFont"/>
    <w:uiPriority w:val="33"/>
    <w:rsid w:val="00A07D21"/>
    <w:rPr>
      <w:rFonts w:cstheme="minorBidi"/>
      <w:b/>
      <w:bCs/>
      <w:iCs w:val="0"/>
      <w:smallCaps/>
      <w:noProof w:val="0"/>
      <w:spacing w:val="5"/>
      <w:szCs w:val="24"/>
      <w:lang w:val="en-GB" w:eastAsia="ja-JP"/>
    </w:rPr>
  </w:style>
  <w:style w:type="paragraph" w:styleId="Closing">
    <w:name w:val="Closing"/>
    <w:basedOn w:val="Normal"/>
    <w:link w:val="ClosingChar"/>
    <w:uiPriority w:val="4"/>
    <w:rsid w:val="00A07D21"/>
    <w:pPr>
      <w:spacing w:after="0"/>
      <w:ind w:left="4252"/>
    </w:pPr>
  </w:style>
  <w:style w:type="character" w:customStyle="1" w:styleId="ClosingChar">
    <w:name w:val="Closing Char"/>
    <w:basedOn w:val="DefaultParagraphFont"/>
    <w:link w:val="Closing"/>
    <w:uiPriority w:val="4"/>
    <w:rsid w:val="007A4E28"/>
    <w:rPr>
      <w:noProof w:val="0"/>
      <w:sz w:val="24"/>
      <w:szCs w:val="24"/>
      <w:lang w:val="en-GB" w:eastAsia="ja-JP"/>
    </w:rPr>
  </w:style>
  <w:style w:type="table" w:styleId="ColorfulGrid">
    <w:name w:val="Colorful Grid"/>
    <w:basedOn w:val="TableNormal"/>
    <w:uiPriority w:val="73"/>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4"/>
    <w:rsid w:val="00A07D21"/>
    <w:rPr>
      <w:rFonts w:cstheme="minorBidi"/>
      <w:bCs w:val="0"/>
      <w:iCs w:val="0"/>
      <w:noProof w:val="0"/>
      <w:sz w:val="16"/>
      <w:szCs w:val="16"/>
      <w:lang w:val="en-GB" w:eastAsia="ja-JP"/>
    </w:rPr>
  </w:style>
  <w:style w:type="paragraph" w:styleId="CommentText">
    <w:name w:val="annotation text"/>
    <w:basedOn w:val="Normal"/>
    <w:link w:val="CommentTextChar"/>
    <w:uiPriority w:val="4"/>
    <w:rsid w:val="00A07D21"/>
    <w:rPr>
      <w:sz w:val="20"/>
    </w:rPr>
  </w:style>
  <w:style w:type="character" w:customStyle="1" w:styleId="CommentTextChar">
    <w:name w:val="Comment Text Char"/>
    <w:basedOn w:val="DefaultParagraphFont"/>
    <w:link w:val="CommentText"/>
    <w:uiPriority w:val="4"/>
    <w:rsid w:val="007A4E28"/>
    <w:rPr>
      <w:noProof w:val="0"/>
      <w:sz w:val="20"/>
      <w:szCs w:val="24"/>
      <w:lang w:val="en-GB" w:eastAsia="ja-JP"/>
    </w:rPr>
  </w:style>
  <w:style w:type="paragraph" w:styleId="CommentSubject">
    <w:name w:val="annotation subject"/>
    <w:basedOn w:val="CommentText"/>
    <w:next w:val="CommentText"/>
    <w:link w:val="CommentSubjectChar"/>
    <w:uiPriority w:val="4"/>
    <w:rsid w:val="00A07D21"/>
    <w:rPr>
      <w:b/>
      <w:bCs/>
    </w:rPr>
  </w:style>
  <w:style w:type="character" w:customStyle="1" w:styleId="CommentSubjectChar">
    <w:name w:val="Comment Subject Char"/>
    <w:basedOn w:val="CommentTextChar"/>
    <w:link w:val="CommentSubject"/>
    <w:uiPriority w:val="4"/>
    <w:rsid w:val="007A4E28"/>
    <w:rPr>
      <w:b/>
      <w:bCs/>
      <w:noProof w:val="0"/>
      <w:sz w:val="20"/>
      <w:szCs w:val="24"/>
      <w:lang w:val="en-GB" w:eastAsia="ja-JP"/>
    </w:rPr>
  </w:style>
  <w:style w:type="table" w:styleId="DarkList">
    <w:name w:val="Dark List"/>
    <w:basedOn w:val="TableNormal"/>
    <w:uiPriority w:val="70"/>
    <w:rsid w:val="00A07D21"/>
    <w:pPr>
      <w:spacing w:after="0" w:line="240" w:lineRule="auto"/>
    </w:pPr>
    <w:rPr>
      <w:rFonts w:ascii="Times New Roman" w:eastAsia="Times New Roman" w:hAnsi="Times New Roman" w:cs="Times New Roman"/>
      <w:color w:val="FFFFFF" w:themeColor="background1"/>
      <w:sz w:val="20"/>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A07D21"/>
    <w:pPr>
      <w:spacing w:after="0" w:line="240" w:lineRule="auto"/>
    </w:pPr>
    <w:rPr>
      <w:rFonts w:ascii="Times New Roman" w:eastAsia="Times New Roman" w:hAnsi="Times New Roman" w:cs="Times New Roman"/>
      <w:color w:val="FFFFFF" w:themeColor="background1"/>
      <w:sz w:val="20"/>
      <w:szCs w:val="20"/>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A07D21"/>
    <w:pPr>
      <w:spacing w:after="0" w:line="240" w:lineRule="auto"/>
    </w:pPr>
    <w:rPr>
      <w:rFonts w:ascii="Times New Roman" w:eastAsia="Times New Roman" w:hAnsi="Times New Roman" w:cs="Times New Roman"/>
      <w:color w:val="FFFFFF" w:themeColor="background1"/>
      <w:sz w:val="20"/>
      <w:szCs w:val="20"/>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A07D21"/>
    <w:pPr>
      <w:spacing w:after="0" w:line="240" w:lineRule="auto"/>
    </w:pPr>
    <w:rPr>
      <w:rFonts w:ascii="Times New Roman" w:eastAsia="Times New Roman" w:hAnsi="Times New Roman" w:cs="Times New Roman"/>
      <w:color w:val="FFFFFF" w:themeColor="background1"/>
      <w:sz w:val="20"/>
      <w:szCs w:val="20"/>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A07D21"/>
    <w:pPr>
      <w:spacing w:after="0" w:line="240" w:lineRule="auto"/>
    </w:pPr>
    <w:rPr>
      <w:rFonts w:ascii="Times New Roman" w:eastAsia="Times New Roman" w:hAnsi="Times New Roman" w:cs="Times New Roman"/>
      <w:color w:val="FFFFFF" w:themeColor="background1"/>
      <w:sz w:val="20"/>
      <w:szCs w:val="20"/>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A07D21"/>
    <w:pPr>
      <w:spacing w:after="0" w:line="240" w:lineRule="auto"/>
    </w:pPr>
    <w:rPr>
      <w:rFonts w:ascii="Times New Roman" w:eastAsia="Times New Roman" w:hAnsi="Times New Roman" w:cs="Times New Roman"/>
      <w:color w:val="FFFFFF" w:themeColor="background1"/>
      <w:sz w:val="20"/>
      <w:szCs w:val="20"/>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A07D21"/>
    <w:pPr>
      <w:spacing w:after="0" w:line="240" w:lineRule="auto"/>
    </w:pPr>
    <w:rPr>
      <w:rFonts w:ascii="Times New Roman" w:eastAsia="Times New Roman" w:hAnsi="Times New Roman" w:cs="Times New Roman"/>
      <w:color w:val="FFFFFF" w:themeColor="background1"/>
      <w:sz w:val="20"/>
      <w:szCs w:val="20"/>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4"/>
    <w:rsid w:val="00A07D21"/>
  </w:style>
  <w:style w:type="character" w:customStyle="1" w:styleId="DateChar">
    <w:name w:val="Date Char"/>
    <w:basedOn w:val="DefaultParagraphFont"/>
    <w:link w:val="Date"/>
    <w:uiPriority w:val="4"/>
    <w:rsid w:val="007A4E28"/>
    <w:rPr>
      <w:noProof w:val="0"/>
      <w:sz w:val="24"/>
      <w:szCs w:val="24"/>
      <w:lang w:val="en-GB" w:eastAsia="ja-JP"/>
    </w:rPr>
  </w:style>
  <w:style w:type="paragraph" w:styleId="DocumentMap">
    <w:name w:val="Document Map"/>
    <w:basedOn w:val="Normal"/>
    <w:link w:val="DocumentMapChar"/>
    <w:uiPriority w:val="4"/>
    <w:rsid w:val="00A07D21"/>
    <w:pPr>
      <w:spacing w:after="0"/>
    </w:pPr>
    <w:rPr>
      <w:rFonts w:cs="Tahoma"/>
      <w:sz w:val="16"/>
      <w:szCs w:val="16"/>
    </w:rPr>
  </w:style>
  <w:style w:type="character" w:customStyle="1" w:styleId="DocumentMapChar">
    <w:name w:val="Document Map Char"/>
    <w:basedOn w:val="DefaultParagraphFont"/>
    <w:link w:val="DocumentMap"/>
    <w:uiPriority w:val="4"/>
    <w:rsid w:val="007A4E28"/>
    <w:rPr>
      <w:rFonts w:cs="Tahoma"/>
      <w:noProof w:val="0"/>
      <w:sz w:val="16"/>
      <w:szCs w:val="16"/>
      <w:lang w:val="en-GB" w:eastAsia="ja-JP"/>
    </w:rPr>
  </w:style>
  <w:style w:type="paragraph" w:styleId="E-mailSignature">
    <w:name w:val="E-mail Signature"/>
    <w:basedOn w:val="Normal"/>
    <w:link w:val="E-mailSignatureChar"/>
    <w:uiPriority w:val="4"/>
    <w:rsid w:val="00A07D21"/>
    <w:pPr>
      <w:spacing w:after="0"/>
    </w:pPr>
  </w:style>
  <w:style w:type="character" w:customStyle="1" w:styleId="E-mailSignatureChar">
    <w:name w:val="E-mail Signature Char"/>
    <w:basedOn w:val="DefaultParagraphFont"/>
    <w:link w:val="E-mailSignature"/>
    <w:uiPriority w:val="4"/>
    <w:rsid w:val="007A4E28"/>
    <w:rPr>
      <w:noProof w:val="0"/>
      <w:sz w:val="24"/>
      <w:szCs w:val="24"/>
      <w:lang w:val="en-GB" w:eastAsia="ja-JP"/>
    </w:rPr>
  </w:style>
  <w:style w:type="character" w:styleId="Emphasis">
    <w:name w:val="Emphasis"/>
    <w:basedOn w:val="DefaultParagraphFont"/>
    <w:uiPriority w:val="4"/>
    <w:rsid w:val="00A07D21"/>
    <w:rPr>
      <w:rFonts w:cstheme="minorBidi"/>
      <w:bCs w:val="0"/>
      <w:i/>
      <w:iCs/>
      <w:noProof w:val="0"/>
      <w:szCs w:val="24"/>
      <w:lang w:val="en-GB" w:eastAsia="ja-JP"/>
    </w:rPr>
  </w:style>
  <w:style w:type="character" w:styleId="EndnoteReference">
    <w:name w:val="endnote reference"/>
    <w:basedOn w:val="DefaultParagraphFont"/>
    <w:uiPriority w:val="4"/>
    <w:rsid w:val="00A07D21"/>
    <w:rPr>
      <w:rFonts w:cstheme="minorBidi"/>
      <w:bCs w:val="0"/>
      <w:iCs w:val="0"/>
      <w:noProof w:val="0"/>
      <w:szCs w:val="24"/>
      <w:vertAlign w:val="superscript"/>
      <w:lang w:val="en-GB" w:eastAsia="ja-JP"/>
    </w:rPr>
  </w:style>
  <w:style w:type="paragraph" w:styleId="EndnoteText">
    <w:name w:val="endnote text"/>
    <w:basedOn w:val="Normal"/>
    <w:link w:val="EndnoteTextChar"/>
    <w:uiPriority w:val="4"/>
    <w:rsid w:val="00A07D21"/>
    <w:pPr>
      <w:spacing w:after="0"/>
    </w:pPr>
    <w:rPr>
      <w:sz w:val="20"/>
    </w:rPr>
  </w:style>
  <w:style w:type="character" w:customStyle="1" w:styleId="EndnoteTextChar">
    <w:name w:val="Endnote Text Char"/>
    <w:basedOn w:val="DefaultParagraphFont"/>
    <w:link w:val="EndnoteText"/>
    <w:uiPriority w:val="4"/>
    <w:rsid w:val="007A4E28"/>
    <w:rPr>
      <w:noProof w:val="0"/>
      <w:sz w:val="20"/>
      <w:szCs w:val="24"/>
      <w:lang w:val="en-GB" w:eastAsia="ja-JP"/>
    </w:rPr>
  </w:style>
  <w:style w:type="paragraph" w:styleId="EnvelopeAddress">
    <w:name w:val="envelope address"/>
    <w:basedOn w:val="Normal"/>
    <w:uiPriority w:val="4"/>
    <w:rsid w:val="00A07D21"/>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4"/>
    <w:rsid w:val="00A07D21"/>
    <w:pPr>
      <w:spacing w:after="0"/>
    </w:pPr>
    <w:rPr>
      <w:rFonts w:asciiTheme="majorHAnsi" w:eastAsiaTheme="majorEastAsia" w:hAnsiTheme="majorHAnsi" w:cstheme="majorBidi"/>
      <w:sz w:val="20"/>
    </w:rPr>
  </w:style>
  <w:style w:type="character" w:styleId="FollowedHyperlink">
    <w:name w:val="FollowedHyperlink"/>
    <w:basedOn w:val="DefaultParagraphFont"/>
    <w:uiPriority w:val="4"/>
    <w:rsid w:val="00A07D21"/>
    <w:rPr>
      <w:rFonts w:cstheme="minorBidi"/>
      <w:bCs w:val="0"/>
      <w:iCs w:val="0"/>
      <w:noProof w:val="0"/>
      <w:color w:val="800080" w:themeColor="followedHyperlink"/>
      <w:szCs w:val="24"/>
      <w:u w:val="single"/>
      <w:lang w:val="en-GB" w:eastAsia="ja-JP"/>
    </w:rPr>
  </w:style>
  <w:style w:type="character" w:styleId="HTMLAcronym">
    <w:name w:val="HTML Acronym"/>
    <w:basedOn w:val="DefaultParagraphFont"/>
    <w:uiPriority w:val="4"/>
    <w:rsid w:val="00A07D21"/>
    <w:rPr>
      <w:rFonts w:cstheme="minorBidi"/>
      <w:bCs w:val="0"/>
      <w:iCs w:val="0"/>
      <w:noProof w:val="0"/>
      <w:szCs w:val="24"/>
      <w:lang w:val="en-GB" w:eastAsia="ja-JP"/>
    </w:rPr>
  </w:style>
  <w:style w:type="paragraph" w:styleId="HTMLAddress">
    <w:name w:val="HTML Address"/>
    <w:basedOn w:val="Normal"/>
    <w:link w:val="HTMLAddressChar"/>
    <w:uiPriority w:val="4"/>
    <w:rsid w:val="00A07D21"/>
    <w:pPr>
      <w:spacing w:after="0"/>
    </w:pPr>
    <w:rPr>
      <w:i/>
      <w:iCs/>
    </w:rPr>
  </w:style>
  <w:style w:type="character" w:customStyle="1" w:styleId="HTMLAddressChar">
    <w:name w:val="HTML Address Char"/>
    <w:basedOn w:val="DefaultParagraphFont"/>
    <w:link w:val="HTMLAddress"/>
    <w:uiPriority w:val="4"/>
    <w:rsid w:val="007A4E28"/>
    <w:rPr>
      <w:i/>
      <w:iCs/>
      <w:noProof w:val="0"/>
      <w:sz w:val="24"/>
      <w:szCs w:val="24"/>
      <w:lang w:val="en-GB" w:eastAsia="ja-JP"/>
    </w:rPr>
  </w:style>
  <w:style w:type="character" w:styleId="HTMLCite">
    <w:name w:val="HTML Cite"/>
    <w:basedOn w:val="DefaultParagraphFont"/>
    <w:uiPriority w:val="4"/>
    <w:rsid w:val="00A07D21"/>
    <w:rPr>
      <w:rFonts w:cstheme="minorBidi"/>
      <w:bCs w:val="0"/>
      <w:i/>
      <w:iCs/>
      <w:noProof w:val="0"/>
      <w:szCs w:val="24"/>
      <w:lang w:val="en-GB" w:eastAsia="ja-JP"/>
    </w:rPr>
  </w:style>
  <w:style w:type="character" w:styleId="HTMLCode">
    <w:name w:val="HTML Code"/>
    <w:basedOn w:val="DefaultParagraphFont"/>
    <w:uiPriority w:val="4"/>
    <w:rsid w:val="00A07D21"/>
    <w:rPr>
      <w:rFonts w:ascii="Consolas" w:hAnsi="Consolas" w:cs="Consolas"/>
      <w:bCs w:val="0"/>
      <w:iCs w:val="0"/>
      <w:noProof w:val="0"/>
      <w:sz w:val="20"/>
      <w:szCs w:val="20"/>
      <w:lang w:val="en-GB" w:eastAsia="ja-JP"/>
    </w:rPr>
  </w:style>
  <w:style w:type="character" w:styleId="HTMLDefinition">
    <w:name w:val="HTML Definition"/>
    <w:basedOn w:val="DefaultParagraphFont"/>
    <w:uiPriority w:val="4"/>
    <w:rsid w:val="00A07D21"/>
    <w:rPr>
      <w:rFonts w:cstheme="minorBidi"/>
      <w:bCs w:val="0"/>
      <w:i/>
      <w:iCs/>
      <w:noProof w:val="0"/>
      <w:szCs w:val="24"/>
      <w:lang w:val="en-GB" w:eastAsia="ja-JP"/>
    </w:rPr>
  </w:style>
  <w:style w:type="character" w:styleId="HTMLKeyboard">
    <w:name w:val="HTML Keyboard"/>
    <w:basedOn w:val="DefaultParagraphFont"/>
    <w:uiPriority w:val="4"/>
    <w:rsid w:val="00A07D21"/>
    <w:rPr>
      <w:rFonts w:ascii="Consolas" w:hAnsi="Consolas" w:cs="Consolas"/>
      <w:bCs w:val="0"/>
      <w:iCs w:val="0"/>
      <w:noProof w:val="0"/>
      <w:sz w:val="20"/>
      <w:szCs w:val="20"/>
      <w:lang w:val="en-GB" w:eastAsia="ja-JP"/>
    </w:rPr>
  </w:style>
  <w:style w:type="paragraph" w:styleId="HTMLPreformatted">
    <w:name w:val="HTML Preformatted"/>
    <w:basedOn w:val="Normal"/>
    <w:link w:val="HTMLPreformattedChar"/>
    <w:uiPriority w:val="4"/>
    <w:rsid w:val="00A07D21"/>
    <w:pPr>
      <w:spacing w:after="0"/>
    </w:pPr>
    <w:rPr>
      <w:rFonts w:ascii="Consolas" w:hAnsi="Consolas" w:cs="Consolas"/>
      <w:sz w:val="20"/>
    </w:rPr>
  </w:style>
  <w:style w:type="character" w:customStyle="1" w:styleId="HTMLPreformattedChar">
    <w:name w:val="HTML Preformatted Char"/>
    <w:basedOn w:val="DefaultParagraphFont"/>
    <w:link w:val="HTMLPreformatted"/>
    <w:uiPriority w:val="4"/>
    <w:rsid w:val="007A4E28"/>
    <w:rPr>
      <w:rFonts w:ascii="Consolas" w:hAnsi="Consolas" w:cs="Consolas"/>
      <w:noProof w:val="0"/>
      <w:sz w:val="20"/>
      <w:szCs w:val="24"/>
      <w:lang w:val="en-GB" w:eastAsia="ja-JP"/>
    </w:rPr>
  </w:style>
  <w:style w:type="character" w:styleId="HTMLSample">
    <w:name w:val="HTML Sample"/>
    <w:basedOn w:val="DefaultParagraphFont"/>
    <w:uiPriority w:val="4"/>
    <w:rsid w:val="00A07D21"/>
    <w:rPr>
      <w:rFonts w:ascii="Consolas" w:hAnsi="Consolas" w:cs="Consolas"/>
      <w:bCs w:val="0"/>
      <w:iCs w:val="0"/>
      <w:noProof w:val="0"/>
      <w:sz w:val="24"/>
      <w:szCs w:val="24"/>
      <w:lang w:val="en-GB" w:eastAsia="ja-JP"/>
    </w:rPr>
  </w:style>
  <w:style w:type="character" w:styleId="HTMLTypewriter">
    <w:name w:val="HTML Typewriter"/>
    <w:basedOn w:val="DefaultParagraphFont"/>
    <w:uiPriority w:val="4"/>
    <w:rsid w:val="00A07D21"/>
    <w:rPr>
      <w:rFonts w:ascii="Consolas" w:hAnsi="Consolas" w:cs="Consolas"/>
      <w:bCs w:val="0"/>
      <w:iCs w:val="0"/>
      <w:noProof w:val="0"/>
      <w:sz w:val="20"/>
      <w:szCs w:val="20"/>
      <w:lang w:val="en-GB" w:eastAsia="ja-JP"/>
    </w:rPr>
  </w:style>
  <w:style w:type="character" w:styleId="HTMLVariable">
    <w:name w:val="HTML Variable"/>
    <w:basedOn w:val="DefaultParagraphFont"/>
    <w:uiPriority w:val="4"/>
    <w:rsid w:val="00A07D21"/>
    <w:rPr>
      <w:rFonts w:cstheme="minorBidi"/>
      <w:bCs w:val="0"/>
      <w:i/>
      <w:iCs/>
      <w:noProof w:val="0"/>
      <w:szCs w:val="24"/>
      <w:lang w:val="en-GB" w:eastAsia="ja-JP"/>
    </w:rPr>
  </w:style>
  <w:style w:type="character" w:styleId="Hyperlink">
    <w:name w:val="Hyperlink"/>
    <w:basedOn w:val="DefaultParagraphFont"/>
    <w:uiPriority w:val="4"/>
    <w:rsid w:val="00A07D21"/>
    <w:rPr>
      <w:rFonts w:cstheme="minorBidi"/>
      <w:bCs w:val="0"/>
      <w:iCs w:val="0"/>
      <w:noProof w:val="0"/>
      <w:color w:val="0000FF" w:themeColor="hyperlink"/>
      <w:szCs w:val="24"/>
      <w:u w:val="single"/>
      <w:lang w:val="en-GB" w:eastAsia="ja-JP"/>
    </w:rPr>
  </w:style>
  <w:style w:type="paragraph" w:styleId="Index1">
    <w:name w:val="index 1"/>
    <w:basedOn w:val="Normal"/>
    <w:next w:val="Normal"/>
    <w:autoRedefine/>
    <w:uiPriority w:val="4"/>
    <w:rsid w:val="00A07D21"/>
    <w:pPr>
      <w:spacing w:after="0"/>
      <w:ind w:left="240" w:hanging="240"/>
    </w:pPr>
  </w:style>
  <w:style w:type="paragraph" w:styleId="Index2">
    <w:name w:val="index 2"/>
    <w:basedOn w:val="Normal"/>
    <w:next w:val="Normal"/>
    <w:autoRedefine/>
    <w:uiPriority w:val="4"/>
    <w:rsid w:val="00A07D21"/>
    <w:pPr>
      <w:spacing w:after="0"/>
      <w:ind w:left="480" w:hanging="240"/>
    </w:pPr>
  </w:style>
  <w:style w:type="paragraph" w:styleId="Index3">
    <w:name w:val="index 3"/>
    <w:basedOn w:val="Normal"/>
    <w:next w:val="Normal"/>
    <w:autoRedefine/>
    <w:uiPriority w:val="4"/>
    <w:rsid w:val="00A07D21"/>
    <w:pPr>
      <w:spacing w:after="0"/>
      <w:ind w:left="720" w:hanging="240"/>
    </w:pPr>
  </w:style>
  <w:style w:type="paragraph" w:styleId="Index4">
    <w:name w:val="index 4"/>
    <w:basedOn w:val="Normal"/>
    <w:next w:val="Normal"/>
    <w:autoRedefine/>
    <w:uiPriority w:val="4"/>
    <w:rsid w:val="00A07D21"/>
    <w:pPr>
      <w:spacing w:after="0"/>
      <w:ind w:left="960" w:hanging="240"/>
    </w:pPr>
  </w:style>
  <w:style w:type="paragraph" w:styleId="Index5">
    <w:name w:val="index 5"/>
    <w:basedOn w:val="Normal"/>
    <w:next w:val="Normal"/>
    <w:autoRedefine/>
    <w:uiPriority w:val="4"/>
    <w:rsid w:val="00A07D21"/>
    <w:pPr>
      <w:spacing w:after="0"/>
      <w:ind w:left="1200" w:hanging="240"/>
    </w:pPr>
  </w:style>
  <w:style w:type="paragraph" w:styleId="Index6">
    <w:name w:val="index 6"/>
    <w:basedOn w:val="Normal"/>
    <w:next w:val="Normal"/>
    <w:autoRedefine/>
    <w:uiPriority w:val="4"/>
    <w:rsid w:val="00A07D21"/>
    <w:pPr>
      <w:spacing w:after="0"/>
      <w:ind w:left="1440" w:hanging="240"/>
    </w:pPr>
  </w:style>
  <w:style w:type="paragraph" w:styleId="Index7">
    <w:name w:val="index 7"/>
    <w:basedOn w:val="Normal"/>
    <w:next w:val="Normal"/>
    <w:autoRedefine/>
    <w:uiPriority w:val="4"/>
    <w:rsid w:val="00A07D21"/>
    <w:pPr>
      <w:spacing w:after="0"/>
      <w:ind w:left="1680" w:hanging="240"/>
    </w:pPr>
  </w:style>
  <w:style w:type="paragraph" w:styleId="Index8">
    <w:name w:val="index 8"/>
    <w:basedOn w:val="Normal"/>
    <w:next w:val="Normal"/>
    <w:autoRedefine/>
    <w:uiPriority w:val="4"/>
    <w:rsid w:val="00A07D21"/>
    <w:pPr>
      <w:spacing w:after="0"/>
      <w:ind w:left="1920" w:hanging="240"/>
    </w:pPr>
  </w:style>
  <w:style w:type="paragraph" w:styleId="Index9">
    <w:name w:val="index 9"/>
    <w:basedOn w:val="Normal"/>
    <w:next w:val="Normal"/>
    <w:autoRedefine/>
    <w:uiPriority w:val="4"/>
    <w:rsid w:val="00A07D21"/>
    <w:pPr>
      <w:spacing w:after="0"/>
      <w:ind w:left="2160" w:hanging="240"/>
    </w:pPr>
  </w:style>
  <w:style w:type="paragraph" w:styleId="IndexHeading">
    <w:name w:val="index heading"/>
    <w:basedOn w:val="Normal"/>
    <w:next w:val="Index1"/>
    <w:uiPriority w:val="4"/>
    <w:rsid w:val="00A07D21"/>
    <w:rPr>
      <w:rFonts w:asciiTheme="majorHAnsi" w:eastAsiaTheme="majorEastAsia" w:hAnsiTheme="majorHAnsi" w:cstheme="majorBidi"/>
      <w:b/>
      <w:bCs/>
    </w:rPr>
  </w:style>
  <w:style w:type="character" w:styleId="IntenseEmphasis">
    <w:name w:val="Intense Emphasis"/>
    <w:basedOn w:val="DefaultParagraphFont"/>
    <w:uiPriority w:val="21"/>
    <w:rsid w:val="00A07D21"/>
    <w:rPr>
      <w:rFonts w:cstheme="minorBidi"/>
      <w:b/>
      <w:bCs/>
      <w:i/>
      <w:iCs/>
      <w:noProof w:val="0"/>
      <w:color w:val="4F81BD" w:themeColor="accent1"/>
      <w:szCs w:val="24"/>
      <w:lang w:val="en-GB" w:eastAsia="ja-JP"/>
    </w:rPr>
  </w:style>
  <w:style w:type="paragraph" w:styleId="IntenseQuote">
    <w:name w:val="Intense Quote"/>
    <w:basedOn w:val="Normal"/>
    <w:next w:val="Normal"/>
    <w:link w:val="IntenseQuoteChar"/>
    <w:uiPriority w:val="30"/>
    <w:rsid w:val="00A07D2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07D21"/>
    <w:rPr>
      <w:b/>
      <w:bCs/>
      <w:i/>
      <w:iCs/>
      <w:noProof w:val="0"/>
      <w:color w:val="4F81BD" w:themeColor="accent1"/>
      <w:sz w:val="24"/>
      <w:szCs w:val="24"/>
      <w:lang w:val="en-GB" w:eastAsia="ja-JP"/>
    </w:rPr>
  </w:style>
  <w:style w:type="character" w:styleId="IntenseReference">
    <w:name w:val="Intense Reference"/>
    <w:basedOn w:val="DefaultParagraphFont"/>
    <w:uiPriority w:val="32"/>
    <w:rsid w:val="00A07D21"/>
    <w:rPr>
      <w:rFonts w:cstheme="minorBidi"/>
      <w:b/>
      <w:bCs/>
      <w:iCs w:val="0"/>
      <w:smallCaps/>
      <w:noProof w:val="0"/>
      <w:color w:val="C0504D" w:themeColor="accent2"/>
      <w:spacing w:val="5"/>
      <w:szCs w:val="24"/>
      <w:u w:val="single"/>
      <w:lang w:val="en-GB" w:eastAsia="ja-JP"/>
    </w:rPr>
  </w:style>
  <w:style w:type="table" w:styleId="LightGrid">
    <w:name w:val="Light Grid"/>
    <w:basedOn w:val="TableNormal"/>
    <w:uiPriority w:val="62"/>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A07D21"/>
    <w:pPr>
      <w:spacing w:after="0" w:line="240" w:lineRule="auto"/>
    </w:pPr>
    <w:rPr>
      <w:rFonts w:ascii="Times New Roman" w:eastAsia="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A07D21"/>
    <w:pPr>
      <w:spacing w:after="0" w:line="240" w:lineRule="auto"/>
    </w:pPr>
    <w:rPr>
      <w:rFonts w:ascii="Times New Roman" w:eastAsia="Times New Roman" w:hAnsi="Times New Roman" w:cs="Times New Roman"/>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A07D21"/>
    <w:pPr>
      <w:spacing w:after="0" w:line="240" w:lineRule="auto"/>
    </w:pPr>
    <w:rPr>
      <w:rFonts w:ascii="Times New Roman" w:eastAsia="Times New Roman" w:hAnsi="Times New Roman" w:cs="Times New Roman"/>
      <w:color w:val="943634" w:themeColor="accent2" w:themeShade="BF"/>
      <w:sz w:val="20"/>
      <w:szCs w:val="20"/>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A07D21"/>
    <w:pPr>
      <w:spacing w:after="0" w:line="240" w:lineRule="auto"/>
    </w:pPr>
    <w:rPr>
      <w:rFonts w:ascii="Times New Roman" w:eastAsia="Times New Roman" w:hAnsi="Times New Roman" w:cs="Times New Roman"/>
      <w:color w:val="76923C" w:themeColor="accent3" w:themeShade="BF"/>
      <w:sz w:val="20"/>
      <w:szCs w:val="20"/>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A07D21"/>
    <w:pPr>
      <w:spacing w:after="0" w:line="240" w:lineRule="auto"/>
    </w:pPr>
    <w:rPr>
      <w:rFonts w:ascii="Times New Roman" w:eastAsia="Times New Roman" w:hAnsi="Times New Roman" w:cs="Times New Roman"/>
      <w:color w:val="5F497A" w:themeColor="accent4" w:themeShade="BF"/>
      <w:sz w:val="20"/>
      <w:szCs w:val="20"/>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A07D21"/>
    <w:pPr>
      <w:spacing w:after="0" w:line="240" w:lineRule="auto"/>
    </w:pPr>
    <w:rPr>
      <w:rFonts w:ascii="Times New Roman" w:eastAsia="Times New Roman" w:hAnsi="Times New Roman" w:cs="Times New Roman"/>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A07D21"/>
    <w:pPr>
      <w:spacing w:after="0" w:line="240" w:lineRule="auto"/>
    </w:pPr>
    <w:rPr>
      <w:rFonts w:ascii="Times New Roman" w:eastAsia="Times New Roman" w:hAnsi="Times New Roman" w:cs="Times New Roman"/>
      <w:color w:val="E36C0A" w:themeColor="accent6" w:themeShade="BF"/>
      <w:sz w:val="20"/>
      <w:szCs w:val="20"/>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4"/>
    <w:rsid w:val="00A07D21"/>
    <w:rPr>
      <w:rFonts w:cstheme="minorBidi"/>
      <w:bCs w:val="0"/>
      <w:iCs w:val="0"/>
      <w:noProof w:val="0"/>
      <w:szCs w:val="24"/>
      <w:lang w:val="en-GB" w:eastAsia="ja-JP"/>
    </w:rPr>
  </w:style>
  <w:style w:type="paragraph" w:styleId="List">
    <w:name w:val="List"/>
    <w:basedOn w:val="Normal"/>
    <w:uiPriority w:val="4"/>
    <w:rsid w:val="008A75BF"/>
    <w:pPr>
      <w:spacing w:after="120" w:line="260" w:lineRule="atLeast"/>
      <w:ind w:left="360" w:hanging="360"/>
    </w:pPr>
  </w:style>
  <w:style w:type="paragraph" w:styleId="List2">
    <w:name w:val="List 2"/>
    <w:basedOn w:val="Normal"/>
    <w:uiPriority w:val="4"/>
    <w:rsid w:val="008A75BF"/>
    <w:pPr>
      <w:ind w:left="720" w:hanging="360"/>
      <w:contextualSpacing/>
    </w:pPr>
  </w:style>
  <w:style w:type="paragraph" w:styleId="List3">
    <w:name w:val="List 3"/>
    <w:basedOn w:val="Normal"/>
    <w:uiPriority w:val="4"/>
    <w:rsid w:val="00A07D21"/>
    <w:pPr>
      <w:ind w:left="849" w:hanging="283"/>
      <w:contextualSpacing/>
    </w:pPr>
  </w:style>
  <w:style w:type="paragraph" w:styleId="List4">
    <w:name w:val="List 4"/>
    <w:basedOn w:val="Normal"/>
    <w:uiPriority w:val="4"/>
    <w:rsid w:val="00A07D21"/>
    <w:pPr>
      <w:ind w:left="1132" w:hanging="283"/>
      <w:contextualSpacing/>
    </w:pPr>
  </w:style>
  <w:style w:type="paragraph" w:styleId="List5">
    <w:name w:val="List 5"/>
    <w:basedOn w:val="Normal"/>
    <w:uiPriority w:val="4"/>
    <w:rsid w:val="00A07D21"/>
    <w:pPr>
      <w:ind w:left="1415" w:hanging="283"/>
      <w:contextualSpacing/>
    </w:pPr>
  </w:style>
  <w:style w:type="paragraph" w:styleId="ListBullet3">
    <w:name w:val="List Bullet 3"/>
    <w:aliases w:val="Lista con viñetas 3"/>
    <w:basedOn w:val="Normal"/>
    <w:qFormat/>
    <w:rsid w:val="00166B4D"/>
    <w:pPr>
      <w:numPr>
        <w:ilvl w:val="6"/>
        <w:numId w:val="10"/>
      </w:numPr>
      <w:spacing w:after="120" w:line="260" w:lineRule="atLeast"/>
      <w:outlineLvl w:val="6"/>
    </w:pPr>
    <w:rPr>
      <w:rFonts w:cstheme="minorHAnsi"/>
      <w:szCs w:val="20"/>
    </w:rPr>
  </w:style>
  <w:style w:type="paragraph" w:styleId="ListBullet4">
    <w:name w:val="List Bullet 4"/>
    <w:basedOn w:val="Normal"/>
    <w:qFormat/>
    <w:rsid w:val="00166B4D"/>
    <w:pPr>
      <w:numPr>
        <w:ilvl w:val="7"/>
        <w:numId w:val="10"/>
      </w:numPr>
      <w:spacing w:after="120" w:line="260" w:lineRule="atLeast"/>
      <w:outlineLvl w:val="7"/>
    </w:pPr>
    <w:rPr>
      <w:rFonts w:cstheme="minorHAnsi"/>
      <w:szCs w:val="20"/>
    </w:rPr>
  </w:style>
  <w:style w:type="paragraph" w:styleId="ListBullet5">
    <w:name w:val="List Bullet 5"/>
    <w:basedOn w:val="Normal"/>
    <w:rsid w:val="00F03C22"/>
    <w:pPr>
      <w:numPr>
        <w:numId w:val="11"/>
      </w:numPr>
      <w:spacing w:after="120"/>
      <w:ind w:left="1797" w:hanging="357"/>
      <w:contextualSpacing/>
    </w:pPr>
  </w:style>
  <w:style w:type="paragraph" w:styleId="ListContinue">
    <w:name w:val="List Continue"/>
    <w:basedOn w:val="Normal"/>
    <w:uiPriority w:val="4"/>
    <w:rsid w:val="00A07D21"/>
    <w:pPr>
      <w:spacing w:after="120"/>
      <w:ind w:left="283"/>
      <w:contextualSpacing/>
    </w:pPr>
  </w:style>
  <w:style w:type="paragraph" w:styleId="ListContinue2">
    <w:name w:val="List Continue 2"/>
    <w:basedOn w:val="Normal"/>
    <w:uiPriority w:val="4"/>
    <w:rsid w:val="00A07D21"/>
    <w:pPr>
      <w:spacing w:after="120"/>
      <w:ind w:left="566"/>
      <w:contextualSpacing/>
    </w:pPr>
  </w:style>
  <w:style w:type="paragraph" w:styleId="ListContinue3">
    <w:name w:val="List Continue 3"/>
    <w:basedOn w:val="Normal"/>
    <w:uiPriority w:val="4"/>
    <w:rsid w:val="00A07D21"/>
    <w:pPr>
      <w:spacing w:after="120"/>
      <w:ind w:left="849"/>
      <w:contextualSpacing/>
    </w:pPr>
  </w:style>
  <w:style w:type="paragraph" w:styleId="ListContinue4">
    <w:name w:val="List Continue 4"/>
    <w:basedOn w:val="Normal"/>
    <w:uiPriority w:val="4"/>
    <w:rsid w:val="00A07D21"/>
    <w:pPr>
      <w:spacing w:after="120"/>
      <w:ind w:left="1132"/>
      <w:contextualSpacing/>
    </w:pPr>
  </w:style>
  <w:style w:type="paragraph" w:styleId="ListContinue5">
    <w:name w:val="List Continue 5"/>
    <w:basedOn w:val="Normal"/>
    <w:uiPriority w:val="4"/>
    <w:rsid w:val="00A07D21"/>
    <w:pPr>
      <w:spacing w:after="120"/>
      <w:ind w:left="1415"/>
      <w:contextualSpacing/>
    </w:pPr>
  </w:style>
  <w:style w:type="paragraph" w:styleId="ListNumber2">
    <w:name w:val="List Number 2"/>
    <w:basedOn w:val="Normal"/>
    <w:qFormat/>
    <w:rsid w:val="00166B4D"/>
    <w:pPr>
      <w:numPr>
        <w:ilvl w:val="6"/>
        <w:numId w:val="30"/>
      </w:numPr>
      <w:spacing w:after="120" w:line="260" w:lineRule="atLeast"/>
      <w:outlineLvl w:val="6"/>
    </w:pPr>
    <w:rPr>
      <w:rFonts w:cstheme="minorHAnsi"/>
      <w:szCs w:val="20"/>
    </w:rPr>
  </w:style>
  <w:style w:type="paragraph" w:styleId="ListNumber3">
    <w:name w:val="List Number 3"/>
    <w:basedOn w:val="Normal"/>
    <w:qFormat/>
    <w:rsid w:val="00166B4D"/>
    <w:pPr>
      <w:numPr>
        <w:ilvl w:val="7"/>
        <w:numId w:val="30"/>
      </w:numPr>
      <w:spacing w:after="120" w:line="260" w:lineRule="atLeast"/>
      <w:outlineLvl w:val="7"/>
    </w:pPr>
    <w:rPr>
      <w:rFonts w:cstheme="minorHAnsi"/>
      <w:szCs w:val="20"/>
    </w:rPr>
  </w:style>
  <w:style w:type="paragraph" w:styleId="ListNumber4">
    <w:name w:val="List Number 4"/>
    <w:basedOn w:val="Normal"/>
    <w:qFormat/>
    <w:rsid w:val="00166B4D"/>
    <w:pPr>
      <w:numPr>
        <w:ilvl w:val="8"/>
        <w:numId w:val="30"/>
      </w:numPr>
      <w:spacing w:after="120" w:line="260" w:lineRule="atLeast"/>
      <w:outlineLvl w:val="8"/>
    </w:pPr>
    <w:rPr>
      <w:rFonts w:cstheme="minorHAnsi"/>
      <w:szCs w:val="20"/>
    </w:rPr>
  </w:style>
  <w:style w:type="paragraph" w:styleId="ListNumber5">
    <w:name w:val="List Number 5"/>
    <w:basedOn w:val="Normal"/>
    <w:rsid w:val="00B35E4A"/>
    <w:pPr>
      <w:numPr>
        <w:numId w:val="13"/>
      </w:numPr>
      <w:spacing w:after="120"/>
      <w:ind w:left="1797" w:hanging="357"/>
      <w:contextualSpacing/>
    </w:pPr>
  </w:style>
  <w:style w:type="paragraph" w:styleId="ListParagraph">
    <w:name w:val="List Paragraph"/>
    <w:basedOn w:val="Normal"/>
    <w:uiPriority w:val="34"/>
    <w:qFormat/>
    <w:rsid w:val="00A07D21"/>
    <w:pPr>
      <w:ind w:left="720"/>
    </w:pPr>
  </w:style>
  <w:style w:type="paragraph" w:styleId="MacroText">
    <w:name w:val="macro"/>
    <w:link w:val="MacroTextChar"/>
    <w:uiPriority w:val="4"/>
    <w:rsid w:val="00A07D2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sz w:val="20"/>
      <w:szCs w:val="20"/>
      <w:lang w:val="en-GB" w:eastAsia="ja-JP"/>
    </w:rPr>
  </w:style>
  <w:style w:type="character" w:customStyle="1" w:styleId="MacroTextChar">
    <w:name w:val="Macro Text Char"/>
    <w:basedOn w:val="DefaultParagraphFont"/>
    <w:link w:val="MacroText"/>
    <w:uiPriority w:val="4"/>
    <w:rsid w:val="007A4E28"/>
    <w:rPr>
      <w:rFonts w:ascii="Consolas" w:hAnsi="Consolas" w:cs="Consolas"/>
      <w:noProof w:val="0"/>
      <w:sz w:val="20"/>
      <w:szCs w:val="20"/>
      <w:lang w:val="en-GB" w:eastAsia="ja-JP"/>
    </w:rPr>
  </w:style>
  <w:style w:type="table" w:styleId="MediumGrid1">
    <w:name w:val="Medium Grid 1"/>
    <w:basedOn w:val="TableNormal"/>
    <w:uiPriority w:val="67"/>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A07D21"/>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A07D21"/>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A07D21"/>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A07D21"/>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A07D21"/>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A07D21"/>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A07D21"/>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A07D21"/>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A07D21"/>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A07D21"/>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A07D21"/>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A07D21"/>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A07D21"/>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A07D21"/>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4"/>
    <w:rsid w:val="00A07D2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4"/>
    <w:rsid w:val="007A4E28"/>
    <w:rPr>
      <w:rFonts w:asciiTheme="majorHAnsi" w:eastAsiaTheme="majorEastAsia" w:hAnsiTheme="majorHAnsi" w:cstheme="majorBidi"/>
      <w:noProof w:val="0"/>
      <w:sz w:val="24"/>
      <w:szCs w:val="24"/>
      <w:shd w:val="pct20" w:color="auto" w:fill="auto"/>
      <w:lang w:val="en-GB" w:eastAsia="ja-JP"/>
    </w:rPr>
  </w:style>
  <w:style w:type="paragraph" w:styleId="NoSpacing">
    <w:name w:val="No Spacing"/>
    <w:uiPriority w:val="9"/>
    <w:rsid w:val="00A07D21"/>
    <w:pPr>
      <w:spacing w:after="0" w:line="240" w:lineRule="auto"/>
    </w:pPr>
    <w:rPr>
      <w:sz w:val="24"/>
      <w:szCs w:val="24"/>
      <w:lang w:val="en-GB" w:eastAsia="ja-JP"/>
    </w:rPr>
  </w:style>
  <w:style w:type="paragraph" w:styleId="NormalWeb">
    <w:name w:val="Normal (Web)"/>
    <w:basedOn w:val="Normal"/>
    <w:uiPriority w:val="99"/>
    <w:rsid w:val="00A07D21"/>
  </w:style>
  <w:style w:type="paragraph" w:styleId="NormalIndent">
    <w:name w:val="Normal Indent"/>
    <w:basedOn w:val="Normal"/>
    <w:uiPriority w:val="4"/>
    <w:rsid w:val="00A07D21"/>
    <w:pPr>
      <w:ind w:left="720"/>
    </w:pPr>
  </w:style>
  <w:style w:type="paragraph" w:styleId="NoteHeading">
    <w:name w:val="Note Heading"/>
    <w:basedOn w:val="Normal"/>
    <w:next w:val="Normal"/>
    <w:link w:val="NoteHeadingChar"/>
    <w:uiPriority w:val="4"/>
    <w:rsid w:val="00A07D21"/>
    <w:pPr>
      <w:spacing w:before="200" w:line="200" w:lineRule="atLeast"/>
    </w:pPr>
    <w:rPr>
      <w:rFonts w:asciiTheme="majorHAnsi" w:eastAsiaTheme="majorEastAsia" w:hAnsiTheme="majorHAnsi" w:cstheme="majorBidi"/>
      <w:sz w:val="16"/>
      <w:szCs w:val="16"/>
    </w:rPr>
  </w:style>
  <w:style w:type="character" w:customStyle="1" w:styleId="NoteHeadingChar">
    <w:name w:val="Note Heading Char"/>
    <w:basedOn w:val="DefaultParagraphFont"/>
    <w:link w:val="NoteHeading"/>
    <w:uiPriority w:val="4"/>
    <w:rsid w:val="007A4E28"/>
    <w:rPr>
      <w:rFonts w:asciiTheme="majorHAnsi" w:eastAsiaTheme="majorEastAsia" w:hAnsiTheme="majorHAnsi" w:cstheme="majorBidi"/>
      <w:noProof w:val="0"/>
      <w:sz w:val="16"/>
      <w:szCs w:val="16"/>
      <w:lang w:val="en-GB" w:eastAsia="ja-JP"/>
    </w:rPr>
  </w:style>
  <w:style w:type="paragraph" w:styleId="PlainText">
    <w:name w:val="Plain Text"/>
    <w:basedOn w:val="Normal"/>
    <w:link w:val="PlainTextChar"/>
    <w:uiPriority w:val="4"/>
    <w:rsid w:val="00A07D21"/>
    <w:pPr>
      <w:spacing w:after="0"/>
    </w:pPr>
    <w:rPr>
      <w:rFonts w:ascii="Consolas" w:hAnsi="Consolas" w:cs="Consolas"/>
      <w:sz w:val="21"/>
      <w:szCs w:val="21"/>
    </w:rPr>
  </w:style>
  <w:style w:type="character" w:customStyle="1" w:styleId="PlainTextChar">
    <w:name w:val="Plain Text Char"/>
    <w:basedOn w:val="DefaultParagraphFont"/>
    <w:link w:val="PlainText"/>
    <w:uiPriority w:val="4"/>
    <w:rsid w:val="007A4E28"/>
    <w:rPr>
      <w:rFonts w:ascii="Consolas" w:hAnsi="Consolas" w:cs="Consolas"/>
      <w:noProof w:val="0"/>
      <w:sz w:val="21"/>
      <w:szCs w:val="21"/>
      <w:lang w:val="en-GB" w:eastAsia="ja-JP"/>
    </w:rPr>
  </w:style>
  <w:style w:type="paragraph" w:styleId="Quote">
    <w:name w:val="Quote"/>
    <w:basedOn w:val="Normal"/>
    <w:next w:val="Normal"/>
    <w:link w:val="QuoteChar"/>
    <w:uiPriority w:val="29"/>
    <w:rsid w:val="00A07D21"/>
    <w:rPr>
      <w:i/>
      <w:iCs/>
      <w:color w:val="000000" w:themeColor="text1"/>
    </w:rPr>
  </w:style>
  <w:style w:type="character" w:customStyle="1" w:styleId="QuoteChar">
    <w:name w:val="Quote Char"/>
    <w:basedOn w:val="DefaultParagraphFont"/>
    <w:link w:val="Quote"/>
    <w:uiPriority w:val="29"/>
    <w:rsid w:val="00A07D21"/>
    <w:rPr>
      <w:i/>
      <w:iCs/>
      <w:noProof w:val="0"/>
      <w:color w:val="000000" w:themeColor="text1"/>
      <w:sz w:val="24"/>
      <w:szCs w:val="24"/>
      <w:lang w:val="en-GB" w:eastAsia="ja-JP"/>
    </w:rPr>
  </w:style>
  <w:style w:type="paragraph" w:styleId="Salutation">
    <w:name w:val="Salutation"/>
    <w:basedOn w:val="Normal"/>
    <w:next w:val="Normal"/>
    <w:link w:val="SalutationChar"/>
    <w:uiPriority w:val="4"/>
    <w:rsid w:val="00A07D21"/>
  </w:style>
  <w:style w:type="character" w:customStyle="1" w:styleId="SalutationChar">
    <w:name w:val="Salutation Char"/>
    <w:basedOn w:val="DefaultParagraphFont"/>
    <w:link w:val="Salutation"/>
    <w:uiPriority w:val="4"/>
    <w:rsid w:val="007A4E28"/>
    <w:rPr>
      <w:noProof w:val="0"/>
      <w:sz w:val="24"/>
      <w:szCs w:val="24"/>
      <w:lang w:val="en-GB" w:eastAsia="ja-JP"/>
    </w:rPr>
  </w:style>
  <w:style w:type="paragraph" w:styleId="Signature">
    <w:name w:val="Signature"/>
    <w:basedOn w:val="Normal"/>
    <w:link w:val="SignatureChar"/>
    <w:uiPriority w:val="4"/>
    <w:rsid w:val="00A07D21"/>
    <w:pPr>
      <w:spacing w:after="0"/>
      <w:ind w:left="4252"/>
    </w:pPr>
  </w:style>
  <w:style w:type="character" w:customStyle="1" w:styleId="SignatureChar">
    <w:name w:val="Signature Char"/>
    <w:basedOn w:val="DefaultParagraphFont"/>
    <w:link w:val="Signature"/>
    <w:uiPriority w:val="4"/>
    <w:rsid w:val="007A4E28"/>
    <w:rPr>
      <w:noProof w:val="0"/>
      <w:sz w:val="24"/>
      <w:szCs w:val="24"/>
      <w:lang w:val="en-GB" w:eastAsia="ja-JP"/>
    </w:rPr>
  </w:style>
  <w:style w:type="character" w:styleId="Strong">
    <w:name w:val="Strong"/>
    <w:basedOn w:val="DefaultParagraphFont"/>
    <w:uiPriority w:val="4"/>
    <w:rsid w:val="00A07D21"/>
    <w:rPr>
      <w:rFonts w:cstheme="minorBidi"/>
      <w:b/>
      <w:bCs/>
      <w:iCs w:val="0"/>
      <w:noProof w:val="0"/>
      <w:szCs w:val="24"/>
      <w:lang w:val="en-GB" w:eastAsia="ja-JP"/>
    </w:rPr>
  </w:style>
  <w:style w:type="character" w:styleId="SubtleEmphasis">
    <w:name w:val="Subtle Emphasis"/>
    <w:basedOn w:val="DefaultParagraphFont"/>
    <w:uiPriority w:val="19"/>
    <w:rsid w:val="00A07D21"/>
    <w:rPr>
      <w:rFonts w:cstheme="minorBidi"/>
      <w:bCs w:val="0"/>
      <w:i/>
      <w:iCs/>
      <w:noProof w:val="0"/>
      <w:color w:val="808080" w:themeColor="text1" w:themeTint="7F"/>
      <w:szCs w:val="24"/>
      <w:lang w:val="en-GB" w:eastAsia="ja-JP"/>
    </w:rPr>
  </w:style>
  <w:style w:type="character" w:styleId="SubtleReference">
    <w:name w:val="Subtle Reference"/>
    <w:basedOn w:val="DefaultParagraphFont"/>
    <w:uiPriority w:val="31"/>
    <w:rsid w:val="00A07D21"/>
    <w:rPr>
      <w:rFonts w:cstheme="minorBidi"/>
      <w:bCs w:val="0"/>
      <w:iCs w:val="0"/>
      <w:smallCaps/>
      <w:noProof w:val="0"/>
      <w:color w:val="C0504D" w:themeColor="accent2"/>
      <w:szCs w:val="24"/>
      <w:u w:val="single"/>
      <w:lang w:val="en-GB" w:eastAsia="ja-JP"/>
    </w:rPr>
  </w:style>
  <w:style w:type="table" w:styleId="Table3Deffects1">
    <w:name w:val="Table 3D effects 1"/>
    <w:basedOn w:val="TableNormal"/>
    <w:rsid w:val="00A07D21"/>
    <w:pPr>
      <w:spacing w:after="24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07D21"/>
    <w:pPr>
      <w:spacing w:after="24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07D21"/>
    <w:pPr>
      <w:spacing w:after="24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07D21"/>
    <w:pPr>
      <w:spacing w:after="24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07D21"/>
    <w:pPr>
      <w:spacing w:after="24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07D21"/>
    <w:pPr>
      <w:spacing w:after="24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07D21"/>
    <w:pPr>
      <w:spacing w:after="24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07D21"/>
    <w:pPr>
      <w:spacing w:after="24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07D21"/>
    <w:pPr>
      <w:spacing w:after="24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07D21"/>
    <w:pPr>
      <w:spacing w:after="24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07D21"/>
    <w:pPr>
      <w:spacing w:after="24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07D21"/>
    <w:pPr>
      <w:spacing w:after="24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07D21"/>
    <w:pPr>
      <w:spacing w:after="24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07D21"/>
    <w:pPr>
      <w:spacing w:after="24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07D21"/>
    <w:pPr>
      <w:spacing w:after="24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07D21"/>
    <w:pPr>
      <w:spacing w:before="120" w:after="120" w:line="240" w:lineRule="auto"/>
      <w:jc w:val="right"/>
    </w:pPr>
    <w:rPr>
      <w:rFonts w:ascii="Arial" w:eastAsia="MS Mincho" w:hAnsi="Arial" w:cs="Arial"/>
      <w:sz w:val="24"/>
      <w:szCs w:val="24"/>
    </w:rPr>
    <w:tblPr>
      <w:tblStyleRowBandSize w:val="1"/>
      <w:tblStyleColBandSize w:val="1"/>
    </w:tblPr>
    <w:tcPr>
      <w:shd w:val="clear" w:color="auto" w:fill="auto"/>
      <w:vAlign w:val="center"/>
    </w:tcPr>
    <w:tblStylePr w:type="firstRow">
      <w:rPr>
        <w:rFonts w:ascii="Arial" w:hAnsi="Arial"/>
        <w:b/>
        <w:bCs/>
        <w:color w:val="auto"/>
        <w:sz w:val="24"/>
      </w:rPr>
      <w:tblPr/>
      <w:tcPr>
        <w:tcBorders>
          <w:top w:val="nil"/>
          <w:left w:val="nil"/>
          <w:bottom w:val="nil"/>
          <w:right w:val="nil"/>
          <w:insideH w:val="nil"/>
          <w:insideV w:val="nil"/>
          <w:tl2br w:val="nil"/>
          <w:tr2bl w:val="nil"/>
        </w:tcBorders>
        <w:shd w:val="clear" w:color="000000" w:fill="auto"/>
      </w:tcPr>
    </w:tblStylePr>
    <w:tblStylePr w:type="firstCol">
      <w:pPr>
        <w:wordWrap/>
        <w:jc w:val="left"/>
      </w:pPr>
      <w:rPr>
        <w:rFonts w:ascii="Arial" w:hAnsi="Arial"/>
        <w:sz w:val="24"/>
      </w:rPr>
    </w:tblStylePr>
    <w:tblStylePr w:type="band1Horz">
      <w:rPr>
        <w:rFonts w:ascii="Arial" w:hAnsi="Arial"/>
        <w:color w:val="auto"/>
        <w:sz w:val="24"/>
      </w:rPr>
      <w:tblPr/>
      <w:tcPr>
        <w:tcBorders>
          <w:top w:val="nil"/>
          <w:left w:val="nil"/>
          <w:bottom w:val="nil"/>
          <w:right w:val="nil"/>
          <w:insideH w:val="nil"/>
          <w:insideV w:val="nil"/>
          <w:tl2br w:val="nil"/>
          <w:tr2bl w:val="nil"/>
        </w:tcBorders>
        <w:shd w:val="clear" w:color="auto" w:fill="CCCCCC"/>
      </w:tcPr>
    </w:tblStylePr>
    <w:tblStylePr w:type="band2Horz">
      <w:rPr>
        <w:rFonts w:ascii="Arial" w:hAnsi="Arial"/>
        <w:color w:val="auto"/>
        <w:sz w:val="24"/>
      </w:rPr>
      <w:tblPr/>
      <w:tcPr>
        <w:tcBorders>
          <w:top w:val="nil"/>
          <w:left w:val="nil"/>
          <w:bottom w:val="nil"/>
          <w:right w:val="nil"/>
          <w:insideH w:val="nil"/>
          <w:insideV w:val="nil"/>
          <w:tl2br w:val="nil"/>
          <w:tr2bl w:val="nil"/>
        </w:tcBorders>
        <w:shd w:val="clear" w:color="000000" w:fill="auto"/>
      </w:tcPr>
    </w:tblStylePr>
  </w:style>
  <w:style w:type="table" w:styleId="TableElegant">
    <w:name w:val="Table Elegant"/>
    <w:basedOn w:val="TableNormal"/>
    <w:rsid w:val="00A07D21"/>
    <w:pPr>
      <w:spacing w:after="24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07D21"/>
    <w:pPr>
      <w:spacing w:after="24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07D21"/>
    <w:pPr>
      <w:spacing w:after="24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07D21"/>
    <w:pPr>
      <w:spacing w:after="24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07D21"/>
    <w:pPr>
      <w:spacing w:after="24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07D21"/>
    <w:pPr>
      <w:spacing w:after="24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07D21"/>
    <w:pPr>
      <w:spacing w:after="24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07D21"/>
    <w:pPr>
      <w:spacing w:after="24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07D21"/>
    <w:pPr>
      <w:spacing w:after="24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07D21"/>
    <w:pPr>
      <w:spacing w:after="24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07D21"/>
    <w:pPr>
      <w:spacing w:after="24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07D21"/>
    <w:pPr>
      <w:spacing w:after="24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07D21"/>
    <w:pPr>
      <w:spacing w:after="24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07D21"/>
    <w:pPr>
      <w:spacing w:after="24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07D21"/>
    <w:pPr>
      <w:spacing w:after="24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07D21"/>
    <w:pPr>
      <w:spacing w:after="24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07D21"/>
    <w:pPr>
      <w:spacing w:after="24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4"/>
    <w:rsid w:val="00A07D21"/>
    <w:pPr>
      <w:spacing w:after="0"/>
      <w:ind w:left="240" w:hanging="240"/>
    </w:pPr>
  </w:style>
  <w:style w:type="paragraph" w:styleId="TableofFigures">
    <w:name w:val="table of figures"/>
    <w:basedOn w:val="TOC2"/>
    <w:next w:val="Normal"/>
    <w:uiPriority w:val="4"/>
    <w:rsid w:val="00A07D21"/>
    <w:pPr>
      <w:spacing w:before="100" w:beforeAutospacing="1" w:after="100" w:afterAutospacing="1"/>
      <w:contextualSpacing/>
    </w:pPr>
    <w:rPr>
      <w:sz w:val="20"/>
      <w:szCs w:val="20"/>
    </w:rPr>
  </w:style>
  <w:style w:type="table" w:styleId="TableProfessional">
    <w:name w:val="Table Professional"/>
    <w:basedOn w:val="TableNormal"/>
    <w:rsid w:val="00A07D21"/>
    <w:pPr>
      <w:spacing w:after="24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07D21"/>
    <w:pPr>
      <w:spacing w:after="24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07D21"/>
    <w:pPr>
      <w:spacing w:after="24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07D21"/>
    <w:pPr>
      <w:spacing w:after="24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07D21"/>
    <w:pPr>
      <w:spacing w:after="24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07D21"/>
    <w:pPr>
      <w:spacing w:after="24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07D21"/>
    <w:pPr>
      <w:spacing w:after="24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07D21"/>
    <w:pPr>
      <w:spacing w:after="24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07D21"/>
    <w:pPr>
      <w:spacing w:after="24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07D21"/>
    <w:pPr>
      <w:spacing w:after="24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4"/>
    <w:rsid w:val="00A07D21"/>
    <w:pPr>
      <w:spacing w:before="120"/>
    </w:pPr>
    <w:rPr>
      <w:rFonts w:asciiTheme="majorHAnsi" w:eastAsiaTheme="majorEastAsia" w:hAnsiTheme="majorHAnsi" w:cstheme="majorBidi"/>
      <w:b/>
      <w:bCs/>
    </w:rPr>
  </w:style>
  <w:style w:type="paragraph" w:customStyle="1" w:styleId="AddresseeInfo">
    <w:name w:val="Addressee Info"/>
    <w:basedOn w:val="Normal"/>
    <w:link w:val="AddresseeInfoChar"/>
    <w:uiPriority w:val="4"/>
    <w:rsid w:val="00A07D21"/>
    <w:pPr>
      <w:spacing w:after="0" w:line="280" w:lineRule="atLeast"/>
    </w:pPr>
    <w:rPr>
      <w:rFonts w:asciiTheme="majorHAnsi" w:eastAsia="MS PGothic" w:hAnsiTheme="majorHAnsi" w:cstheme="majorHAnsi"/>
      <w:b/>
      <w:bCs/>
      <w:caps/>
      <w:sz w:val="14"/>
      <w:szCs w:val="14"/>
    </w:rPr>
  </w:style>
  <w:style w:type="character" w:customStyle="1" w:styleId="AddresseeInfoChar">
    <w:name w:val="Addressee Info Char"/>
    <w:basedOn w:val="DefaultParagraphFont"/>
    <w:link w:val="AddresseeInfo"/>
    <w:uiPriority w:val="4"/>
    <w:rsid w:val="007A4E28"/>
    <w:rPr>
      <w:rFonts w:asciiTheme="majorHAnsi" w:eastAsia="MS PGothic" w:hAnsiTheme="majorHAnsi" w:cstheme="majorHAnsi"/>
      <w:b/>
      <w:bCs/>
      <w:caps/>
      <w:noProof w:val="0"/>
      <w:sz w:val="14"/>
      <w:szCs w:val="14"/>
      <w:lang w:val="en-GB" w:eastAsia="ja-JP"/>
    </w:rPr>
  </w:style>
  <w:style w:type="paragraph" w:customStyle="1" w:styleId="DocumentName">
    <w:name w:val="Document Name"/>
    <w:basedOn w:val="Normal"/>
    <w:next w:val="Normal"/>
    <w:uiPriority w:val="4"/>
    <w:rsid w:val="00A07D21"/>
    <w:rPr>
      <w:rFonts w:asciiTheme="majorHAnsi" w:eastAsia="MS PGothic" w:hAnsiTheme="majorHAnsi" w:cs="Arial Black"/>
      <w:caps/>
      <w:sz w:val="36"/>
      <w:szCs w:val="40"/>
    </w:rPr>
  </w:style>
  <w:style w:type="paragraph" w:customStyle="1" w:styleId="Subject">
    <w:name w:val="Subject"/>
    <w:basedOn w:val="Normal"/>
    <w:link w:val="SubjectChar"/>
    <w:uiPriority w:val="4"/>
    <w:rsid w:val="00A07D21"/>
    <w:pPr>
      <w:spacing w:after="0" w:line="280" w:lineRule="atLeast"/>
    </w:pPr>
    <w:rPr>
      <w:rFonts w:asciiTheme="majorHAnsi" w:eastAsiaTheme="majorEastAsia" w:hAnsiTheme="majorHAnsi" w:cstheme="majorBidi"/>
      <w:sz w:val="20"/>
      <w:szCs w:val="20"/>
    </w:rPr>
  </w:style>
  <w:style w:type="paragraph" w:customStyle="1" w:styleId="Logo">
    <w:name w:val="Logo"/>
    <w:basedOn w:val="Normal"/>
    <w:uiPriority w:val="4"/>
    <w:rsid w:val="008350C0"/>
    <w:pPr>
      <w:spacing w:after="0" w:line="560" w:lineRule="exact"/>
      <w:jc w:val="center"/>
    </w:pPr>
    <w:rPr>
      <w:rFonts w:ascii="Arial" w:eastAsia="Times New Roman" w:hAnsi="Arial" w:cs="Arial"/>
      <w:sz w:val="16"/>
      <w:szCs w:val="16"/>
    </w:rPr>
  </w:style>
  <w:style w:type="paragraph" w:customStyle="1" w:styleId="EmployeeName">
    <w:name w:val="Employee Name"/>
    <w:basedOn w:val="Normal"/>
    <w:uiPriority w:val="4"/>
    <w:rsid w:val="005C4835"/>
    <w:pPr>
      <w:spacing w:after="0" w:line="220" w:lineRule="atLeast"/>
      <w:ind w:left="6120"/>
    </w:pPr>
    <w:rPr>
      <w:rFonts w:asciiTheme="majorHAnsi" w:eastAsia="MS PGothic" w:hAnsiTheme="majorHAnsi" w:cstheme="majorBidi"/>
      <w:b/>
      <w:bCs/>
      <w:sz w:val="17"/>
      <w:szCs w:val="17"/>
    </w:rPr>
  </w:style>
  <w:style w:type="paragraph" w:customStyle="1" w:styleId="HeadingA">
    <w:name w:val="Heading A"/>
    <w:basedOn w:val="Heading1"/>
    <w:next w:val="Normal"/>
    <w:qFormat/>
    <w:rsid w:val="00166B4D"/>
    <w:pPr>
      <w:numPr>
        <w:numId w:val="0"/>
      </w:numPr>
      <w:tabs>
        <w:tab w:val="left" w:pos="-720"/>
        <w:tab w:val="left" w:pos="720"/>
        <w:tab w:val="left" w:pos="1440"/>
      </w:tabs>
      <w:outlineLvl w:val="9"/>
    </w:pPr>
  </w:style>
  <w:style w:type="paragraph" w:customStyle="1" w:styleId="HeadingNumber1">
    <w:name w:val="Heading Number 1"/>
    <w:basedOn w:val="Normal"/>
    <w:next w:val="Normal"/>
    <w:uiPriority w:val="4"/>
    <w:rsid w:val="00A07D21"/>
    <w:pPr>
      <w:keepNext/>
      <w:numPr>
        <w:ilvl w:val="4"/>
        <w:numId w:val="9"/>
      </w:numPr>
      <w:spacing w:before="60" w:after="60"/>
      <w:outlineLvl w:val="4"/>
    </w:pPr>
    <w:rPr>
      <w:rFonts w:asciiTheme="majorHAnsi" w:hAnsiTheme="majorHAnsi" w:cs="Arial Black"/>
      <w:b/>
    </w:rPr>
  </w:style>
  <w:style w:type="paragraph" w:customStyle="1" w:styleId="HeadingNumber2">
    <w:name w:val="Heading Number 2"/>
    <w:basedOn w:val="Normal"/>
    <w:next w:val="Normal"/>
    <w:uiPriority w:val="4"/>
    <w:rsid w:val="00A07D21"/>
    <w:pPr>
      <w:keepNext/>
      <w:numPr>
        <w:ilvl w:val="5"/>
        <w:numId w:val="9"/>
      </w:numPr>
      <w:spacing w:before="60" w:after="60"/>
      <w:outlineLvl w:val="5"/>
    </w:pPr>
    <w:rPr>
      <w:rFonts w:asciiTheme="majorHAnsi" w:hAnsiTheme="majorHAnsi" w:cs="Arial"/>
    </w:rPr>
  </w:style>
  <w:style w:type="paragraph" w:customStyle="1" w:styleId="HeadingNumber3">
    <w:name w:val="Heading Number 3"/>
    <w:basedOn w:val="Normal"/>
    <w:next w:val="Normal"/>
    <w:uiPriority w:val="4"/>
    <w:rsid w:val="00A07D21"/>
    <w:pPr>
      <w:keepNext/>
      <w:numPr>
        <w:ilvl w:val="6"/>
        <w:numId w:val="9"/>
      </w:numPr>
      <w:spacing w:before="60" w:after="60"/>
      <w:outlineLvl w:val="6"/>
    </w:pPr>
    <w:rPr>
      <w:rFonts w:asciiTheme="majorHAnsi" w:hAnsiTheme="majorHAnsi" w:cs="Arial Black"/>
      <w:b/>
      <w:sz w:val="20"/>
    </w:rPr>
  </w:style>
  <w:style w:type="paragraph" w:customStyle="1" w:styleId="HeadingNumber4">
    <w:name w:val="Heading Number 4"/>
    <w:basedOn w:val="Normal"/>
    <w:next w:val="Normal"/>
    <w:uiPriority w:val="4"/>
    <w:rsid w:val="00A07D21"/>
    <w:pPr>
      <w:keepNext/>
      <w:numPr>
        <w:ilvl w:val="7"/>
        <w:numId w:val="9"/>
      </w:numPr>
      <w:spacing w:before="60" w:after="60"/>
      <w:outlineLvl w:val="7"/>
    </w:pPr>
    <w:rPr>
      <w:rFonts w:asciiTheme="majorHAnsi" w:hAnsiTheme="majorHAnsi" w:cs="Arial"/>
      <w:sz w:val="20"/>
    </w:rPr>
  </w:style>
  <w:style w:type="paragraph" w:customStyle="1" w:styleId="HeadingU3">
    <w:name w:val="Heading U3"/>
    <w:basedOn w:val="Heading3"/>
    <w:next w:val="BodyText"/>
    <w:qFormat/>
    <w:rsid w:val="00166B4D"/>
    <w:pPr>
      <w:numPr>
        <w:ilvl w:val="0"/>
        <w:numId w:val="0"/>
      </w:numPr>
    </w:pPr>
  </w:style>
  <w:style w:type="paragraph" w:customStyle="1" w:styleId="HeadingU4">
    <w:name w:val="Heading U4"/>
    <w:basedOn w:val="Heading4"/>
    <w:next w:val="BodyText"/>
    <w:qFormat/>
    <w:rsid w:val="00166B4D"/>
    <w:pPr>
      <w:numPr>
        <w:ilvl w:val="0"/>
        <w:numId w:val="0"/>
      </w:numPr>
    </w:pPr>
  </w:style>
  <w:style w:type="paragraph" w:customStyle="1" w:styleId="HeadingU5">
    <w:name w:val="Heading U5"/>
    <w:basedOn w:val="Heading5"/>
    <w:next w:val="BodyText"/>
    <w:qFormat/>
    <w:rsid w:val="00166B4D"/>
    <w:pPr>
      <w:numPr>
        <w:ilvl w:val="0"/>
        <w:numId w:val="0"/>
      </w:numPr>
    </w:pPr>
  </w:style>
  <w:style w:type="paragraph" w:customStyle="1" w:styleId="HeadingU6">
    <w:name w:val="Heading U6"/>
    <w:basedOn w:val="Heading6"/>
    <w:next w:val="BodyText"/>
    <w:rsid w:val="00A07D21"/>
    <w:pPr>
      <w:numPr>
        <w:ilvl w:val="0"/>
        <w:numId w:val="0"/>
      </w:numPr>
    </w:pPr>
  </w:style>
  <w:style w:type="paragraph" w:customStyle="1" w:styleId="HeadingU7">
    <w:name w:val="Heading U7"/>
    <w:basedOn w:val="Heading7"/>
    <w:next w:val="BodyText"/>
    <w:rsid w:val="00A07D21"/>
    <w:pPr>
      <w:numPr>
        <w:ilvl w:val="0"/>
        <w:numId w:val="0"/>
      </w:numPr>
    </w:pPr>
  </w:style>
  <w:style w:type="paragraph" w:customStyle="1" w:styleId="HeadingU8">
    <w:name w:val="Heading U8"/>
    <w:basedOn w:val="Heading8"/>
    <w:next w:val="BodyText"/>
    <w:rsid w:val="00A07D21"/>
    <w:pPr>
      <w:numPr>
        <w:ilvl w:val="0"/>
        <w:numId w:val="0"/>
      </w:numPr>
    </w:pPr>
  </w:style>
  <w:style w:type="paragraph" w:customStyle="1" w:styleId="HeadingU9">
    <w:name w:val="Heading U9"/>
    <w:basedOn w:val="Heading9"/>
    <w:next w:val="BodyText"/>
    <w:rsid w:val="00A07D21"/>
    <w:pPr>
      <w:numPr>
        <w:ilvl w:val="0"/>
        <w:numId w:val="0"/>
      </w:numPr>
    </w:pPr>
  </w:style>
  <w:style w:type="paragraph" w:customStyle="1" w:styleId="Legalcopy">
    <w:name w:val="Legal copy"/>
    <w:basedOn w:val="Normal"/>
    <w:uiPriority w:val="4"/>
    <w:rsid w:val="00A07D21"/>
    <w:pPr>
      <w:framePr w:hSpace="187" w:vSpace="187" w:wrap="around" w:hAnchor="text" w:yAlign="bottom"/>
      <w:spacing w:after="90" w:line="130" w:lineRule="atLeast"/>
    </w:pPr>
    <w:rPr>
      <w:rFonts w:asciiTheme="majorHAnsi" w:eastAsia="MS PGothic" w:hAnsiTheme="majorHAnsi" w:cs="Arial"/>
      <w:sz w:val="11"/>
      <w:szCs w:val="11"/>
    </w:rPr>
  </w:style>
  <w:style w:type="paragraph" w:customStyle="1" w:styleId="LogoHide">
    <w:name w:val="Logo Hide"/>
    <w:basedOn w:val="Normal"/>
    <w:uiPriority w:val="4"/>
    <w:rsid w:val="00A07D21"/>
    <w:pPr>
      <w:spacing w:line="20" w:lineRule="exact"/>
    </w:pPr>
    <w:rPr>
      <w:sz w:val="2"/>
      <w:szCs w:val="2"/>
    </w:rPr>
  </w:style>
  <w:style w:type="table" w:customStyle="1" w:styleId="NERATable">
    <w:name w:val="NERA Table"/>
    <w:basedOn w:val="TableNormal"/>
    <w:uiPriority w:val="99"/>
    <w:rsid w:val="00A07D21"/>
    <w:pPr>
      <w:spacing w:after="0" w:line="240" w:lineRule="auto"/>
    </w:pPr>
    <w:rPr>
      <w:rFonts w:ascii="Times New Roman" w:eastAsia="MS Mincho" w:hAnsi="Times New Roman" w:cs="Times New Roman"/>
      <w:sz w:val="20"/>
      <w:szCs w:val="20"/>
    </w:rPr>
    <w:tblPr>
      <w:jc w:val="center"/>
    </w:tblPr>
    <w:trPr>
      <w:jc w:val="center"/>
    </w:trPr>
    <w:tblStylePr w:type="firstRow">
      <w:pPr>
        <w:wordWrap/>
        <w:spacing w:afterLines="0" w:after="60" w:afterAutospacing="0"/>
      </w:pPr>
      <w:rPr>
        <w:b/>
      </w:rPr>
      <w:tblPr/>
      <w:tcPr>
        <w:tcBorders>
          <w:bottom w:val="single" w:sz="4" w:space="0" w:color="auto"/>
        </w:tcBorders>
      </w:tcPr>
    </w:tblStylePr>
    <w:tblStylePr w:type="lastRow">
      <w:tblPr/>
      <w:tcPr>
        <w:tcBorders>
          <w:bottom w:val="single" w:sz="4" w:space="0" w:color="auto"/>
        </w:tcBorders>
      </w:tcPr>
    </w:tblStylePr>
    <w:tblStylePr w:type="firstCol">
      <w:rPr>
        <w:b w:val="0"/>
      </w:rPr>
      <w:tblPr/>
      <w:tcPr>
        <w:tcBorders>
          <w:top w:val="nil"/>
          <w:left w:val="nil"/>
          <w:bottom w:val="nil"/>
          <w:right w:val="nil"/>
          <w:insideH w:val="nil"/>
          <w:insideV w:val="nil"/>
          <w:tl2br w:val="nil"/>
          <w:tr2bl w:val="nil"/>
        </w:tcBorders>
      </w:tcPr>
    </w:tblStylePr>
  </w:style>
  <w:style w:type="paragraph" w:customStyle="1" w:styleId="NormalIndent1">
    <w:name w:val="Normal Indent 1"/>
    <w:basedOn w:val="Normal"/>
    <w:uiPriority w:val="4"/>
    <w:rsid w:val="00A07D21"/>
    <w:pPr>
      <w:ind w:left="360"/>
    </w:pPr>
  </w:style>
  <w:style w:type="paragraph" w:customStyle="1" w:styleId="NormalIndent2">
    <w:name w:val="Normal Indent 2"/>
    <w:basedOn w:val="Normal"/>
    <w:uiPriority w:val="4"/>
    <w:unhideWhenUsed/>
    <w:rsid w:val="00A07D21"/>
    <w:pPr>
      <w:ind w:left="720"/>
    </w:pPr>
  </w:style>
  <w:style w:type="paragraph" w:customStyle="1" w:styleId="NormalIndent3">
    <w:name w:val="Normal Indent 3"/>
    <w:basedOn w:val="Normal"/>
    <w:uiPriority w:val="4"/>
    <w:unhideWhenUsed/>
    <w:rsid w:val="00A07D21"/>
    <w:pPr>
      <w:ind w:left="1080"/>
    </w:pPr>
  </w:style>
  <w:style w:type="paragraph" w:customStyle="1" w:styleId="NormalIndent4">
    <w:name w:val="Normal Indent 4"/>
    <w:basedOn w:val="Normal"/>
    <w:uiPriority w:val="4"/>
    <w:unhideWhenUsed/>
    <w:rsid w:val="00A07D21"/>
    <w:pPr>
      <w:ind w:left="1440"/>
    </w:pPr>
  </w:style>
  <w:style w:type="table" w:customStyle="1" w:styleId="OWTable">
    <w:name w:val="OW Table"/>
    <w:basedOn w:val="TableNormal"/>
    <w:rsid w:val="00A07D21"/>
    <w:pPr>
      <w:spacing w:after="0" w:line="240" w:lineRule="auto"/>
    </w:pPr>
    <w:rPr>
      <w:sz w:val="20"/>
      <w:szCs w:val="20"/>
    </w:rPr>
    <w:tblPr>
      <w:tblStyleRowBandSize w:val="1"/>
    </w:tblPr>
    <w:tblStylePr w:type="firstRow">
      <w:rPr>
        <w:rFonts w:asciiTheme="minorHAnsi" w:eastAsiaTheme="minorEastAsia" w:hAnsiTheme="minorHAnsi" w:cstheme="majorBidi"/>
        <w:b w:val="0"/>
        <w:sz w:val="18"/>
        <w:szCs w:val="18"/>
      </w:rPr>
      <w:tblPr/>
      <w:tcPr>
        <w:tcBorders>
          <w:top w:val="single" w:sz="4" w:space="0" w:color="auto"/>
          <w:left w:val="nil"/>
          <w:bottom w:val="single" w:sz="4" w:space="0" w:color="auto"/>
          <w:right w:val="nil"/>
          <w:insideH w:val="nil"/>
          <w:insideV w:val="nil"/>
          <w:tl2br w:val="nil"/>
          <w:tr2bl w:val="nil"/>
        </w:tcBorders>
      </w:tcPr>
    </w:tblStylePr>
    <w:tblStylePr w:type="band1Horz">
      <w:tblPr/>
      <w:tcPr>
        <w:tcBorders>
          <w:top w:val="single" w:sz="4" w:space="0" w:color="auto"/>
          <w:left w:val="nil"/>
          <w:bottom w:val="single" w:sz="4" w:space="0" w:color="auto"/>
          <w:right w:val="nil"/>
          <w:insideH w:val="nil"/>
          <w:insideV w:val="nil"/>
          <w:tl2br w:val="nil"/>
          <w:tr2bl w:val="nil"/>
        </w:tcBorders>
      </w:tcPr>
    </w:tblStylePr>
    <w:tblStylePr w:type="band2Horz">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Page2Heading">
    <w:name w:val="Page 2 Heading"/>
    <w:basedOn w:val="AddresseeInfo"/>
    <w:uiPriority w:val="4"/>
    <w:rsid w:val="00A07D21"/>
    <w:pPr>
      <w:tabs>
        <w:tab w:val="right" w:pos="9360"/>
      </w:tabs>
      <w:spacing w:line="240" w:lineRule="auto"/>
    </w:pPr>
    <w:rPr>
      <w:rFonts w:eastAsiaTheme="majorEastAsia"/>
      <w:b w:val="0"/>
      <w:bCs w:val="0"/>
      <w:caps w:val="0"/>
      <w:sz w:val="18"/>
      <w:szCs w:val="18"/>
    </w:rPr>
  </w:style>
  <w:style w:type="character" w:customStyle="1" w:styleId="SubjectChar">
    <w:name w:val="Subject Char"/>
    <w:basedOn w:val="DefaultParagraphFont"/>
    <w:link w:val="Subject"/>
    <w:uiPriority w:val="4"/>
    <w:rsid w:val="007A4E28"/>
    <w:rPr>
      <w:rFonts w:asciiTheme="majorHAnsi" w:eastAsiaTheme="majorEastAsia" w:hAnsiTheme="majorHAnsi" w:cstheme="majorBidi"/>
      <w:noProof w:val="0"/>
      <w:sz w:val="20"/>
      <w:szCs w:val="20"/>
      <w:lang w:val="en-GB" w:eastAsia="ja-JP"/>
    </w:rPr>
  </w:style>
  <w:style w:type="paragraph" w:customStyle="1" w:styleId="TableBullet1">
    <w:name w:val="Table Bullet 1"/>
    <w:basedOn w:val="Normal"/>
    <w:uiPriority w:val="4"/>
    <w:qFormat/>
    <w:rsid w:val="00166B4D"/>
    <w:pPr>
      <w:numPr>
        <w:ilvl w:val="4"/>
        <w:numId w:val="35"/>
      </w:numPr>
      <w:spacing w:before="40" w:after="40"/>
      <w:outlineLvl w:val="4"/>
    </w:pPr>
    <w:rPr>
      <w:rFonts w:ascii="Arial" w:eastAsia="Times New Roman" w:hAnsi="Arial" w:cs="Arial"/>
      <w:sz w:val="20"/>
      <w:szCs w:val="20"/>
    </w:rPr>
  </w:style>
  <w:style w:type="paragraph" w:customStyle="1" w:styleId="TableBullet2">
    <w:name w:val="Table Bullet 2"/>
    <w:basedOn w:val="Normal"/>
    <w:uiPriority w:val="4"/>
    <w:qFormat/>
    <w:rsid w:val="00166B4D"/>
    <w:pPr>
      <w:numPr>
        <w:ilvl w:val="5"/>
        <w:numId w:val="35"/>
      </w:numPr>
      <w:spacing w:before="40" w:after="40"/>
      <w:outlineLvl w:val="5"/>
    </w:pPr>
    <w:rPr>
      <w:rFonts w:ascii="Arial" w:eastAsia="Times New Roman" w:hAnsi="Arial" w:cs="Arial"/>
      <w:sz w:val="20"/>
      <w:szCs w:val="20"/>
    </w:rPr>
  </w:style>
  <w:style w:type="paragraph" w:customStyle="1" w:styleId="TableBullet3">
    <w:name w:val="Table Bullet 3"/>
    <w:basedOn w:val="Normal"/>
    <w:uiPriority w:val="4"/>
    <w:qFormat/>
    <w:rsid w:val="00166B4D"/>
    <w:pPr>
      <w:numPr>
        <w:ilvl w:val="6"/>
        <w:numId w:val="35"/>
      </w:numPr>
      <w:spacing w:before="40" w:after="40"/>
      <w:outlineLvl w:val="6"/>
    </w:pPr>
    <w:rPr>
      <w:rFonts w:ascii="Arial" w:eastAsia="Times New Roman" w:hAnsi="Arial" w:cs="Arial"/>
      <w:sz w:val="20"/>
      <w:szCs w:val="20"/>
    </w:rPr>
  </w:style>
  <w:style w:type="paragraph" w:customStyle="1" w:styleId="TableBullet4">
    <w:name w:val="Table Bullet 4"/>
    <w:basedOn w:val="Normal"/>
    <w:uiPriority w:val="4"/>
    <w:qFormat/>
    <w:rsid w:val="00166B4D"/>
    <w:pPr>
      <w:numPr>
        <w:ilvl w:val="7"/>
        <w:numId w:val="35"/>
      </w:numPr>
      <w:spacing w:before="40" w:after="40"/>
      <w:outlineLvl w:val="7"/>
    </w:pPr>
    <w:rPr>
      <w:rFonts w:ascii="Arial" w:eastAsia="Times New Roman" w:hAnsi="Arial" w:cs="Arial"/>
      <w:sz w:val="20"/>
      <w:szCs w:val="20"/>
    </w:rPr>
  </w:style>
  <w:style w:type="paragraph" w:customStyle="1" w:styleId="TableHeadingText">
    <w:name w:val="Table Heading Text"/>
    <w:basedOn w:val="Normal"/>
    <w:qFormat/>
    <w:rsid w:val="00166B4D"/>
    <w:pPr>
      <w:keepNext/>
      <w:keepLines/>
      <w:spacing w:before="60" w:after="60"/>
    </w:pPr>
    <w:rPr>
      <w:rFonts w:asciiTheme="majorHAnsi" w:eastAsiaTheme="majorEastAsia" w:hAnsiTheme="majorHAnsi" w:cstheme="majorBidi"/>
      <w:b/>
      <w:bCs/>
      <w:sz w:val="18"/>
      <w:szCs w:val="18"/>
    </w:rPr>
  </w:style>
  <w:style w:type="paragraph" w:customStyle="1" w:styleId="TableText">
    <w:name w:val="Table Text"/>
    <w:basedOn w:val="Normal"/>
    <w:uiPriority w:val="15"/>
    <w:qFormat/>
    <w:rsid w:val="00166B4D"/>
    <w:pPr>
      <w:keepNext/>
      <w:keepLines/>
      <w:spacing w:before="40" w:after="40"/>
    </w:pPr>
    <w:rPr>
      <w:rFonts w:asciiTheme="majorHAnsi" w:eastAsiaTheme="majorEastAsia" w:hAnsiTheme="majorHAnsi" w:cstheme="majorBidi"/>
      <w:sz w:val="20"/>
      <w:szCs w:val="20"/>
    </w:rPr>
  </w:style>
  <w:style w:type="character" w:customStyle="1" w:styleId="TextHide">
    <w:name w:val="Text Hide"/>
    <w:basedOn w:val="DefaultParagraphFont"/>
    <w:uiPriority w:val="4"/>
    <w:rsid w:val="00A07D21"/>
    <w:rPr>
      <w:rFonts w:cstheme="minorBidi"/>
      <w:bCs w:val="0"/>
      <w:iCs w:val="0"/>
      <w:noProof w:val="0"/>
      <w:szCs w:val="24"/>
      <w:lang w:val="en-GB" w:eastAsia="ja-JP"/>
    </w:rPr>
  </w:style>
  <w:style w:type="paragraph" w:customStyle="1" w:styleId="QuoteIndented">
    <w:name w:val="Quote Indented"/>
    <w:basedOn w:val="Normal"/>
    <w:next w:val="BodyText"/>
    <w:qFormat/>
    <w:rsid w:val="00166B4D"/>
    <w:pPr>
      <w:ind w:left="360" w:right="360"/>
    </w:pPr>
  </w:style>
  <w:style w:type="paragraph" w:customStyle="1" w:styleId="HeadingUNoTOC">
    <w:name w:val="Heading U NoTOC"/>
    <w:basedOn w:val="Heading1"/>
    <w:next w:val="BodyText"/>
    <w:rsid w:val="00166B4D"/>
    <w:pPr>
      <w:keepLines w:val="0"/>
      <w:numPr>
        <w:numId w:val="0"/>
      </w:numPr>
    </w:pPr>
    <w:rPr>
      <w:b w:val="0"/>
      <w:bCs w:val="0"/>
      <w:sz w:val="36"/>
      <w:szCs w:val="36"/>
      <w:lang w:val="en-US"/>
    </w:rPr>
  </w:style>
  <w:style w:type="paragraph" w:customStyle="1" w:styleId="ListAlphaLC">
    <w:name w:val="List AlphaLC"/>
    <w:basedOn w:val="List"/>
    <w:link w:val="ListAlphaLCChar"/>
    <w:rsid w:val="005B1DE2"/>
    <w:pPr>
      <w:ind w:left="0" w:firstLine="0"/>
    </w:pPr>
  </w:style>
  <w:style w:type="character" w:customStyle="1" w:styleId="ListAlphaLCChar">
    <w:name w:val="List AlphaLC Char"/>
    <w:basedOn w:val="BodyTextChar"/>
    <w:link w:val="ListAlphaLC"/>
    <w:rsid w:val="005B1DE2"/>
    <w:rPr>
      <w:sz w:val="24"/>
      <w:szCs w:val="24"/>
      <w:lang w:val="en-AU" w:eastAsia="ja-JP"/>
    </w:rPr>
  </w:style>
  <w:style w:type="character" w:customStyle="1" w:styleId="ListBulletChar">
    <w:name w:val="List Bullet Char"/>
    <w:aliases w:val="IPA Bullet Char,UL Char,UL + Arial Char,9 pt Char,Normal + Bold Char,Underline Char,After:  12 pt Char,Lista con viñetas Char,Normal + Arial Char,List Bullet Title Char,List Bullet Title Char Char Char Char1,List Bullet1 Char Char"/>
    <w:basedOn w:val="DefaultParagraphFont"/>
    <w:link w:val="ListBullet"/>
    <w:rsid w:val="005B1DE2"/>
    <w:rPr>
      <w:rFonts w:cstheme="minorHAnsi"/>
      <w:sz w:val="24"/>
      <w:szCs w:val="20"/>
      <w:lang w:val="en-AU" w:eastAsia="ja-JP"/>
    </w:rPr>
  </w:style>
  <w:style w:type="paragraph" w:customStyle="1" w:styleId="CAVBody">
    <w:name w:val="CAV Body"/>
    <w:qFormat/>
    <w:rsid w:val="00541347"/>
    <w:pPr>
      <w:suppressAutoHyphens/>
      <w:spacing w:after="180" w:line="240" w:lineRule="atLeast"/>
    </w:pPr>
    <w:rPr>
      <w:rFonts w:ascii="Calibri" w:eastAsia="Times New Roman" w:hAnsi="Calibri" w:cs="Calibri"/>
      <w:color w:val="000000"/>
      <w:szCs w:val="20"/>
      <w:lang w:val="en-AU" w:eastAsia="en-US"/>
    </w:rPr>
  </w:style>
  <w:style w:type="paragraph" w:customStyle="1" w:styleId="TableHeader-White">
    <w:name w:val="Table Header - White"/>
    <w:basedOn w:val="Normal"/>
    <w:rsid w:val="006C31B4"/>
    <w:pPr>
      <w:spacing w:before="60" w:after="60"/>
    </w:pPr>
    <w:rPr>
      <w:rFonts w:ascii="Calibri" w:eastAsia="Times New Roman" w:hAnsi="Calibri" w:cs="Times New Roman"/>
      <w:color w:val="FFFFFF"/>
      <w:sz w:val="18"/>
      <w:szCs w:val="20"/>
      <w:lang w:eastAsia="en-AU"/>
    </w:rPr>
  </w:style>
  <w:style w:type="paragraph" w:styleId="Revision">
    <w:name w:val="Revision"/>
    <w:hidden/>
    <w:uiPriority w:val="99"/>
    <w:semiHidden/>
    <w:rsid w:val="00414008"/>
    <w:pPr>
      <w:spacing w:after="0" w:line="240" w:lineRule="auto"/>
    </w:pPr>
    <w:rPr>
      <w:sz w:val="24"/>
      <w:szCs w:val="24"/>
      <w:lang w:val="en-AU" w:eastAsia="ja-JP"/>
    </w:rPr>
  </w:style>
  <w:style w:type="paragraph" w:customStyle="1" w:styleId="Default">
    <w:name w:val="Default"/>
    <w:rsid w:val="00A97A3D"/>
    <w:pPr>
      <w:autoSpaceDE w:val="0"/>
      <w:autoSpaceDN w:val="0"/>
      <w:adjustRightInd w:val="0"/>
      <w:spacing w:after="0" w:line="240" w:lineRule="auto"/>
    </w:pPr>
    <w:rPr>
      <w:rFonts w:ascii="Calibri" w:hAnsi="Calibri" w:cs="Calibri"/>
      <w:color w:val="000000"/>
      <w:sz w:val="24"/>
      <w:szCs w:val="24"/>
    </w:rPr>
  </w:style>
  <w:style w:type="character" w:customStyle="1" w:styleId="field-content">
    <w:name w:val="field-content"/>
    <w:basedOn w:val="DefaultParagraphFont"/>
    <w:rsid w:val="00C23BED"/>
  </w:style>
  <w:style w:type="paragraph" w:customStyle="1" w:styleId="TableParagraph">
    <w:name w:val="Table Paragraph"/>
    <w:basedOn w:val="Normal"/>
    <w:uiPriority w:val="1"/>
    <w:qFormat/>
    <w:rsid w:val="00EF1195"/>
    <w:pPr>
      <w:widowControl w:val="0"/>
      <w:spacing w:after="0"/>
    </w:pPr>
    <w:rPr>
      <w:rFonts w:eastAsiaTheme="minorHAns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579965">
      <w:bodyDiv w:val="1"/>
      <w:marLeft w:val="0"/>
      <w:marRight w:val="0"/>
      <w:marTop w:val="0"/>
      <w:marBottom w:val="0"/>
      <w:divBdr>
        <w:top w:val="none" w:sz="0" w:space="0" w:color="auto"/>
        <w:left w:val="none" w:sz="0" w:space="0" w:color="auto"/>
        <w:bottom w:val="none" w:sz="0" w:space="0" w:color="auto"/>
        <w:right w:val="none" w:sz="0" w:space="0" w:color="auto"/>
      </w:divBdr>
    </w:div>
    <w:div w:id="343360963">
      <w:bodyDiv w:val="1"/>
      <w:marLeft w:val="0"/>
      <w:marRight w:val="0"/>
      <w:marTop w:val="0"/>
      <w:marBottom w:val="0"/>
      <w:divBdr>
        <w:top w:val="none" w:sz="0" w:space="0" w:color="auto"/>
        <w:left w:val="none" w:sz="0" w:space="0" w:color="auto"/>
        <w:bottom w:val="none" w:sz="0" w:space="0" w:color="auto"/>
        <w:right w:val="none" w:sz="0" w:space="0" w:color="auto"/>
      </w:divBdr>
    </w:div>
    <w:div w:id="346370360">
      <w:bodyDiv w:val="1"/>
      <w:marLeft w:val="0"/>
      <w:marRight w:val="0"/>
      <w:marTop w:val="0"/>
      <w:marBottom w:val="0"/>
      <w:divBdr>
        <w:top w:val="none" w:sz="0" w:space="0" w:color="auto"/>
        <w:left w:val="none" w:sz="0" w:space="0" w:color="auto"/>
        <w:bottom w:val="none" w:sz="0" w:space="0" w:color="auto"/>
        <w:right w:val="none" w:sz="0" w:space="0" w:color="auto"/>
      </w:divBdr>
    </w:div>
    <w:div w:id="578759271">
      <w:bodyDiv w:val="1"/>
      <w:marLeft w:val="0"/>
      <w:marRight w:val="0"/>
      <w:marTop w:val="0"/>
      <w:marBottom w:val="0"/>
      <w:divBdr>
        <w:top w:val="none" w:sz="0" w:space="0" w:color="auto"/>
        <w:left w:val="none" w:sz="0" w:space="0" w:color="auto"/>
        <w:bottom w:val="none" w:sz="0" w:space="0" w:color="auto"/>
        <w:right w:val="none" w:sz="0" w:space="0" w:color="auto"/>
      </w:divBdr>
    </w:div>
    <w:div w:id="738213709">
      <w:bodyDiv w:val="1"/>
      <w:marLeft w:val="0"/>
      <w:marRight w:val="0"/>
      <w:marTop w:val="0"/>
      <w:marBottom w:val="0"/>
      <w:divBdr>
        <w:top w:val="none" w:sz="0" w:space="0" w:color="auto"/>
        <w:left w:val="none" w:sz="0" w:space="0" w:color="auto"/>
        <w:bottom w:val="none" w:sz="0" w:space="0" w:color="auto"/>
        <w:right w:val="none" w:sz="0" w:space="0" w:color="auto"/>
      </w:divBdr>
    </w:div>
    <w:div w:id="738282766">
      <w:bodyDiv w:val="1"/>
      <w:marLeft w:val="0"/>
      <w:marRight w:val="0"/>
      <w:marTop w:val="0"/>
      <w:marBottom w:val="0"/>
      <w:divBdr>
        <w:top w:val="none" w:sz="0" w:space="0" w:color="auto"/>
        <w:left w:val="none" w:sz="0" w:space="0" w:color="auto"/>
        <w:bottom w:val="none" w:sz="0" w:space="0" w:color="auto"/>
        <w:right w:val="none" w:sz="0" w:space="0" w:color="auto"/>
      </w:divBdr>
    </w:div>
    <w:div w:id="1018197886">
      <w:bodyDiv w:val="1"/>
      <w:marLeft w:val="0"/>
      <w:marRight w:val="0"/>
      <w:marTop w:val="0"/>
      <w:marBottom w:val="0"/>
      <w:divBdr>
        <w:top w:val="none" w:sz="0" w:space="0" w:color="auto"/>
        <w:left w:val="none" w:sz="0" w:space="0" w:color="auto"/>
        <w:bottom w:val="none" w:sz="0" w:space="0" w:color="auto"/>
        <w:right w:val="none" w:sz="0" w:space="0" w:color="auto"/>
      </w:divBdr>
    </w:div>
    <w:div w:id="1231498919">
      <w:bodyDiv w:val="1"/>
      <w:marLeft w:val="0"/>
      <w:marRight w:val="0"/>
      <w:marTop w:val="0"/>
      <w:marBottom w:val="0"/>
      <w:divBdr>
        <w:top w:val="none" w:sz="0" w:space="0" w:color="auto"/>
        <w:left w:val="none" w:sz="0" w:space="0" w:color="auto"/>
        <w:bottom w:val="none" w:sz="0" w:space="0" w:color="auto"/>
        <w:right w:val="none" w:sz="0" w:space="0" w:color="auto"/>
      </w:divBdr>
    </w:div>
    <w:div w:id="1325628535">
      <w:bodyDiv w:val="1"/>
      <w:marLeft w:val="0"/>
      <w:marRight w:val="0"/>
      <w:marTop w:val="0"/>
      <w:marBottom w:val="0"/>
      <w:divBdr>
        <w:top w:val="none" w:sz="0" w:space="0" w:color="auto"/>
        <w:left w:val="none" w:sz="0" w:space="0" w:color="auto"/>
        <w:bottom w:val="none" w:sz="0" w:space="0" w:color="auto"/>
        <w:right w:val="none" w:sz="0" w:space="0" w:color="auto"/>
      </w:divBdr>
    </w:div>
    <w:div w:id="1544753095">
      <w:bodyDiv w:val="1"/>
      <w:marLeft w:val="0"/>
      <w:marRight w:val="0"/>
      <w:marTop w:val="0"/>
      <w:marBottom w:val="0"/>
      <w:divBdr>
        <w:top w:val="none" w:sz="0" w:space="0" w:color="auto"/>
        <w:left w:val="none" w:sz="0" w:space="0" w:color="auto"/>
        <w:bottom w:val="none" w:sz="0" w:space="0" w:color="auto"/>
        <w:right w:val="none" w:sz="0" w:space="0" w:color="auto"/>
      </w:divBdr>
    </w:div>
    <w:div w:id="1679888447">
      <w:bodyDiv w:val="1"/>
      <w:marLeft w:val="0"/>
      <w:marRight w:val="0"/>
      <w:marTop w:val="0"/>
      <w:marBottom w:val="0"/>
      <w:divBdr>
        <w:top w:val="none" w:sz="0" w:space="0" w:color="auto"/>
        <w:left w:val="none" w:sz="0" w:space="0" w:color="auto"/>
        <w:bottom w:val="none" w:sz="0" w:space="0" w:color="auto"/>
        <w:right w:val="none" w:sz="0" w:space="0" w:color="auto"/>
      </w:divBdr>
    </w:div>
    <w:div w:id="1706826387">
      <w:bodyDiv w:val="1"/>
      <w:marLeft w:val="0"/>
      <w:marRight w:val="0"/>
      <w:marTop w:val="0"/>
      <w:marBottom w:val="0"/>
      <w:divBdr>
        <w:top w:val="none" w:sz="0" w:space="0" w:color="auto"/>
        <w:left w:val="none" w:sz="0" w:space="0" w:color="auto"/>
        <w:bottom w:val="none" w:sz="0" w:space="0" w:color="auto"/>
        <w:right w:val="none" w:sz="0" w:space="0" w:color="auto"/>
      </w:divBdr>
    </w:div>
    <w:div w:id="1844004541">
      <w:bodyDiv w:val="1"/>
      <w:marLeft w:val="0"/>
      <w:marRight w:val="0"/>
      <w:marTop w:val="0"/>
      <w:marBottom w:val="0"/>
      <w:divBdr>
        <w:top w:val="none" w:sz="0" w:space="0" w:color="auto"/>
        <w:left w:val="none" w:sz="0" w:space="0" w:color="auto"/>
        <w:bottom w:val="none" w:sz="0" w:space="0" w:color="auto"/>
        <w:right w:val="none" w:sz="0" w:space="0" w:color="auto"/>
      </w:divBdr>
    </w:div>
    <w:div w:id="1854682244">
      <w:bodyDiv w:val="1"/>
      <w:marLeft w:val="0"/>
      <w:marRight w:val="0"/>
      <w:marTop w:val="0"/>
      <w:marBottom w:val="0"/>
      <w:divBdr>
        <w:top w:val="none" w:sz="0" w:space="0" w:color="auto"/>
        <w:left w:val="none" w:sz="0" w:space="0" w:color="auto"/>
        <w:bottom w:val="none" w:sz="0" w:space="0" w:color="auto"/>
        <w:right w:val="none" w:sz="0" w:space="0" w:color="auto"/>
      </w:divBdr>
    </w:div>
    <w:div w:id="1866286546">
      <w:bodyDiv w:val="1"/>
      <w:marLeft w:val="0"/>
      <w:marRight w:val="0"/>
      <w:marTop w:val="0"/>
      <w:marBottom w:val="0"/>
      <w:divBdr>
        <w:top w:val="none" w:sz="0" w:space="0" w:color="auto"/>
        <w:left w:val="none" w:sz="0" w:space="0" w:color="auto"/>
        <w:bottom w:val="none" w:sz="0" w:space="0" w:color="auto"/>
        <w:right w:val="none" w:sz="0" w:space="0" w:color="auto"/>
      </w:divBdr>
    </w:div>
    <w:div w:id="1946696330">
      <w:bodyDiv w:val="1"/>
      <w:marLeft w:val="0"/>
      <w:marRight w:val="0"/>
      <w:marTop w:val="0"/>
      <w:marBottom w:val="0"/>
      <w:divBdr>
        <w:top w:val="none" w:sz="0" w:space="0" w:color="auto"/>
        <w:left w:val="none" w:sz="0" w:space="0" w:color="auto"/>
        <w:bottom w:val="none" w:sz="0" w:space="0" w:color="auto"/>
        <w:right w:val="none" w:sz="0" w:space="0" w:color="auto"/>
      </w:divBdr>
    </w:div>
    <w:div w:id="2028672372">
      <w:bodyDiv w:val="1"/>
      <w:marLeft w:val="0"/>
      <w:marRight w:val="0"/>
      <w:marTop w:val="0"/>
      <w:marBottom w:val="0"/>
      <w:divBdr>
        <w:top w:val="none" w:sz="0" w:space="0" w:color="auto"/>
        <w:left w:val="none" w:sz="0" w:space="0" w:color="auto"/>
        <w:bottom w:val="none" w:sz="0" w:space="0" w:color="auto"/>
        <w:right w:val="none" w:sz="0" w:space="0" w:color="auto"/>
      </w:divBdr>
    </w:div>
    <w:div w:id="208155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yperlink" Target="http://www.villages.com.au" TargetMode="External"/><Relationship Id="rId39" Type="http://schemas.openxmlformats.org/officeDocument/2006/relationships/image" Target="media/image17.emf"/><Relationship Id="rId21" Type="http://schemas.openxmlformats.org/officeDocument/2006/relationships/image" Target="media/image3.emf"/><Relationship Id="rId34" Type="http://schemas.openxmlformats.org/officeDocument/2006/relationships/image" Target="media/image12.emf"/><Relationship Id="rId42" Type="http://schemas.openxmlformats.org/officeDocument/2006/relationships/header" Target="header10.xml"/><Relationship Id="rId47" Type="http://schemas.openxmlformats.org/officeDocument/2006/relationships/image" Target="media/image22.emf"/><Relationship Id="rId50" Type="http://schemas.openxmlformats.org/officeDocument/2006/relationships/image" Target="media/image25.emf"/><Relationship Id="rId55"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oter" Target="footer3.xml"/><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image" Target="media/image16.emf"/><Relationship Id="rId46" Type="http://schemas.openxmlformats.org/officeDocument/2006/relationships/image" Target="cid:image006.png@01D296A0.1FD98AD0"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5.xml"/><Relationship Id="rId29" Type="http://schemas.openxmlformats.org/officeDocument/2006/relationships/image" Target="media/image10.emf"/><Relationship Id="rId41" Type="http://schemas.openxmlformats.org/officeDocument/2006/relationships/image" Target="media/image19.emf"/><Relationship Id="rId54"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emf"/><Relationship Id="rId32" Type="http://schemas.openxmlformats.org/officeDocument/2006/relationships/footer" Target="footer6.xml"/><Relationship Id="rId37" Type="http://schemas.openxmlformats.org/officeDocument/2006/relationships/image" Target="media/image15.emf"/><Relationship Id="rId40" Type="http://schemas.openxmlformats.org/officeDocument/2006/relationships/image" Target="media/image18.emf"/><Relationship Id="rId45" Type="http://schemas.openxmlformats.org/officeDocument/2006/relationships/image" Target="media/image21.png"/><Relationship Id="rId53" Type="http://schemas.openxmlformats.org/officeDocument/2006/relationships/header" Target="header11.xml"/><Relationship Id="rId58"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5.emf"/><Relationship Id="rId28" Type="http://schemas.openxmlformats.org/officeDocument/2006/relationships/image" Target="media/image9.emf"/><Relationship Id="rId36" Type="http://schemas.openxmlformats.org/officeDocument/2006/relationships/image" Target="media/image14.emf"/><Relationship Id="rId49" Type="http://schemas.openxmlformats.org/officeDocument/2006/relationships/image" Target="media/image24.emf"/><Relationship Id="rId57"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eader" Target="header9.xml"/><Relationship Id="rId44" Type="http://schemas.openxmlformats.org/officeDocument/2006/relationships/image" Target="cid:image005.png@01D2968E.EAAEEAA0" TargetMode="External"/><Relationship Id="rId52" Type="http://schemas.openxmlformats.org/officeDocument/2006/relationships/image" Target="media/image27.emf"/><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image" Target="media/image4.emf"/><Relationship Id="rId27" Type="http://schemas.openxmlformats.org/officeDocument/2006/relationships/image" Target="media/image8.emf"/><Relationship Id="rId30" Type="http://schemas.openxmlformats.org/officeDocument/2006/relationships/header" Target="header8.xml"/><Relationship Id="rId35" Type="http://schemas.openxmlformats.org/officeDocument/2006/relationships/image" Target="media/image13.emf"/><Relationship Id="rId43" Type="http://schemas.openxmlformats.org/officeDocument/2006/relationships/image" Target="media/image20.png"/><Relationship Id="rId48" Type="http://schemas.openxmlformats.org/officeDocument/2006/relationships/image" Target="media/image23.emf"/><Relationship Id="rId56" Type="http://schemas.openxmlformats.org/officeDocument/2006/relationships/footer" Target="footer7.xml"/><Relationship Id="rId8" Type="http://schemas.openxmlformats.org/officeDocument/2006/relationships/header" Target="header1.xml"/><Relationship Id="rId51" Type="http://schemas.openxmlformats.org/officeDocument/2006/relationships/image" Target="media/image26.emf"/><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villages.com.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ntJapanese">
      <a:majorFont>
        <a:latin typeface="Arial"/>
        <a:ea typeface="MS PGothic"/>
        <a:cs typeface="Arial"/>
      </a:majorFont>
      <a:minorFont>
        <a:latin typeface="Times New Roman"/>
        <a:ea typeface="MS PMincho"/>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74D00-5342-4567-9D25-D5D2E2304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Report.dotx</Template>
  <TotalTime>46</TotalTime>
  <Pages>1</Pages>
  <Words>28482</Words>
  <Characters>162353</Characters>
  <Application>Microsoft Office Word</Application>
  <DocSecurity>0</DocSecurity>
  <Lines>1352</Lines>
  <Paragraphs>380</Paragraphs>
  <ScaleCrop>false</ScaleCrop>
  <HeadingPairs>
    <vt:vector size="2" baseType="variant">
      <vt:variant>
        <vt:lpstr>Title</vt:lpstr>
      </vt:variant>
      <vt:variant>
        <vt:i4>1</vt:i4>
      </vt:variant>
    </vt:vector>
  </HeadingPairs>
  <TitlesOfParts>
    <vt:vector size="1" baseType="lpstr">
      <vt:lpstr/>
    </vt:vector>
  </TitlesOfParts>
  <Company>Oliver Wyman Group</Company>
  <LinksUpToDate>false</LinksUpToDate>
  <CharactersWithSpaces>190455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Nick</dc:creator>
  <cp:lastModifiedBy>Kerin Turner</cp:lastModifiedBy>
  <cp:revision>7</cp:revision>
  <cp:lastPrinted>2017-03-14T04:46:00Z</cp:lastPrinted>
  <dcterms:created xsi:type="dcterms:W3CDTF">2017-03-14T04:18:00Z</dcterms:created>
  <dcterms:modified xsi:type="dcterms:W3CDTF">2017-03-23T01:30:00Z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CD/17/135050</vt:lpwstr>
  </property>
  <property fmtid="{D5CDD505-2E9C-101B-9397-08002B2CF9AE}" pid="3" name="TRIM_DateDue">
    <vt:lpwstr> </vt:lpwstr>
  </property>
  <property fmtid="{D5CDD505-2E9C-101B-9397-08002B2CF9AE}" pid="4" name="TRIM_Author">
    <vt:lpwstr>DAVIS, Melanie</vt:lpwstr>
  </property>
  <property fmtid="{D5CDD505-2E9C-101B-9397-08002B2CF9AE}" pid="5" name="TRIM_Container">
    <vt:lpwstr>DG/17/11659</vt:lpwstr>
  </property>
  <property fmtid="{D5CDD505-2E9C-101B-9397-08002B2CF9AE}" pid="6" name="TRIM_Creator">
    <vt:lpwstr>DAVIS, Melanie</vt:lpwstr>
  </property>
  <property fmtid="{D5CDD505-2E9C-101B-9397-08002B2CF9AE}" pid="7" name="TRIM_DateRegistered">
    <vt:lpwstr>15 March, 2017</vt:lpwstr>
  </property>
  <property fmtid="{D5CDD505-2E9C-101B-9397-08002B2CF9AE}" pid="8" name="TRIM_OwnerLocation">
    <vt:lpwstr>Policy &amp; Legislation Branch (CAV)</vt:lpwstr>
  </property>
  <property fmtid="{D5CDD505-2E9C-101B-9397-08002B2CF9AE}" pid="9" name="TRIM_ResponsibleOfficer">
    <vt:lpwstr> </vt:lpwstr>
  </property>
  <property fmtid="{D5CDD505-2E9C-101B-9397-08002B2CF9AE}" pid="10" name="TRIM_Title">
    <vt:lpwstr>Working Paper - CAV Retirement Village RIS FINAL SUBMITTED (Attachment B)</vt:lpwstr>
  </property>
</Properties>
</file>