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5F" w:rsidRDefault="008C705F" w:rsidP="00291A4D">
      <w:pPr>
        <w:pStyle w:val="Heading1"/>
      </w:pPr>
      <w:r w:rsidRPr="00903CD4">
        <w:t>Background information</w:t>
      </w:r>
      <w:r>
        <w:t xml:space="preserve"> - </w:t>
      </w:r>
      <w:r w:rsidRPr="008C4E74">
        <w:t xml:space="preserve">Sale of Land </w:t>
      </w:r>
      <w:r>
        <w:t xml:space="preserve">Amendment </w:t>
      </w:r>
      <w:r w:rsidRPr="008C4E74">
        <w:t xml:space="preserve">(Exemption) Regulations 2020 </w:t>
      </w:r>
    </w:p>
    <w:p w:rsidR="008C705F" w:rsidRPr="00337A78" w:rsidRDefault="008C705F" w:rsidP="00C54CD1">
      <w:pPr>
        <w:pStyle w:val="Heading2"/>
      </w:pPr>
      <w:r w:rsidRPr="00337A78">
        <w:t>Terms contracts – Prescribed amount</w:t>
      </w:r>
    </w:p>
    <w:p w:rsidR="008C705F" w:rsidRPr="00337A78" w:rsidRDefault="008C705F" w:rsidP="00C54CD1">
      <w:pPr>
        <w:pStyle w:val="Heading3"/>
      </w:pPr>
      <w:r w:rsidRPr="00337A78">
        <w:t>What is a terms contract?</w:t>
      </w:r>
    </w:p>
    <w:p w:rsidR="008C705F" w:rsidRPr="008C4E74" w:rsidRDefault="008C705F" w:rsidP="00C54CD1">
      <w:pPr>
        <w:pStyle w:val="BodyText"/>
      </w:pPr>
      <w:r w:rsidRPr="008C4E74">
        <w:t xml:space="preserve">A terms contract for the sale of land is a contract where a seller and buyer agree that the buyer will pay the purchase price of the property in instalments prior to the seller completing a transfer of land in the buyer’s favour. They are sometimes called ‘vendor terms’ contracts or ‘vendor finance’ contracts. </w:t>
      </w:r>
    </w:p>
    <w:p w:rsidR="008C705F" w:rsidRDefault="008C705F" w:rsidP="00C54CD1">
      <w:pPr>
        <w:pStyle w:val="BodyText"/>
        <w:rPr>
          <w:rFonts w:eastAsiaTheme="minorHAnsi"/>
          <w:szCs w:val="22"/>
        </w:rPr>
      </w:pPr>
      <w:r w:rsidRPr="008C4E74">
        <w:rPr>
          <w:rFonts w:eastAsiaTheme="minorHAnsi"/>
          <w:szCs w:val="22"/>
        </w:rPr>
        <w:t xml:space="preserve">During the </w:t>
      </w:r>
      <w:r>
        <w:rPr>
          <w:rFonts w:eastAsiaTheme="minorHAnsi"/>
          <w:szCs w:val="22"/>
        </w:rPr>
        <w:t xml:space="preserve">Victorian Government’s </w:t>
      </w:r>
      <w:hyperlink r:id="rId8" w:history="1">
        <w:r w:rsidRPr="00A74CE2">
          <w:rPr>
            <w:rStyle w:val="Hyperlink"/>
            <w:rFonts w:eastAsiaTheme="minorHAnsi"/>
            <w:szCs w:val="22"/>
          </w:rPr>
          <w:t>Consumer Property Law Review</w:t>
        </w:r>
      </w:hyperlink>
      <w:r w:rsidRPr="008C4E74">
        <w:rPr>
          <w:rFonts w:eastAsiaTheme="minorHAnsi"/>
          <w:szCs w:val="22"/>
        </w:rPr>
        <w:t>, it was suggested that</w:t>
      </w:r>
      <w:r>
        <w:rPr>
          <w:rFonts w:eastAsiaTheme="minorHAnsi"/>
          <w:szCs w:val="22"/>
        </w:rPr>
        <w:t>:</w:t>
      </w:r>
      <w:r w:rsidRPr="008C4E74">
        <w:rPr>
          <w:rFonts w:eastAsiaTheme="minorHAnsi"/>
          <w:szCs w:val="22"/>
        </w:rPr>
        <w:t xml:space="preserve"> </w:t>
      </w:r>
    </w:p>
    <w:p w:rsidR="008C705F" w:rsidRDefault="008C705F" w:rsidP="00C54CD1">
      <w:pPr>
        <w:pStyle w:val="ListBullet"/>
        <w:rPr>
          <w:rFonts w:eastAsiaTheme="minorHAnsi"/>
        </w:rPr>
      </w:pPr>
      <w:r w:rsidRPr="008C4E74">
        <w:rPr>
          <w:rFonts w:eastAsiaTheme="minorHAnsi"/>
        </w:rPr>
        <w:t xml:space="preserve">market changes over the </w:t>
      </w:r>
      <w:r>
        <w:rPr>
          <w:rFonts w:eastAsiaTheme="minorHAnsi"/>
        </w:rPr>
        <w:t>p</w:t>
      </w:r>
      <w:r w:rsidRPr="008C4E74">
        <w:rPr>
          <w:rFonts w:eastAsiaTheme="minorHAnsi"/>
        </w:rPr>
        <w:t xml:space="preserve">ast 50 years, </w:t>
      </w:r>
      <w:proofErr w:type="gramStart"/>
      <w:r w:rsidRPr="008C4E74">
        <w:rPr>
          <w:rFonts w:eastAsiaTheme="minorHAnsi"/>
        </w:rPr>
        <w:t>in particular in</w:t>
      </w:r>
      <w:proofErr w:type="gramEnd"/>
      <w:r w:rsidRPr="008C4E74">
        <w:rPr>
          <w:rFonts w:eastAsiaTheme="minorHAnsi"/>
        </w:rPr>
        <w:t xml:space="preserve"> the competitive mortgage market, mean that there is no longer a compelling reason to continue to allow the use of terms contracts</w:t>
      </w:r>
      <w:r>
        <w:rPr>
          <w:rFonts w:eastAsiaTheme="minorHAnsi"/>
        </w:rPr>
        <w:t>, and</w:t>
      </w:r>
      <w:r w:rsidRPr="008C4E74">
        <w:rPr>
          <w:rFonts w:eastAsiaTheme="minorHAnsi"/>
        </w:rPr>
        <w:t xml:space="preserve"> </w:t>
      </w:r>
    </w:p>
    <w:p w:rsidR="008C705F" w:rsidRPr="008C4E74" w:rsidRDefault="008C705F" w:rsidP="00C54CD1">
      <w:pPr>
        <w:pStyle w:val="ListBullet"/>
        <w:rPr>
          <w:rFonts w:eastAsiaTheme="minorHAnsi"/>
        </w:rPr>
      </w:pPr>
      <w:r w:rsidRPr="008C4E74">
        <w:rPr>
          <w:rFonts w:eastAsiaTheme="minorHAnsi"/>
        </w:rPr>
        <w:t xml:space="preserve">these contracts should be restricted to avoid exploitation of vulnerable consumers who cannot access conventional mortgage finance. </w:t>
      </w:r>
    </w:p>
    <w:p w:rsidR="008C705F" w:rsidRPr="00337A78" w:rsidRDefault="008C705F" w:rsidP="00C54CD1">
      <w:pPr>
        <w:pStyle w:val="Heading3"/>
        <w:rPr>
          <w:rFonts w:eastAsiaTheme="minorHAnsi"/>
          <w:i/>
        </w:rPr>
      </w:pPr>
      <w:r w:rsidRPr="00337A78">
        <w:rPr>
          <w:rFonts w:eastAsiaTheme="minorHAnsi"/>
        </w:rPr>
        <w:t xml:space="preserve">Relevant sections to be inserted into the </w:t>
      </w:r>
      <w:r w:rsidRPr="00337A78">
        <w:rPr>
          <w:rFonts w:eastAsiaTheme="minorHAnsi"/>
          <w:i/>
        </w:rPr>
        <w:t>Sale of Land Act 1962</w:t>
      </w:r>
    </w:p>
    <w:p w:rsidR="008C705F" w:rsidRDefault="008C705F" w:rsidP="00B201D8">
      <w:pPr>
        <w:pStyle w:val="BodyText"/>
        <w:rPr>
          <w:rFonts w:eastAsiaTheme="minorHAnsi"/>
        </w:rPr>
      </w:pPr>
      <w:r w:rsidRPr="008C4E74">
        <w:rPr>
          <w:rFonts w:eastAsiaTheme="minorHAnsi"/>
        </w:rPr>
        <w:t xml:space="preserve">New sections 29EA, 29EB and 29EC </w:t>
      </w:r>
      <w:r>
        <w:rPr>
          <w:rFonts w:eastAsiaTheme="minorHAnsi"/>
        </w:rPr>
        <w:t xml:space="preserve">to be inserted into the </w:t>
      </w:r>
      <w:r w:rsidRPr="00921F97">
        <w:rPr>
          <w:rFonts w:eastAsiaTheme="minorHAnsi"/>
          <w:i/>
        </w:rPr>
        <w:t>Sale of Land Act 1962</w:t>
      </w:r>
      <w:r>
        <w:rPr>
          <w:rFonts w:eastAsiaTheme="minorHAnsi"/>
        </w:rPr>
        <w:t xml:space="preserve"> (the Principal Act) by</w:t>
      </w:r>
      <w:r w:rsidRPr="008C4E74">
        <w:rPr>
          <w:rFonts w:eastAsiaTheme="minorHAnsi"/>
        </w:rPr>
        <w:t xml:space="preserve"> the </w:t>
      </w:r>
      <w:r w:rsidRPr="00903CD4">
        <w:rPr>
          <w:rFonts w:eastAsiaTheme="minorHAnsi"/>
          <w:i/>
        </w:rPr>
        <w:t>Sale of Land Amendment Act 2019</w:t>
      </w:r>
      <w:r>
        <w:rPr>
          <w:rFonts w:eastAsiaTheme="minorHAnsi"/>
          <w:i/>
        </w:rPr>
        <w:t xml:space="preserve"> </w:t>
      </w:r>
      <w:r>
        <w:rPr>
          <w:rFonts w:eastAsiaTheme="minorHAnsi"/>
        </w:rPr>
        <w:t>(the Amendment Act),</w:t>
      </w:r>
      <w:r w:rsidRPr="008C4E74">
        <w:rPr>
          <w:rFonts w:eastAsiaTheme="minorHAnsi"/>
        </w:rPr>
        <w:t xml:space="preserve"> establish </w:t>
      </w:r>
      <w:proofErr w:type="gramStart"/>
      <w:r w:rsidRPr="008C4E74">
        <w:rPr>
          <w:rFonts w:eastAsiaTheme="minorHAnsi"/>
        </w:rPr>
        <w:t>a number of</w:t>
      </w:r>
      <w:proofErr w:type="gramEnd"/>
      <w:r w:rsidRPr="008C4E74">
        <w:rPr>
          <w:rFonts w:eastAsiaTheme="minorHAnsi"/>
        </w:rPr>
        <w:t xml:space="preserve"> new offences where the price of residential land under a terms contract </w:t>
      </w:r>
      <w:r>
        <w:rPr>
          <w:rFonts w:eastAsiaTheme="minorHAnsi"/>
        </w:rPr>
        <w:t>‘</w:t>
      </w:r>
      <w:r w:rsidRPr="008C4E74">
        <w:rPr>
          <w:rFonts w:eastAsiaTheme="minorHAnsi"/>
        </w:rPr>
        <w:t>is less than the prescribed amount</w:t>
      </w:r>
      <w:r>
        <w:rPr>
          <w:rFonts w:eastAsiaTheme="minorHAnsi"/>
        </w:rPr>
        <w:t>’</w:t>
      </w:r>
      <w:r w:rsidRPr="008C4E74">
        <w:rPr>
          <w:rFonts w:eastAsiaTheme="minorHAnsi"/>
        </w:rPr>
        <w:t>.</w:t>
      </w:r>
    </w:p>
    <w:p w:rsidR="008C705F" w:rsidRDefault="008C705F" w:rsidP="00B201D8">
      <w:pPr>
        <w:pStyle w:val="BodyText"/>
        <w:rPr>
          <w:rFonts w:eastAsiaTheme="minorHAnsi"/>
        </w:rPr>
      </w:pPr>
      <w:r>
        <w:rPr>
          <w:rFonts w:eastAsiaTheme="minorHAnsi"/>
        </w:rPr>
        <w:t>These new sections will provide:</w:t>
      </w:r>
    </w:p>
    <w:p w:rsidR="008C705F" w:rsidRPr="00A25F69" w:rsidRDefault="008C705F" w:rsidP="00A25F69">
      <w:pPr>
        <w:pStyle w:val="BodyText"/>
        <w:rPr>
          <w:rStyle w:val="Emphasis"/>
          <w:rFonts w:eastAsiaTheme="minorHAnsi"/>
        </w:rPr>
      </w:pPr>
      <w:r w:rsidRPr="00A25F69">
        <w:rPr>
          <w:rStyle w:val="Emphasis"/>
          <w:rFonts w:eastAsiaTheme="minorHAnsi"/>
        </w:rPr>
        <w:t>29EA Additional prohibited terms contracts</w:t>
      </w:r>
    </w:p>
    <w:p w:rsidR="008C705F" w:rsidRPr="00A25F69" w:rsidRDefault="008C705F" w:rsidP="00117EB9">
      <w:pPr>
        <w:pStyle w:val="BodyText"/>
        <w:ind w:left="567"/>
        <w:rPr>
          <w:rStyle w:val="Emphasis"/>
          <w:rFonts w:eastAsiaTheme="minorHAnsi"/>
        </w:rPr>
      </w:pPr>
      <w:r w:rsidRPr="00A25F69">
        <w:rPr>
          <w:rStyle w:val="Emphasis"/>
          <w:rFonts w:eastAsiaTheme="minorHAnsi"/>
        </w:rPr>
        <w:t>A person must not knowingly sell any residential land (other than residential land that is agricultural land) under a terms contract where the sale price of the land is less than the prescribed amount.</w:t>
      </w:r>
    </w:p>
    <w:p w:rsidR="008C705F" w:rsidRPr="00A25F69" w:rsidRDefault="008C705F" w:rsidP="00117EB9">
      <w:pPr>
        <w:pStyle w:val="BodyText"/>
        <w:ind w:firstLine="567"/>
        <w:rPr>
          <w:rStyle w:val="Emphasis"/>
          <w:rFonts w:eastAsiaTheme="minorHAnsi"/>
        </w:rPr>
      </w:pPr>
      <w:r w:rsidRPr="00A25F69">
        <w:rPr>
          <w:rStyle w:val="Emphasis"/>
          <w:rFonts w:eastAsiaTheme="minorHAnsi"/>
        </w:rPr>
        <w:t>Penalty:</w:t>
      </w:r>
      <w:r w:rsidRPr="00A25F69">
        <w:rPr>
          <w:rStyle w:val="Emphasis"/>
          <w:rFonts w:eastAsiaTheme="minorHAnsi"/>
        </w:rPr>
        <w:tab/>
        <w:t>For a natural person, 240 penalty units or imprisonment for 2 years or both;</w:t>
      </w:r>
    </w:p>
    <w:p w:rsidR="008C705F" w:rsidRPr="00A25F69" w:rsidRDefault="008C705F" w:rsidP="00117EB9">
      <w:pPr>
        <w:pStyle w:val="BodyText"/>
        <w:ind w:left="720" w:firstLine="720"/>
        <w:rPr>
          <w:rStyle w:val="Emphasis"/>
          <w:rFonts w:eastAsiaTheme="minorHAnsi"/>
        </w:rPr>
      </w:pPr>
      <w:r w:rsidRPr="00A25F69">
        <w:rPr>
          <w:rStyle w:val="Emphasis"/>
          <w:rFonts w:eastAsiaTheme="minorHAnsi"/>
        </w:rPr>
        <w:t>For a body corporate, 1200 penalty units</w:t>
      </w:r>
    </w:p>
    <w:p w:rsidR="008C705F" w:rsidRPr="00A25F69" w:rsidRDefault="008C705F" w:rsidP="00A25F69">
      <w:pPr>
        <w:pStyle w:val="BodyText"/>
        <w:rPr>
          <w:rStyle w:val="Emphasis"/>
          <w:rFonts w:eastAsiaTheme="minorHAnsi"/>
        </w:rPr>
      </w:pPr>
      <w:r w:rsidRPr="00A25F69">
        <w:rPr>
          <w:rStyle w:val="Emphasis"/>
          <w:rFonts w:eastAsiaTheme="minorHAnsi"/>
        </w:rPr>
        <w:t>29EB Offence to arrange, broker or induce certain terms contracts</w:t>
      </w:r>
    </w:p>
    <w:p w:rsidR="008C705F" w:rsidRPr="00A25F69" w:rsidRDefault="008C705F" w:rsidP="00AB2728">
      <w:pPr>
        <w:pStyle w:val="ListNumber"/>
        <w:numPr>
          <w:ilvl w:val="0"/>
          <w:numId w:val="25"/>
        </w:numPr>
        <w:ind w:left="567" w:hanging="283"/>
        <w:rPr>
          <w:rStyle w:val="Emphasis"/>
          <w:rFonts w:eastAsiaTheme="minorHAnsi"/>
        </w:rPr>
      </w:pPr>
      <w:r w:rsidRPr="00A25F69">
        <w:rPr>
          <w:rStyle w:val="Emphasis"/>
          <w:rFonts w:eastAsiaTheme="minorHAnsi"/>
        </w:rPr>
        <w:t>A person must not knowingly arrange or broker the sale of any residential land (other than residential land that is agricultural land) under a terms contract where the sale price of the land is less than the prescribed amount.</w:t>
      </w:r>
    </w:p>
    <w:p w:rsidR="008C705F" w:rsidRPr="00A25F69" w:rsidRDefault="008C705F" w:rsidP="00AB2728">
      <w:pPr>
        <w:pStyle w:val="BodyText"/>
        <w:ind w:firstLine="567"/>
        <w:rPr>
          <w:rStyle w:val="Emphasis"/>
          <w:rFonts w:eastAsiaTheme="minorHAnsi"/>
        </w:rPr>
      </w:pPr>
      <w:r w:rsidRPr="00A25F69">
        <w:rPr>
          <w:rStyle w:val="Emphasis"/>
          <w:rFonts w:eastAsiaTheme="minorHAnsi"/>
        </w:rPr>
        <w:t>Penalty:</w:t>
      </w:r>
      <w:r w:rsidRPr="00A25F69">
        <w:rPr>
          <w:rStyle w:val="Emphasis"/>
          <w:rFonts w:eastAsiaTheme="minorHAnsi"/>
        </w:rPr>
        <w:tab/>
        <w:t>For a natural person, 240 penalty units or imprisonment for 2 years or both;</w:t>
      </w:r>
    </w:p>
    <w:p w:rsidR="008C705F" w:rsidRPr="00A25F69" w:rsidRDefault="008C705F" w:rsidP="00AB2728">
      <w:pPr>
        <w:pStyle w:val="BodyText"/>
        <w:ind w:left="720" w:firstLine="720"/>
        <w:rPr>
          <w:rStyle w:val="Emphasis"/>
          <w:rFonts w:eastAsiaTheme="minorHAnsi"/>
        </w:rPr>
      </w:pPr>
      <w:r w:rsidRPr="00A25F69">
        <w:rPr>
          <w:rStyle w:val="Emphasis"/>
          <w:rFonts w:eastAsiaTheme="minorHAnsi"/>
        </w:rPr>
        <w:t>For a body corporate, 1200 penalty units.</w:t>
      </w:r>
    </w:p>
    <w:p w:rsidR="008C705F" w:rsidRPr="00A25F69" w:rsidRDefault="008C705F" w:rsidP="00AB2728">
      <w:pPr>
        <w:pStyle w:val="ListNumber"/>
        <w:numPr>
          <w:ilvl w:val="0"/>
          <w:numId w:val="25"/>
        </w:numPr>
        <w:ind w:left="567" w:hanging="283"/>
        <w:rPr>
          <w:rStyle w:val="Emphasis"/>
          <w:rFonts w:eastAsiaTheme="minorHAnsi"/>
        </w:rPr>
      </w:pPr>
      <w:r w:rsidRPr="00A25F69">
        <w:rPr>
          <w:rStyle w:val="Emphasis"/>
          <w:rFonts w:eastAsiaTheme="minorHAnsi"/>
        </w:rPr>
        <w:t>A person must not knowingly induce another person to enter into a sale of any residential land (other than residential land that is agricultural land) under a terms contract where the sale price of the land is less than the prescribed amount.</w:t>
      </w:r>
    </w:p>
    <w:p w:rsidR="008C705F" w:rsidRPr="00A25F69" w:rsidRDefault="008C705F" w:rsidP="00C93913">
      <w:pPr>
        <w:pStyle w:val="BodyText"/>
        <w:ind w:firstLine="567"/>
        <w:rPr>
          <w:rStyle w:val="Emphasis"/>
          <w:rFonts w:eastAsiaTheme="minorHAnsi"/>
        </w:rPr>
      </w:pPr>
      <w:r w:rsidRPr="00A25F69">
        <w:rPr>
          <w:rStyle w:val="Emphasis"/>
          <w:rFonts w:eastAsiaTheme="minorHAnsi"/>
        </w:rPr>
        <w:t>Penalty:</w:t>
      </w:r>
      <w:r w:rsidRPr="00A25F69">
        <w:rPr>
          <w:rStyle w:val="Emphasis"/>
          <w:rFonts w:eastAsiaTheme="minorHAnsi"/>
        </w:rPr>
        <w:tab/>
        <w:t>For a natural person, 240 penalty units or imprisonment for 2 years or both;</w:t>
      </w:r>
    </w:p>
    <w:p w:rsidR="008C705F" w:rsidRPr="00A25F69" w:rsidRDefault="008C705F" w:rsidP="00C93913">
      <w:pPr>
        <w:pStyle w:val="BodyText"/>
        <w:ind w:firstLine="567"/>
        <w:rPr>
          <w:rStyle w:val="Emphasis"/>
          <w:rFonts w:eastAsiaTheme="minorHAnsi"/>
        </w:rPr>
      </w:pPr>
      <w:r w:rsidRPr="00A25F69">
        <w:rPr>
          <w:rStyle w:val="Emphasis"/>
          <w:rFonts w:eastAsiaTheme="minorHAnsi"/>
        </w:rPr>
        <w:t xml:space="preserve">For a body corporate, </w:t>
      </w:r>
      <w:r w:rsidR="00E06D29">
        <w:rPr>
          <w:rStyle w:val="Emphasis"/>
          <w:rFonts w:eastAsiaTheme="minorHAnsi"/>
        </w:rPr>
        <w:t>1200</w:t>
      </w:r>
      <w:r w:rsidR="00E06D29" w:rsidRPr="00A25F69">
        <w:rPr>
          <w:rStyle w:val="Emphasis"/>
          <w:rFonts w:eastAsiaTheme="minorHAnsi"/>
        </w:rPr>
        <w:t xml:space="preserve"> </w:t>
      </w:r>
      <w:r w:rsidRPr="00A25F69">
        <w:rPr>
          <w:rStyle w:val="Emphasis"/>
          <w:rFonts w:eastAsiaTheme="minorHAnsi"/>
        </w:rPr>
        <w:t>penalty units.</w:t>
      </w:r>
    </w:p>
    <w:p w:rsidR="008C705F" w:rsidRPr="00A25F69" w:rsidRDefault="008C705F" w:rsidP="00A25F69">
      <w:pPr>
        <w:pStyle w:val="BodyText"/>
        <w:rPr>
          <w:rStyle w:val="Emphasis"/>
          <w:rFonts w:eastAsiaTheme="minorHAnsi"/>
        </w:rPr>
      </w:pPr>
      <w:r w:rsidRPr="00A25F69">
        <w:rPr>
          <w:rStyle w:val="Emphasis"/>
          <w:rFonts w:eastAsiaTheme="minorHAnsi"/>
        </w:rPr>
        <w:t>29EC Offence to advertise certain terms contracts</w:t>
      </w:r>
    </w:p>
    <w:p w:rsidR="008C705F" w:rsidRPr="00A25F69" w:rsidRDefault="008C705F" w:rsidP="00383817">
      <w:pPr>
        <w:pStyle w:val="BodyText"/>
        <w:ind w:left="567"/>
        <w:rPr>
          <w:rStyle w:val="Emphasis"/>
          <w:rFonts w:eastAsiaTheme="minorHAnsi"/>
        </w:rPr>
      </w:pPr>
      <w:r w:rsidRPr="00A25F69">
        <w:rPr>
          <w:rStyle w:val="Emphasis"/>
          <w:rFonts w:eastAsiaTheme="minorHAnsi"/>
        </w:rPr>
        <w:t xml:space="preserve">A person must not knowingly advertise the sale of any residential land (other than residential land that is agricultural land) under a terms contract where the sale price of the land is less than the prescribed amount. </w:t>
      </w:r>
    </w:p>
    <w:p w:rsidR="008C705F" w:rsidRPr="00A25F69" w:rsidRDefault="008C705F" w:rsidP="00383817">
      <w:pPr>
        <w:pStyle w:val="BodyText"/>
        <w:ind w:left="567"/>
        <w:rPr>
          <w:rStyle w:val="Emphasis"/>
          <w:rFonts w:eastAsiaTheme="minorHAnsi"/>
        </w:rPr>
      </w:pPr>
      <w:r w:rsidRPr="00A25F69">
        <w:rPr>
          <w:rStyle w:val="Emphasis"/>
          <w:rFonts w:eastAsiaTheme="minorHAnsi"/>
        </w:rPr>
        <w:t>Penalty:</w:t>
      </w:r>
      <w:r w:rsidRPr="00A25F69">
        <w:rPr>
          <w:rStyle w:val="Emphasis"/>
          <w:rFonts w:eastAsiaTheme="minorHAnsi"/>
        </w:rPr>
        <w:tab/>
        <w:t>For a natural person, 120 penalty units;</w:t>
      </w:r>
    </w:p>
    <w:p w:rsidR="008C705F" w:rsidRPr="00A25F69" w:rsidRDefault="008C705F" w:rsidP="00DC6AA2">
      <w:pPr>
        <w:pStyle w:val="BodyText"/>
        <w:ind w:left="1287" w:firstLine="153"/>
        <w:rPr>
          <w:rStyle w:val="Emphasis"/>
          <w:rFonts w:eastAsiaTheme="minorHAnsi"/>
        </w:rPr>
      </w:pPr>
      <w:r w:rsidRPr="00A25F69">
        <w:rPr>
          <w:rStyle w:val="Emphasis"/>
          <w:rFonts w:eastAsiaTheme="minorHAnsi"/>
        </w:rPr>
        <w:t xml:space="preserve">For a body corporate, 500 penalty units. </w:t>
      </w:r>
    </w:p>
    <w:p w:rsidR="008C705F" w:rsidRPr="00B201D8" w:rsidRDefault="008C705F" w:rsidP="00B201D8">
      <w:pPr>
        <w:pStyle w:val="Heading3"/>
        <w:rPr>
          <w:rFonts w:eastAsiaTheme="minorHAnsi"/>
        </w:rPr>
      </w:pPr>
      <w:r w:rsidRPr="00B201D8">
        <w:rPr>
          <w:rFonts w:eastAsiaTheme="minorHAnsi"/>
        </w:rPr>
        <w:t>Further information regarding suggested amounts to be prescribed</w:t>
      </w:r>
    </w:p>
    <w:p w:rsidR="008C705F" w:rsidRPr="00337A78" w:rsidRDefault="008C705F" w:rsidP="00B201D8">
      <w:pPr>
        <w:pStyle w:val="BodyText"/>
        <w:rPr>
          <w:rFonts w:eastAsiaTheme="minorHAnsi"/>
        </w:rPr>
      </w:pPr>
      <w:r>
        <w:rPr>
          <w:rFonts w:eastAsiaTheme="minorHAnsi"/>
        </w:rPr>
        <w:t>For the purposes of consultation, t</w:t>
      </w:r>
      <w:r w:rsidRPr="00337A78">
        <w:rPr>
          <w:rFonts w:eastAsiaTheme="minorHAnsi"/>
        </w:rPr>
        <w:t xml:space="preserve">wo amounts are being considered for the proposed Sale of Land Amendment (Exemption) Regulations 2020 (Regulations), which will support the Amendment Act: </w:t>
      </w:r>
    </w:p>
    <w:p w:rsidR="008C705F" w:rsidRPr="008C4E74" w:rsidRDefault="008C705F" w:rsidP="00B201D8">
      <w:pPr>
        <w:pStyle w:val="ListBullet"/>
        <w:rPr>
          <w:rFonts w:eastAsiaTheme="minorHAnsi"/>
        </w:rPr>
      </w:pPr>
      <w:r w:rsidRPr="00337A78">
        <w:rPr>
          <w:rFonts w:eastAsiaTheme="minorHAnsi"/>
        </w:rPr>
        <w:lastRenderedPageBreak/>
        <w:t>$750,000.</w:t>
      </w:r>
      <w:r w:rsidRPr="008C4E74">
        <w:rPr>
          <w:rFonts w:eastAsiaTheme="minorHAnsi"/>
        </w:rPr>
        <w:t xml:space="preserve"> This is the value below which a person is still eligible for a first home owners grant</w:t>
      </w:r>
      <w:r>
        <w:rPr>
          <w:rFonts w:eastAsiaTheme="minorHAnsi"/>
        </w:rPr>
        <w:t>;</w:t>
      </w:r>
      <w:r w:rsidRPr="008C4E74">
        <w:rPr>
          <w:rFonts w:eastAsiaTheme="minorHAnsi"/>
        </w:rPr>
        <w:t xml:space="preserve"> </w:t>
      </w:r>
      <w:r>
        <w:rPr>
          <w:rFonts w:eastAsiaTheme="minorHAnsi"/>
        </w:rPr>
        <w:t>it</w:t>
      </w:r>
      <w:r w:rsidRPr="008C4E74">
        <w:rPr>
          <w:rFonts w:eastAsiaTheme="minorHAnsi"/>
        </w:rPr>
        <w:t xml:space="preserve"> is a useful benchmark of the price range where vulnerable purchasers are most likely to purchase.</w:t>
      </w:r>
    </w:p>
    <w:p w:rsidR="008C705F" w:rsidRPr="008C4E74" w:rsidRDefault="008C705F" w:rsidP="0056301B">
      <w:pPr>
        <w:pStyle w:val="ListBullet"/>
        <w:numPr>
          <w:ilvl w:val="0"/>
          <w:numId w:val="0"/>
        </w:numPr>
        <w:ind w:left="227"/>
        <w:rPr>
          <w:rFonts w:eastAsiaTheme="minorHAnsi"/>
        </w:rPr>
      </w:pPr>
      <w:r w:rsidRPr="008C4E74">
        <w:rPr>
          <w:rFonts w:eastAsiaTheme="minorHAnsi"/>
        </w:rPr>
        <w:t>This threshold reflects that terms contracts can be a useful and appropriate arrangement for the sale of property in higher value sales (such as rural farming land), where it is commercially desirable for the purchaser to pay the purchase price in multiple instalments over a defined period, and regular payments are acceptable to the vendor. These types of contracts are commonly formed by professional and financially literate parties, with relatively equal bargaining power.</w:t>
      </w:r>
    </w:p>
    <w:p w:rsidR="008C705F" w:rsidRPr="00337A78" w:rsidRDefault="008C705F" w:rsidP="00B201D8">
      <w:pPr>
        <w:pStyle w:val="ListBullet"/>
        <w:rPr>
          <w:rFonts w:eastAsiaTheme="minorHAnsi"/>
        </w:rPr>
      </w:pPr>
      <w:r w:rsidRPr="00337A78">
        <w:rPr>
          <w:rFonts w:eastAsiaTheme="minorHAnsi"/>
        </w:rPr>
        <w:t xml:space="preserve">The Melbourne median house price (currently, approximately $810,000). </w:t>
      </w:r>
    </w:p>
    <w:p w:rsidR="008C705F" w:rsidRDefault="008C705F" w:rsidP="0056301B">
      <w:pPr>
        <w:pStyle w:val="ListBullet"/>
        <w:numPr>
          <w:ilvl w:val="0"/>
          <w:numId w:val="0"/>
        </w:numPr>
        <w:ind w:left="227"/>
        <w:rPr>
          <w:rFonts w:eastAsiaTheme="minorHAnsi"/>
        </w:rPr>
      </w:pPr>
      <w:r w:rsidRPr="008C4E74">
        <w:rPr>
          <w:rFonts w:eastAsiaTheme="minorHAnsi"/>
        </w:rPr>
        <w:t>This approach is potentially problematic given that</w:t>
      </w:r>
      <w:r>
        <w:rPr>
          <w:rFonts w:eastAsiaTheme="minorHAnsi"/>
        </w:rPr>
        <w:t>:</w:t>
      </w:r>
      <w:r w:rsidRPr="008C4E74">
        <w:rPr>
          <w:rFonts w:eastAsiaTheme="minorHAnsi"/>
        </w:rPr>
        <w:t xml:space="preserve"> </w:t>
      </w:r>
    </w:p>
    <w:p w:rsidR="008C705F" w:rsidRDefault="008C705F" w:rsidP="00B201D8">
      <w:pPr>
        <w:pStyle w:val="ListBullet2"/>
        <w:rPr>
          <w:rFonts w:eastAsiaTheme="minorHAnsi"/>
        </w:rPr>
      </w:pPr>
      <w:r w:rsidRPr="008C4E74">
        <w:rPr>
          <w:rFonts w:eastAsiaTheme="minorHAnsi"/>
        </w:rPr>
        <w:t xml:space="preserve">the median sale price frequently changes, and </w:t>
      </w:r>
    </w:p>
    <w:p w:rsidR="008C705F" w:rsidRDefault="0018396A" w:rsidP="00B201D8">
      <w:pPr>
        <w:pStyle w:val="ListBullet2"/>
        <w:rPr>
          <w:rFonts w:eastAsiaTheme="minorHAnsi"/>
        </w:rPr>
      </w:pPr>
      <w:r>
        <w:rPr>
          <w:noProof/>
        </w:rPr>
        <mc:AlternateContent>
          <mc:Choice Requires="wps">
            <w:drawing>
              <wp:anchor distT="45720" distB="45720" distL="114300" distR="114300" simplePos="0" relativeHeight="251663360" behindDoc="0" locked="0" layoutInCell="1" allowOverlap="1" wp14:anchorId="21D951E4" wp14:editId="29275904">
                <wp:simplePos x="0" y="0"/>
                <wp:positionH relativeFrom="column">
                  <wp:posOffset>22860</wp:posOffset>
                </wp:positionH>
                <wp:positionV relativeFrom="paragraph">
                  <wp:posOffset>283845</wp:posOffset>
                </wp:positionV>
                <wp:extent cx="6086475" cy="1295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95400"/>
                        </a:xfrm>
                        <a:prstGeom prst="rect">
                          <a:avLst/>
                        </a:prstGeom>
                        <a:solidFill>
                          <a:srgbClr val="FFFFFF"/>
                        </a:solidFill>
                        <a:ln w="9525">
                          <a:solidFill>
                            <a:srgbClr val="000000"/>
                          </a:solidFill>
                          <a:miter lim="800000"/>
                          <a:headEnd/>
                          <a:tailEnd/>
                        </a:ln>
                      </wps:spPr>
                      <wps:txbx>
                        <w:txbxContent>
                          <w:p w:rsidR="0018396A" w:rsidRDefault="0018396A" w:rsidP="00C27C2C">
                            <w:pPr>
                              <w:pStyle w:val="Heading3"/>
                              <w:spacing w:before="120"/>
                              <w:rPr>
                                <w:rFonts w:eastAsiaTheme="minorHAnsi"/>
                                <w:szCs w:val="22"/>
                              </w:rPr>
                            </w:pPr>
                            <w:r>
                              <w:rPr>
                                <w:rFonts w:eastAsiaTheme="minorHAnsi"/>
                              </w:rPr>
                              <w:t>Feedback sought</w:t>
                            </w:r>
                          </w:p>
                          <w:p w:rsidR="0018396A" w:rsidRDefault="0018396A" w:rsidP="0018396A">
                            <w:pPr>
                              <w:pStyle w:val="BodyText"/>
                              <w:rPr>
                                <w:rFonts w:eastAsiaTheme="minorHAnsi"/>
                              </w:rPr>
                            </w:pPr>
                            <w:r>
                              <w:rPr>
                                <w:rFonts w:eastAsiaTheme="minorHAnsi"/>
                              </w:rPr>
                              <w:t xml:space="preserve">We are seeking your submissions about: </w:t>
                            </w:r>
                          </w:p>
                          <w:p w:rsidR="0018396A" w:rsidRDefault="0018396A" w:rsidP="0018396A">
                            <w:pPr>
                              <w:pStyle w:val="ListBullet"/>
                              <w:rPr>
                                <w:rFonts w:eastAsiaTheme="minorHAnsi"/>
                              </w:rPr>
                            </w:pPr>
                            <w:r w:rsidRPr="000A3386">
                              <w:rPr>
                                <w:rFonts w:eastAsiaTheme="minorHAnsi"/>
                              </w:rPr>
                              <w:t>which of the above amounts</w:t>
                            </w:r>
                            <w:r>
                              <w:rPr>
                                <w:rFonts w:eastAsiaTheme="minorHAnsi"/>
                              </w:rPr>
                              <w:t xml:space="preserve"> listed above</w:t>
                            </w:r>
                            <w:r w:rsidRPr="000A3386">
                              <w:rPr>
                                <w:rFonts w:eastAsiaTheme="minorHAnsi"/>
                              </w:rPr>
                              <w:t xml:space="preserve"> should be prescribed in the Regulations</w:t>
                            </w:r>
                            <w:r>
                              <w:rPr>
                                <w:rFonts w:eastAsiaTheme="minorHAnsi"/>
                              </w:rPr>
                              <w:t>,</w:t>
                            </w:r>
                            <w:r w:rsidRPr="000A3386">
                              <w:rPr>
                                <w:rFonts w:eastAsiaTheme="minorHAnsi"/>
                              </w:rPr>
                              <w:t xml:space="preserve"> or</w:t>
                            </w:r>
                          </w:p>
                          <w:p w:rsidR="0018396A" w:rsidRDefault="0018396A" w:rsidP="0018396A">
                            <w:pPr>
                              <w:pStyle w:val="ListBullet"/>
                              <w:rPr>
                                <w:rFonts w:eastAsiaTheme="minorHAnsi"/>
                              </w:rPr>
                            </w:pPr>
                            <w:r w:rsidRPr="00A87C60">
                              <w:rPr>
                                <w:rFonts w:eastAsiaTheme="minorHAnsi"/>
                              </w:rPr>
                              <w:t>if a different option is proposed, what that different option is. We welcome further feedback on the reasons for that option, but it is not essential.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951E4" id="_x0000_t202" coordsize="21600,21600" o:spt="202" path="m,l,21600r21600,l21600,xe">
                <v:stroke joinstyle="miter"/>
                <v:path gradientshapeok="t" o:connecttype="rect"/>
              </v:shapetype>
              <v:shape id="Text Box 3" o:spid="_x0000_s1026" type="#_x0000_t202" style="position:absolute;left:0;text-align:left;margin-left:1.8pt;margin-top:22.35pt;width:479.25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">
                <v:textbox>
                  <w:txbxContent>
                    <w:p w:rsidR="0018396A" w:rsidRDefault="0018396A" w:rsidP="00C27C2C">
                      <w:pPr>
                        <w:pStyle w:val="Heading3"/>
                        <w:spacing w:before="120"/>
                        <w:rPr>
                          <w:rFonts w:eastAsiaTheme="minorHAnsi"/>
                          <w:szCs w:val="22"/>
                        </w:rPr>
                      </w:pPr>
                      <w:r>
                        <w:rPr>
                          <w:rFonts w:eastAsiaTheme="minorHAnsi"/>
                        </w:rPr>
                        <w:t>Feedback sought</w:t>
                      </w:r>
                    </w:p>
                    <w:p w:rsidR="0018396A" w:rsidRDefault="0018396A" w:rsidP="0018396A">
                      <w:pPr>
                        <w:pStyle w:val="BodyText"/>
                        <w:rPr>
                          <w:rFonts w:eastAsiaTheme="minorHAnsi"/>
                        </w:rPr>
                      </w:pPr>
                      <w:r>
                        <w:rPr>
                          <w:rFonts w:eastAsiaTheme="minorHAnsi"/>
                        </w:rPr>
                        <w:t xml:space="preserve">We are seeking your submissions about: </w:t>
                      </w:r>
                    </w:p>
                    <w:p w:rsidR="0018396A" w:rsidRDefault="0018396A" w:rsidP="0018396A">
                      <w:pPr>
                        <w:pStyle w:val="ListBullet"/>
                        <w:rPr>
                          <w:rFonts w:eastAsiaTheme="minorHAnsi"/>
                        </w:rPr>
                      </w:pPr>
                      <w:r w:rsidRPr="000A3386">
                        <w:rPr>
                          <w:rFonts w:eastAsiaTheme="minorHAnsi"/>
                        </w:rPr>
                        <w:t>which of the above amounts</w:t>
                      </w:r>
                      <w:r>
                        <w:rPr>
                          <w:rFonts w:eastAsiaTheme="minorHAnsi"/>
                        </w:rPr>
                        <w:t xml:space="preserve"> listed above</w:t>
                      </w:r>
                      <w:r w:rsidRPr="000A3386">
                        <w:rPr>
                          <w:rFonts w:eastAsiaTheme="minorHAnsi"/>
                        </w:rPr>
                        <w:t xml:space="preserve"> should be prescribed in the Regulations</w:t>
                      </w:r>
                      <w:r>
                        <w:rPr>
                          <w:rFonts w:eastAsiaTheme="minorHAnsi"/>
                        </w:rPr>
                        <w:t>,</w:t>
                      </w:r>
                      <w:r w:rsidRPr="000A3386">
                        <w:rPr>
                          <w:rFonts w:eastAsiaTheme="minorHAnsi"/>
                        </w:rPr>
                        <w:t xml:space="preserve"> or</w:t>
                      </w:r>
                    </w:p>
                    <w:p w:rsidR="0018396A" w:rsidRDefault="0018396A" w:rsidP="0018396A">
                      <w:pPr>
                        <w:pStyle w:val="ListBullet"/>
                        <w:rPr>
                          <w:rFonts w:eastAsiaTheme="minorHAnsi"/>
                        </w:rPr>
                      </w:pPr>
                      <w:r w:rsidRPr="00A87C60">
                        <w:rPr>
                          <w:rFonts w:eastAsiaTheme="minorHAnsi"/>
                        </w:rPr>
                        <w:t>if a different option is proposed, what that different option is. We welcome further feedback on the reasons for that option, but it is not essential.</w:t>
                      </w:r>
                    </w:p>
                  </w:txbxContent>
                </v:textbox>
                <w10:wrap type="square"/>
              </v:shape>
            </w:pict>
          </mc:Fallback>
        </mc:AlternateContent>
      </w:r>
      <w:r w:rsidR="008C705F" w:rsidRPr="008C4E74">
        <w:rPr>
          <w:rFonts w:eastAsiaTheme="minorHAnsi"/>
        </w:rPr>
        <w:t xml:space="preserve">such changes would need to be updated by amending the Regulations from time to time. </w:t>
      </w:r>
    </w:p>
    <w:p w:rsidR="008C705F" w:rsidRPr="00337A78" w:rsidRDefault="008C705F" w:rsidP="00E218AC">
      <w:pPr>
        <w:pStyle w:val="Heading2"/>
      </w:pPr>
      <w:r w:rsidRPr="00337A78">
        <w:t>Rent-to-buy arrangements</w:t>
      </w:r>
    </w:p>
    <w:p w:rsidR="008C705F" w:rsidRDefault="008C705F" w:rsidP="00E218AC">
      <w:pPr>
        <w:pStyle w:val="BodyText"/>
      </w:pPr>
      <w:r>
        <w:t xml:space="preserve">The Amendment Act addresses predatory conduct by prohibiting rent-to-buy arrangements. </w:t>
      </w:r>
      <w:r w:rsidRPr="008C4E74">
        <w:t xml:space="preserve">The prohibitions are set out in Division 5 of the Amendment Act. </w:t>
      </w:r>
      <w:r>
        <w:t>If Regulations are made, they will prescribe persons or classes of persons and/or conditions and requirements which, if met, would exempt compliant rent-to-buy arrangements from the prohibitions.</w:t>
      </w:r>
    </w:p>
    <w:p w:rsidR="008C705F" w:rsidRPr="00337A78" w:rsidRDefault="008C705F" w:rsidP="00E218AC">
      <w:pPr>
        <w:pStyle w:val="Heading3"/>
      </w:pPr>
      <w:r w:rsidRPr="00337A78">
        <w:t>What is a rent-to-</w:t>
      </w:r>
      <w:proofErr w:type="spellStart"/>
      <w:r w:rsidRPr="00337A78">
        <w:t>buy</w:t>
      </w:r>
      <w:proofErr w:type="spellEnd"/>
      <w:r w:rsidRPr="00337A78">
        <w:t xml:space="preserve"> arrangement?</w:t>
      </w:r>
    </w:p>
    <w:p w:rsidR="008C705F" w:rsidRDefault="008C705F" w:rsidP="00E218AC">
      <w:pPr>
        <w:pStyle w:val="BodyText"/>
      </w:pPr>
      <w:r w:rsidRPr="008C4E74">
        <w:t>While individual contacts may vary, in general there are two main components to a rent-to-</w:t>
      </w:r>
      <w:proofErr w:type="spellStart"/>
      <w:r w:rsidRPr="008C4E74">
        <w:t>buy</w:t>
      </w:r>
      <w:proofErr w:type="spellEnd"/>
      <w:r w:rsidRPr="008C4E74">
        <w:t xml:space="preserve"> arrangement</w:t>
      </w:r>
      <w:r>
        <w:t>. These are the:</w:t>
      </w:r>
    </w:p>
    <w:p w:rsidR="008C705F" w:rsidRPr="008C4E74" w:rsidRDefault="008C705F" w:rsidP="00E218AC">
      <w:pPr>
        <w:pStyle w:val="ListBullet"/>
      </w:pPr>
      <w:r w:rsidRPr="008C4E74">
        <w:t>‘rent part’</w:t>
      </w:r>
      <w:r>
        <w:t xml:space="preserve"> - this</w:t>
      </w:r>
      <w:r w:rsidRPr="008C4E74">
        <w:t xml:space="preserve"> is a residential tenancy agreement allowing the tenant/buyer to occupy the property for a fee. The tenant must sign a residential tenancy agreement and pay a bond, as well as rent over an agreed period, and</w:t>
      </w:r>
    </w:p>
    <w:p w:rsidR="008C705F" w:rsidRPr="008C4E74" w:rsidRDefault="008C705F" w:rsidP="00F078DA">
      <w:pPr>
        <w:pStyle w:val="ListBullet"/>
      </w:pPr>
      <w:r w:rsidRPr="008C4E74">
        <w:t xml:space="preserve">‘buy part’ </w:t>
      </w:r>
      <w:r>
        <w:t xml:space="preserve">– this </w:t>
      </w:r>
      <w:r w:rsidRPr="008C4E74">
        <w:t>takes the form of a sale option/sale deed</w:t>
      </w:r>
      <w:r>
        <w:t>.</w:t>
      </w:r>
      <w:r w:rsidRPr="008C4E74">
        <w:t xml:space="preserve"> </w:t>
      </w:r>
      <w:r>
        <w:t>T</w:t>
      </w:r>
      <w:r w:rsidRPr="008C4E74">
        <w:t>his is not a contract of sale but an option that gives the tenant the</w:t>
      </w:r>
      <w:r w:rsidR="00F078DA">
        <w:t xml:space="preserve"> </w:t>
      </w:r>
      <w:r w:rsidRPr="008C4E74">
        <w:t xml:space="preserve">right to purchase the property </w:t>
      </w:r>
      <w:r>
        <w:t>in</w:t>
      </w:r>
      <w:r w:rsidRPr="008C4E74">
        <w:t xml:space="preserve"> an agreed time period. The tenant needs to qualify for a home loan at the </w:t>
      </w:r>
      <w:r>
        <w:t>end</w:t>
      </w:r>
      <w:r w:rsidRPr="008C4E74">
        <w:t xml:space="preserve"> of the rental period and then sign a contract of sale. </w:t>
      </w:r>
    </w:p>
    <w:p w:rsidR="008C705F" w:rsidRPr="00337A78" w:rsidRDefault="008C705F" w:rsidP="00E218AC">
      <w:pPr>
        <w:pStyle w:val="Heading3"/>
        <w:rPr>
          <w:i/>
        </w:rPr>
      </w:pPr>
      <w:r w:rsidRPr="00337A78">
        <w:rPr>
          <w:rFonts w:eastAsiaTheme="minorHAnsi"/>
        </w:rPr>
        <w:t>Relevant sec</w:t>
      </w:r>
      <w:r>
        <w:rPr>
          <w:rFonts w:eastAsiaTheme="minorHAnsi"/>
        </w:rPr>
        <w:t xml:space="preserve">tions </w:t>
      </w:r>
      <w:r w:rsidRPr="00337A78">
        <w:rPr>
          <w:rFonts w:eastAsiaTheme="minorHAnsi"/>
        </w:rPr>
        <w:t>t</w:t>
      </w:r>
      <w:r>
        <w:rPr>
          <w:rFonts w:eastAsiaTheme="minorHAnsi"/>
        </w:rPr>
        <w:t xml:space="preserve">o be inserted into the </w:t>
      </w:r>
      <w:r w:rsidRPr="00337A78">
        <w:rPr>
          <w:rFonts w:eastAsiaTheme="minorHAnsi"/>
          <w:i/>
        </w:rPr>
        <w:t>Sale of Land Act 1962</w:t>
      </w:r>
      <w:r w:rsidRPr="00337A78">
        <w:rPr>
          <w:i/>
        </w:rPr>
        <w:t xml:space="preserve"> </w:t>
      </w:r>
    </w:p>
    <w:p w:rsidR="008C705F" w:rsidRDefault="008C705F" w:rsidP="00E218AC">
      <w:pPr>
        <w:pStyle w:val="BodyText"/>
      </w:pPr>
      <w:r>
        <w:t xml:space="preserve">Pursuant to new section 29WA, the following rent-to-buy arrangements are exempted: </w:t>
      </w:r>
    </w:p>
    <w:p w:rsidR="008C705F" w:rsidRPr="00740D4D" w:rsidRDefault="008C705F" w:rsidP="00740D4D">
      <w:pPr>
        <w:pStyle w:val="ListABC"/>
        <w:ind w:left="284" w:hanging="284"/>
        <w:rPr>
          <w:i/>
        </w:rPr>
      </w:pPr>
      <w:r w:rsidRPr="00740D4D">
        <w:rPr>
          <w:i/>
        </w:rPr>
        <w:t>rent-to-</w:t>
      </w:r>
      <w:proofErr w:type="spellStart"/>
      <w:r w:rsidRPr="00740D4D">
        <w:rPr>
          <w:i/>
        </w:rPr>
        <w:t>buy</w:t>
      </w:r>
      <w:proofErr w:type="spellEnd"/>
      <w:r w:rsidRPr="00740D4D">
        <w:rPr>
          <w:i/>
        </w:rPr>
        <w:t xml:space="preserve"> arrangement that involves a contract </w:t>
      </w:r>
      <w:proofErr w:type="gramStart"/>
      <w:r w:rsidRPr="00740D4D">
        <w:rPr>
          <w:i/>
        </w:rPr>
        <w:t>entered into</w:t>
      </w:r>
      <w:proofErr w:type="gramEnd"/>
      <w:r w:rsidRPr="00740D4D">
        <w:rPr>
          <w:i/>
        </w:rPr>
        <w:t xml:space="preserve"> by:</w:t>
      </w:r>
    </w:p>
    <w:p w:rsidR="008C705F" w:rsidRPr="00F50C78" w:rsidRDefault="008C705F" w:rsidP="005C3CF5">
      <w:pPr>
        <w:pStyle w:val="BodyText"/>
        <w:numPr>
          <w:ilvl w:val="2"/>
          <w:numId w:val="20"/>
        </w:numPr>
        <w:ind w:left="284" w:firstLine="0"/>
        <w:rPr>
          <w:i/>
        </w:rPr>
      </w:pPr>
      <w:r w:rsidRPr="00F50C78">
        <w:rPr>
          <w:i/>
        </w:rPr>
        <w:t>the Director of Housing appointed under section 9(1) of the Housing Act 1983</w:t>
      </w:r>
      <w:r w:rsidR="00E06D29">
        <w:rPr>
          <w:i/>
        </w:rPr>
        <w:t>; or</w:t>
      </w:r>
    </w:p>
    <w:p w:rsidR="008C705F" w:rsidRPr="00F50C78" w:rsidRDefault="008C705F" w:rsidP="005C3CF5">
      <w:pPr>
        <w:pStyle w:val="BodyText"/>
        <w:numPr>
          <w:ilvl w:val="2"/>
          <w:numId w:val="20"/>
        </w:numPr>
        <w:ind w:left="284" w:firstLine="0"/>
        <w:rPr>
          <w:i/>
        </w:rPr>
      </w:pPr>
      <w:r w:rsidRPr="00F50C78">
        <w:rPr>
          <w:i/>
        </w:rPr>
        <w:t>a registered housing association within the meaning of the Housing Act 1983</w:t>
      </w:r>
      <w:r w:rsidR="00E06D29">
        <w:rPr>
          <w:i/>
        </w:rPr>
        <w:t>; or</w:t>
      </w:r>
    </w:p>
    <w:p w:rsidR="008C705F" w:rsidRPr="00F50C78" w:rsidRDefault="008C705F" w:rsidP="005C3CF5">
      <w:pPr>
        <w:pStyle w:val="BodyText"/>
        <w:numPr>
          <w:ilvl w:val="2"/>
          <w:numId w:val="20"/>
        </w:numPr>
        <w:ind w:left="284" w:firstLine="0"/>
        <w:rPr>
          <w:i/>
        </w:rPr>
      </w:pPr>
      <w:r w:rsidRPr="00F50C78">
        <w:rPr>
          <w:b/>
          <w:i/>
        </w:rPr>
        <w:t>a prescribed person or class of person</w:t>
      </w:r>
      <w:r w:rsidRPr="00F50C78">
        <w:rPr>
          <w:i/>
        </w:rPr>
        <w:t>; or</w:t>
      </w:r>
    </w:p>
    <w:p w:rsidR="008C705F" w:rsidRPr="00F50C78" w:rsidRDefault="008C705F" w:rsidP="0095237A">
      <w:pPr>
        <w:pStyle w:val="ListABC"/>
        <w:ind w:left="284" w:hanging="284"/>
        <w:rPr>
          <w:i/>
        </w:rPr>
      </w:pPr>
      <w:r w:rsidRPr="00F50C78">
        <w:rPr>
          <w:i/>
        </w:rPr>
        <w:t>a rent-to-</w:t>
      </w:r>
      <w:proofErr w:type="spellStart"/>
      <w:r w:rsidRPr="00F50C78">
        <w:rPr>
          <w:i/>
        </w:rPr>
        <w:t>buy</w:t>
      </w:r>
      <w:proofErr w:type="spellEnd"/>
      <w:r w:rsidRPr="00F50C78">
        <w:rPr>
          <w:i/>
        </w:rPr>
        <w:t xml:space="preserve"> arrangement that </w:t>
      </w:r>
      <w:r w:rsidRPr="00F50C78">
        <w:rPr>
          <w:b/>
          <w:i/>
        </w:rPr>
        <w:t>complies with the requirements</w:t>
      </w:r>
      <w:r w:rsidRPr="00F50C78">
        <w:rPr>
          <w:i/>
        </w:rPr>
        <w:t xml:space="preserve"> prescribed under section 17(2).</w:t>
      </w:r>
    </w:p>
    <w:p w:rsidR="008C705F" w:rsidRPr="006110AA" w:rsidRDefault="008C705F" w:rsidP="0095237A">
      <w:pPr>
        <w:pStyle w:val="BodyText"/>
      </w:pPr>
      <w:r w:rsidRPr="00161425">
        <w:t>(emphasis added)</w:t>
      </w:r>
    </w:p>
    <w:p w:rsidR="008C705F" w:rsidRDefault="00A63F13" w:rsidP="00444B3D">
      <w:pPr>
        <w:pStyle w:val="BodyText"/>
      </w:pPr>
      <w:r>
        <w:rPr>
          <w:noProof/>
        </w:rPr>
        <w:lastRenderedPageBreak/>
        <mc:AlternateContent>
          <mc:Choice Requires="wps">
            <w:drawing>
              <wp:anchor distT="45720" distB="45720" distL="114300" distR="114300" simplePos="0" relativeHeight="251661312" behindDoc="0" locked="0" layoutInCell="1" allowOverlap="1" wp14:anchorId="32C9ED23" wp14:editId="079B2A4A">
                <wp:simplePos x="0" y="0"/>
                <wp:positionH relativeFrom="column">
                  <wp:posOffset>13335</wp:posOffset>
                </wp:positionH>
                <wp:positionV relativeFrom="paragraph">
                  <wp:posOffset>143510</wp:posOffset>
                </wp:positionV>
                <wp:extent cx="6086475" cy="1438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38275"/>
                        </a:xfrm>
                        <a:prstGeom prst="rect">
                          <a:avLst/>
                        </a:prstGeom>
                        <a:solidFill>
                          <a:srgbClr val="FFFFFF"/>
                        </a:solidFill>
                        <a:ln w="9525">
                          <a:solidFill>
                            <a:srgbClr val="000000"/>
                          </a:solidFill>
                          <a:miter lim="800000"/>
                          <a:headEnd/>
                          <a:tailEnd/>
                        </a:ln>
                      </wps:spPr>
                      <wps:txbx>
                        <w:txbxContent>
                          <w:p w:rsidR="00A63F13" w:rsidRPr="00337A78" w:rsidRDefault="00A63F13" w:rsidP="00A63F13">
                            <w:pPr>
                              <w:pStyle w:val="Heading3"/>
                              <w:spacing w:before="120"/>
                            </w:pPr>
                            <w:r w:rsidRPr="00337A78">
                              <w:t>Feedback sought</w:t>
                            </w:r>
                          </w:p>
                          <w:p w:rsidR="00A63F13" w:rsidRDefault="00A63F13" w:rsidP="00A63F13">
                            <w:pPr>
                              <w:pStyle w:val="BodyText"/>
                            </w:pPr>
                            <w:r w:rsidRPr="00444B3D">
                              <w:rPr>
                                <w:rStyle w:val="BodyTextChar"/>
                              </w:rPr>
                              <w:t>Should</w:t>
                            </w:r>
                            <w:r>
                              <w:t xml:space="preserve"> any person/s be exempt from the new rent-to-buy prohibitions? We welcome further feedback about: </w:t>
                            </w:r>
                          </w:p>
                          <w:p w:rsidR="00A63F13" w:rsidRDefault="00A63F13" w:rsidP="00A63F13">
                            <w:pPr>
                              <w:pStyle w:val="ListBullet"/>
                            </w:pPr>
                            <w:r>
                              <w:t>your reasons for why a person or class of person should be exempt, and</w:t>
                            </w:r>
                          </w:p>
                          <w:p w:rsidR="00A63F13" w:rsidRDefault="00A63F13" w:rsidP="00A63F13">
                            <w:pPr>
                              <w:pStyle w:val="ListBullet"/>
                            </w:pPr>
                            <w:r>
                              <w:t>what impact (if any) you think this would have on the market and on business if any persons were to be exempt from the new rent-to-buy prohibitions.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9ED23" id="Text Box 2" o:spid="_x0000_s1027" type="#_x0000_t202" style="position:absolute;margin-left:1.05pt;margin-top:11.3pt;width:479.25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AJgIAAEw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">
                <v:textbox>
                  <w:txbxContent>
                    <w:p w:rsidR="00A63F13" w:rsidRPr="00337A78" w:rsidRDefault="00A63F13" w:rsidP="00A63F13">
                      <w:pPr>
                        <w:pStyle w:val="Heading3"/>
                        <w:spacing w:before="120"/>
                      </w:pPr>
                      <w:r w:rsidRPr="00337A78">
                        <w:t>Feedback sought</w:t>
                      </w:r>
                    </w:p>
                    <w:p w:rsidR="00A63F13" w:rsidRDefault="00A63F13" w:rsidP="00A63F13">
                      <w:pPr>
                        <w:pStyle w:val="BodyText"/>
                      </w:pPr>
                      <w:r w:rsidRPr="00444B3D">
                        <w:rPr>
                          <w:rStyle w:val="BodyTextChar"/>
                        </w:rPr>
                        <w:t>Should</w:t>
                      </w:r>
                      <w:r>
                        <w:t xml:space="preserve"> any person/s be exempt from the new rent-to-buy prohibitions? We welcome further feedback about: </w:t>
                      </w:r>
                    </w:p>
                    <w:p w:rsidR="00A63F13" w:rsidRDefault="00A63F13" w:rsidP="00A63F13">
                      <w:pPr>
                        <w:pStyle w:val="ListBullet"/>
                      </w:pPr>
                      <w:r>
                        <w:t>your reasons for why a person or class of person should be exempt, and</w:t>
                      </w:r>
                    </w:p>
                    <w:p w:rsidR="00A63F13" w:rsidRDefault="00A63F13" w:rsidP="00A63F13">
                      <w:pPr>
                        <w:pStyle w:val="ListBullet"/>
                      </w:pPr>
                      <w:r>
                        <w:t>what impact (if any) you think this would have on the market and on business if any persons were to be exempt from the new rent-to-buy prohibitions.</w:t>
                      </w:r>
                    </w:p>
                  </w:txbxContent>
                </v:textbox>
                <w10:wrap type="square"/>
              </v:shape>
            </w:pict>
          </mc:Fallback>
        </mc:AlternateContent>
      </w:r>
      <w:r w:rsidR="008C705F">
        <w:t>New section 17(2) will provide:</w:t>
      </w:r>
    </w:p>
    <w:p w:rsidR="008C705F" w:rsidRPr="00A778FF" w:rsidRDefault="008C705F" w:rsidP="00A778FF">
      <w:pPr>
        <w:pStyle w:val="BodyText"/>
        <w:rPr>
          <w:i/>
        </w:rPr>
      </w:pPr>
      <w:r w:rsidRPr="00A778FF">
        <w:rPr>
          <w:i/>
        </w:rPr>
        <w:t xml:space="preserve">Without limiting subsection (1), for the purposes of section 29WA(b), the Governor in Council may make regulations for or with respect to requirements for rent-to-buy arrangements, in particular - </w:t>
      </w:r>
    </w:p>
    <w:p w:rsidR="008C705F" w:rsidRPr="004E6BB2" w:rsidRDefault="008C705F" w:rsidP="00A778FF">
      <w:pPr>
        <w:pStyle w:val="ListABC"/>
        <w:numPr>
          <w:ilvl w:val="0"/>
          <w:numId w:val="23"/>
        </w:numPr>
        <w:ind w:left="284" w:hanging="284"/>
        <w:rPr>
          <w:i/>
        </w:rPr>
      </w:pPr>
      <w:r w:rsidRPr="004E6BB2">
        <w:rPr>
          <w:b/>
          <w:i/>
        </w:rPr>
        <w:t>money paid</w:t>
      </w:r>
      <w:r w:rsidRPr="004E6BB2">
        <w:rPr>
          <w:i/>
        </w:rPr>
        <w:t xml:space="preserve"> for or with respect to the rights or obligations that are the subject of such arrangements, including the following—</w:t>
      </w:r>
    </w:p>
    <w:p w:rsidR="008C705F" w:rsidRPr="00161425" w:rsidRDefault="008C705F" w:rsidP="0041681D">
      <w:pPr>
        <w:pStyle w:val="BodyText"/>
        <w:numPr>
          <w:ilvl w:val="0"/>
          <w:numId w:val="24"/>
        </w:numPr>
        <w:ind w:left="567" w:hanging="141"/>
        <w:rPr>
          <w:i/>
        </w:rPr>
      </w:pPr>
      <w:r w:rsidRPr="00161425">
        <w:rPr>
          <w:i/>
        </w:rPr>
        <w:t>the holding of the money on trust on behalf of purchasers;</w:t>
      </w:r>
    </w:p>
    <w:p w:rsidR="008C705F" w:rsidRPr="00161425" w:rsidRDefault="008C705F" w:rsidP="0041681D">
      <w:pPr>
        <w:pStyle w:val="BodyText"/>
        <w:numPr>
          <w:ilvl w:val="0"/>
          <w:numId w:val="24"/>
        </w:numPr>
        <w:ind w:left="567" w:hanging="141"/>
        <w:rPr>
          <w:i/>
        </w:rPr>
      </w:pPr>
      <w:r w:rsidRPr="00161425">
        <w:rPr>
          <w:i/>
        </w:rPr>
        <w:t xml:space="preserve">the money being held in interest bearing accounts; </w:t>
      </w:r>
    </w:p>
    <w:p w:rsidR="008C705F" w:rsidRPr="00161425" w:rsidRDefault="008C705F" w:rsidP="0041681D">
      <w:pPr>
        <w:pStyle w:val="BodyText"/>
        <w:numPr>
          <w:ilvl w:val="0"/>
          <w:numId w:val="24"/>
        </w:numPr>
        <w:ind w:left="567" w:hanging="141"/>
        <w:rPr>
          <w:i/>
        </w:rPr>
      </w:pPr>
      <w:r w:rsidRPr="00161425">
        <w:rPr>
          <w:i/>
        </w:rPr>
        <w:t>other matters as to interest on the money, including the application of the interest and dealing with the interest if the purchaser's right is not exercised; and</w:t>
      </w:r>
    </w:p>
    <w:p w:rsidR="008C705F" w:rsidRPr="004E6BB2" w:rsidRDefault="008C705F" w:rsidP="00F078DA">
      <w:pPr>
        <w:pStyle w:val="ListABC"/>
        <w:ind w:left="426"/>
        <w:rPr>
          <w:i/>
        </w:rPr>
      </w:pPr>
      <w:r w:rsidRPr="004E6BB2">
        <w:rPr>
          <w:i/>
        </w:rPr>
        <w:t xml:space="preserve">the inclusion of </w:t>
      </w:r>
      <w:r w:rsidRPr="004E6BB2">
        <w:rPr>
          <w:b/>
          <w:i/>
        </w:rPr>
        <w:t>certain conditions</w:t>
      </w:r>
      <w:r w:rsidRPr="004E6BB2">
        <w:rPr>
          <w:i/>
        </w:rPr>
        <w:t xml:space="preserve"> in rent-to-buy arrangements, including conditions for or with respect to any obligation in the arrangement on a purchaser to purchase any land that is the subject of the arrangement; and </w:t>
      </w:r>
    </w:p>
    <w:p w:rsidR="008C705F" w:rsidRPr="004E6BB2" w:rsidRDefault="008C705F" w:rsidP="0056301B">
      <w:pPr>
        <w:pStyle w:val="ListABC"/>
        <w:ind w:left="426"/>
        <w:rPr>
          <w:i/>
        </w:rPr>
      </w:pPr>
      <w:r w:rsidRPr="004E6BB2">
        <w:rPr>
          <w:i/>
        </w:rPr>
        <w:t xml:space="preserve">any </w:t>
      </w:r>
      <w:r w:rsidRPr="004E6BB2">
        <w:rPr>
          <w:b/>
          <w:i/>
        </w:rPr>
        <w:t>other requirements</w:t>
      </w:r>
      <w:r w:rsidRPr="004E6BB2">
        <w:rPr>
          <w:i/>
        </w:rPr>
        <w:t xml:space="preserve"> as to the effect of, or terms and conditions of, rent-to-buy arrangements.</w:t>
      </w:r>
    </w:p>
    <w:p w:rsidR="008C705F" w:rsidRDefault="008C705F" w:rsidP="00BF63BB">
      <w:pPr>
        <w:pStyle w:val="BodyText"/>
      </w:pPr>
      <w:r w:rsidRPr="009E522B">
        <w:t>(emphasis added)</w:t>
      </w:r>
    </w:p>
    <w:p w:rsidR="00A345B8" w:rsidRDefault="001D5E12" w:rsidP="000171AD">
      <w:pPr>
        <w:pStyle w:val="BodyText"/>
      </w:pPr>
      <w:r>
        <w:rPr>
          <w:noProof/>
        </w:rPr>
        <mc:AlternateContent>
          <mc:Choice Requires="wps">
            <w:drawing>
              <wp:anchor distT="45720" distB="45720" distL="114300" distR="114300" simplePos="0" relativeHeight="251659264" behindDoc="0" locked="0" layoutInCell="1" allowOverlap="1">
                <wp:simplePos x="0" y="0"/>
                <wp:positionH relativeFrom="column">
                  <wp:posOffset>13335</wp:posOffset>
                </wp:positionH>
                <wp:positionV relativeFrom="paragraph">
                  <wp:posOffset>735965</wp:posOffset>
                </wp:positionV>
                <wp:extent cx="6086475" cy="3086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086100"/>
                        </a:xfrm>
                        <a:prstGeom prst="rect">
                          <a:avLst/>
                        </a:prstGeom>
                        <a:solidFill>
                          <a:srgbClr val="FFFFFF"/>
                        </a:solidFill>
                        <a:ln w="9525">
                          <a:solidFill>
                            <a:srgbClr val="000000"/>
                          </a:solidFill>
                          <a:miter lim="800000"/>
                          <a:headEnd/>
                          <a:tailEnd/>
                        </a:ln>
                      </wps:spPr>
                      <wps:txbx>
                        <w:txbxContent>
                          <w:p w:rsidR="001D5E12" w:rsidRPr="00337A78" w:rsidRDefault="001D5E12" w:rsidP="000171AD">
                            <w:pPr>
                              <w:pStyle w:val="Heading3"/>
                              <w:spacing w:before="120"/>
                              <w:rPr>
                                <w:rFonts w:eastAsiaTheme="minorHAnsi"/>
                              </w:rPr>
                            </w:pPr>
                            <w:r w:rsidRPr="00337A78">
                              <w:rPr>
                                <w:rFonts w:eastAsiaTheme="minorHAnsi"/>
                              </w:rPr>
                              <w:t>Feedback sought</w:t>
                            </w:r>
                          </w:p>
                          <w:p w:rsidR="001D5E12" w:rsidRPr="00337A78" w:rsidRDefault="001D5E12" w:rsidP="001D5E12">
                            <w:pPr>
                              <w:pStyle w:val="BodyText"/>
                            </w:pPr>
                            <w:r w:rsidRPr="00337A78">
                              <w:t>In relation to section 17(2) (above)</w:t>
                            </w:r>
                            <w:r>
                              <w:t xml:space="preserve"> what, if any</w:t>
                            </w:r>
                            <w:r w:rsidRPr="00337A78">
                              <w:t>:</w:t>
                            </w:r>
                          </w:p>
                          <w:p w:rsidR="001D5E12" w:rsidRPr="00337A78" w:rsidRDefault="001D5E12" w:rsidP="001D5E12">
                            <w:pPr>
                              <w:pStyle w:val="ListBullet"/>
                            </w:pPr>
                            <w:r w:rsidRPr="00337A78">
                              <w:rPr>
                                <w:b/>
                              </w:rPr>
                              <w:t>requirements</w:t>
                            </w:r>
                            <w:r w:rsidRPr="00337A78">
                              <w:t xml:space="preserve"> should be set regarding money paid in a rent-to-buy arrangement? We welcome further feedback explaining:</w:t>
                            </w:r>
                          </w:p>
                          <w:p w:rsidR="001D5E12" w:rsidRPr="00337A78" w:rsidRDefault="001D5E12" w:rsidP="001D5E12">
                            <w:pPr>
                              <w:pStyle w:val="ListBullet2"/>
                            </w:pPr>
                            <w:r w:rsidRPr="00337A78">
                              <w:t xml:space="preserve">your reasons for </w:t>
                            </w:r>
                            <w:r w:rsidR="00362BAB">
                              <w:t xml:space="preserve">why </w:t>
                            </w:r>
                            <w:bookmarkStart w:id="0" w:name="_GoBack"/>
                            <w:bookmarkEnd w:id="0"/>
                            <w:r w:rsidR="00E06D29">
                              <w:t>such requirements should be set</w:t>
                            </w:r>
                            <w:r w:rsidRPr="00337A78">
                              <w:t>, and</w:t>
                            </w:r>
                          </w:p>
                          <w:p w:rsidR="001D5E12" w:rsidRDefault="001D5E12" w:rsidP="001D5E12">
                            <w:pPr>
                              <w:pStyle w:val="ListBullet2"/>
                            </w:pPr>
                            <w:r>
                              <w:t xml:space="preserve">what impact (if any) you think this would have on the market and on business if your suggested conditions were to be included in the regulations. </w:t>
                            </w:r>
                          </w:p>
                          <w:p w:rsidR="001D5E12" w:rsidRPr="00337A78" w:rsidRDefault="001D5E12" w:rsidP="001D5E12">
                            <w:pPr>
                              <w:pStyle w:val="ListBullet"/>
                              <w:rPr>
                                <w:b/>
                              </w:rPr>
                            </w:pPr>
                            <w:r w:rsidRPr="00337A78">
                              <w:rPr>
                                <w:b/>
                              </w:rPr>
                              <w:t xml:space="preserve">conditions </w:t>
                            </w:r>
                            <w:r w:rsidRPr="00337A78">
                              <w:t>should be included?</w:t>
                            </w:r>
                            <w:r w:rsidRPr="00337A78">
                              <w:rPr>
                                <w:b/>
                              </w:rPr>
                              <w:t xml:space="preserve"> </w:t>
                            </w:r>
                            <w:r w:rsidRPr="00337A78">
                              <w:t>We welcome further feedback explaining:</w:t>
                            </w:r>
                          </w:p>
                          <w:p w:rsidR="001D5E12" w:rsidRDefault="001D5E12" w:rsidP="001D5E12">
                            <w:pPr>
                              <w:pStyle w:val="ListBullet2"/>
                            </w:pPr>
                            <w:r>
                              <w:t>your reasons for why such conditions should be made, and</w:t>
                            </w:r>
                          </w:p>
                          <w:p w:rsidR="001D5E12" w:rsidRDefault="001D5E12" w:rsidP="001D5E12">
                            <w:pPr>
                              <w:pStyle w:val="ListBullet2"/>
                            </w:pPr>
                            <w:r>
                              <w:t xml:space="preserve">what impact (if any) you think this would have on the market and on business if your suggested conditions were to be included. </w:t>
                            </w:r>
                          </w:p>
                          <w:p w:rsidR="001D5E12" w:rsidRDefault="001D5E12" w:rsidP="001D5E12">
                            <w:pPr>
                              <w:pStyle w:val="ListBullet"/>
                            </w:pPr>
                            <w:r>
                              <w:rPr>
                                <w:b/>
                              </w:rPr>
                              <w:t xml:space="preserve">other </w:t>
                            </w:r>
                            <w:r w:rsidRPr="00337A78">
                              <w:rPr>
                                <w:b/>
                              </w:rPr>
                              <w:t xml:space="preserve">requirements </w:t>
                            </w:r>
                            <w:r w:rsidRPr="00337A78">
                              <w:t xml:space="preserve">should be </w:t>
                            </w:r>
                            <w:r>
                              <w:t>prescribed</w:t>
                            </w:r>
                            <w:r w:rsidRPr="00337A78">
                              <w:t>? We welcome further feedback about:</w:t>
                            </w:r>
                          </w:p>
                          <w:p w:rsidR="001D5E12" w:rsidRDefault="001D5E12" w:rsidP="001D5E12">
                            <w:pPr>
                              <w:pStyle w:val="ListBullet2"/>
                            </w:pPr>
                            <w:r>
                              <w:t>your reasons for why such requirements should be prescribed, and</w:t>
                            </w:r>
                          </w:p>
                          <w:p w:rsidR="001D5E12" w:rsidRDefault="001D5E12" w:rsidP="000159BB">
                            <w:pPr>
                              <w:pStyle w:val="ListBullet2"/>
                            </w:pPr>
                            <w:r>
                              <w:t>what impact (if any) you think this would have on the market and on business if your suggested requirements were to be prescribed.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5pt;margin-top:57.95pt;width:479.25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drJw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">
                <v:textbox>
                  <w:txbxContent>
                    <w:p w:rsidR="001D5E12" w:rsidRPr="00337A78" w:rsidRDefault="001D5E12" w:rsidP="000171AD">
                      <w:pPr>
                        <w:pStyle w:val="Heading3"/>
                        <w:spacing w:before="120"/>
                        <w:rPr>
                          <w:rFonts w:eastAsiaTheme="minorHAnsi"/>
                        </w:rPr>
                      </w:pPr>
                      <w:r w:rsidRPr="00337A78">
                        <w:rPr>
                          <w:rFonts w:eastAsiaTheme="minorHAnsi"/>
                        </w:rPr>
                        <w:t>Feedback sought</w:t>
                      </w:r>
                    </w:p>
                    <w:p w:rsidR="001D5E12" w:rsidRPr="00337A78" w:rsidRDefault="001D5E12" w:rsidP="001D5E12">
                      <w:pPr>
                        <w:pStyle w:val="BodyText"/>
                      </w:pPr>
                      <w:r w:rsidRPr="00337A78">
                        <w:t>In relation to section 17(2) (above)</w:t>
                      </w:r>
                      <w:r>
                        <w:t xml:space="preserve"> what, if any</w:t>
                      </w:r>
                      <w:r w:rsidRPr="00337A78">
                        <w:t>:</w:t>
                      </w:r>
                    </w:p>
                    <w:p w:rsidR="001D5E12" w:rsidRPr="00337A78" w:rsidRDefault="001D5E12" w:rsidP="001D5E12">
                      <w:pPr>
                        <w:pStyle w:val="ListBullet"/>
                      </w:pPr>
                      <w:r w:rsidRPr="00337A78">
                        <w:rPr>
                          <w:b/>
                        </w:rPr>
                        <w:t>requirements</w:t>
                      </w:r>
                      <w:r w:rsidRPr="00337A78">
                        <w:t xml:space="preserve"> should be set regarding money paid in a rent-to-buy arrangement? We welcome further feedback explaining:</w:t>
                      </w:r>
                    </w:p>
                    <w:p w:rsidR="001D5E12" w:rsidRPr="00337A78" w:rsidRDefault="001D5E12" w:rsidP="001D5E12">
                      <w:pPr>
                        <w:pStyle w:val="ListBullet2"/>
                      </w:pPr>
                      <w:r w:rsidRPr="00337A78">
                        <w:t xml:space="preserve">your reasons for </w:t>
                      </w:r>
                      <w:r w:rsidR="00362BAB">
                        <w:t xml:space="preserve">why </w:t>
                      </w:r>
                      <w:bookmarkStart w:id="1" w:name="_GoBack"/>
                      <w:bookmarkEnd w:id="1"/>
                      <w:r w:rsidR="00E06D29">
                        <w:t>such requirements should be set</w:t>
                      </w:r>
                      <w:r w:rsidRPr="00337A78">
                        <w:t>, and</w:t>
                      </w:r>
                    </w:p>
                    <w:p w:rsidR="001D5E12" w:rsidRDefault="001D5E12" w:rsidP="001D5E12">
                      <w:pPr>
                        <w:pStyle w:val="ListBullet2"/>
                      </w:pPr>
                      <w:r>
                        <w:t xml:space="preserve">what impact (if any) you think this would have on the market and on business if your suggested conditions were to be included in the regulations. </w:t>
                      </w:r>
                    </w:p>
                    <w:p w:rsidR="001D5E12" w:rsidRPr="00337A78" w:rsidRDefault="001D5E12" w:rsidP="001D5E12">
                      <w:pPr>
                        <w:pStyle w:val="ListBullet"/>
                        <w:rPr>
                          <w:b/>
                        </w:rPr>
                      </w:pPr>
                      <w:r w:rsidRPr="00337A78">
                        <w:rPr>
                          <w:b/>
                        </w:rPr>
                        <w:t xml:space="preserve">conditions </w:t>
                      </w:r>
                      <w:r w:rsidRPr="00337A78">
                        <w:t>should be included?</w:t>
                      </w:r>
                      <w:r w:rsidRPr="00337A78">
                        <w:rPr>
                          <w:b/>
                        </w:rPr>
                        <w:t xml:space="preserve"> </w:t>
                      </w:r>
                      <w:r w:rsidRPr="00337A78">
                        <w:t>We welcome further feedback explaining:</w:t>
                      </w:r>
                    </w:p>
                    <w:p w:rsidR="001D5E12" w:rsidRDefault="001D5E12" w:rsidP="001D5E12">
                      <w:pPr>
                        <w:pStyle w:val="ListBullet2"/>
                      </w:pPr>
                      <w:r>
                        <w:t>your reasons for why such conditions should be made, and</w:t>
                      </w:r>
                    </w:p>
                    <w:p w:rsidR="001D5E12" w:rsidRDefault="001D5E12" w:rsidP="001D5E12">
                      <w:pPr>
                        <w:pStyle w:val="ListBullet2"/>
                      </w:pPr>
                      <w:r>
                        <w:t xml:space="preserve">what impact (if any) you think this would have on the market and on business if your suggested conditions were to be included. </w:t>
                      </w:r>
                    </w:p>
                    <w:p w:rsidR="001D5E12" w:rsidRDefault="001D5E12" w:rsidP="001D5E12">
                      <w:pPr>
                        <w:pStyle w:val="ListBullet"/>
                      </w:pPr>
                      <w:r>
                        <w:rPr>
                          <w:b/>
                        </w:rPr>
                        <w:t xml:space="preserve">other </w:t>
                      </w:r>
                      <w:r w:rsidRPr="00337A78">
                        <w:rPr>
                          <w:b/>
                        </w:rPr>
                        <w:t xml:space="preserve">requirements </w:t>
                      </w:r>
                      <w:r w:rsidRPr="00337A78">
                        <w:t xml:space="preserve">should be </w:t>
                      </w:r>
                      <w:r>
                        <w:t>prescribed</w:t>
                      </w:r>
                      <w:r w:rsidRPr="00337A78">
                        <w:t>? We welcome further feedback about:</w:t>
                      </w:r>
                    </w:p>
                    <w:p w:rsidR="001D5E12" w:rsidRDefault="001D5E12" w:rsidP="001D5E12">
                      <w:pPr>
                        <w:pStyle w:val="ListBullet2"/>
                      </w:pPr>
                      <w:r>
                        <w:t>your reasons for why such requirements should be prescribed, and</w:t>
                      </w:r>
                    </w:p>
                    <w:p w:rsidR="001D5E12" w:rsidRDefault="001D5E12" w:rsidP="000159BB">
                      <w:pPr>
                        <w:pStyle w:val="ListBullet2"/>
                      </w:pPr>
                      <w:r>
                        <w:t>what impact (if any) you think this would have on the market and on business if your suggested requirements were to be prescribed.</w:t>
                      </w:r>
                    </w:p>
                  </w:txbxContent>
                </v:textbox>
                <w10:wrap type="square"/>
              </v:shape>
            </w:pict>
          </mc:Fallback>
        </mc:AlternateContent>
      </w:r>
      <w:r w:rsidR="008C705F">
        <w:t xml:space="preserve">The effect of the new section 29WA, and its interaction with section 17(2) of the Principal Act, is that Regulations may be made that prescribe persons or classes of persons, and/or conditions and requirements which if met, would exempt compliant rent-to-buy arrangements from the prohibitions described in Division 5 of the Amendment Act. </w:t>
      </w:r>
    </w:p>
    <w:p w:rsidR="008C705F" w:rsidRPr="00337A78" w:rsidRDefault="008C705F" w:rsidP="00A25F69">
      <w:pPr>
        <w:pStyle w:val="Heading2"/>
      </w:pPr>
      <w:r w:rsidRPr="00337A78">
        <w:t>Consultation process</w:t>
      </w:r>
    </w:p>
    <w:p w:rsidR="00CA31C2" w:rsidRPr="008C705F" w:rsidRDefault="008C705F" w:rsidP="008C705F">
      <w:r w:rsidRPr="00A85B33">
        <w:rPr>
          <w:rFonts w:cs="Arial"/>
        </w:rPr>
        <w:t xml:space="preserve">Public consultation seeking feedback to these questions is open until Friday 25 October 2019. Send your submissions to </w:t>
      </w:r>
      <w:hyperlink r:id="rId9" w:history="1">
        <w:r w:rsidRPr="00A85B33">
          <w:rPr>
            <w:rFonts w:cs="Arial"/>
            <w:color w:val="0563C1" w:themeColor="hyperlink"/>
            <w:u w:val="single"/>
          </w:rPr>
          <w:t>cav.consultations@justice.vic.gov.au</w:t>
        </w:r>
      </w:hyperlink>
      <w:r w:rsidR="0010448C">
        <w:rPr>
          <w:rFonts w:cs="Arial"/>
          <w:color w:val="0563C1" w:themeColor="hyperlink"/>
          <w:u w:val="single"/>
        </w:rPr>
        <w:t>.</w:t>
      </w:r>
    </w:p>
    <w:sectPr w:rsidR="00CA31C2" w:rsidRPr="008C705F" w:rsidSect="00230BBE">
      <w:footerReference w:type="default" r:id="rId10"/>
      <w:footerReference w:type="first" r:id="rId11"/>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C9" w:rsidRDefault="00E233C9">
      <w:r>
        <w:separator/>
      </w:r>
    </w:p>
    <w:p w:rsidR="00E233C9" w:rsidRDefault="00E233C9"/>
  </w:endnote>
  <w:endnote w:type="continuationSeparator" w:id="0">
    <w:p w:rsidR="00E233C9" w:rsidRDefault="00E233C9">
      <w:r>
        <w:continuationSeparator/>
      </w:r>
    </w:p>
    <w:p w:rsidR="00E233C9" w:rsidRDefault="00E2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74" w:rsidRPr="004A46ED" w:rsidRDefault="00362BAB" w:rsidP="004A46ED">
    <w:pPr>
      <w:pStyle w:val="Footer"/>
    </w:pPr>
    <w:hyperlink r:id="rId1" w:history="1">
      <w:r w:rsidR="004A46ED" w:rsidRPr="00625B7E">
        <w:t>consumer.vic.gov.au</w:t>
      </w:r>
    </w:hyperlink>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258B6E8A" wp14:editId="711C7D4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C9" w:rsidRDefault="00E233C9">
      <w:r>
        <w:separator/>
      </w:r>
    </w:p>
    <w:p w:rsidR="00E233C9" w:rsidRDefault="00E233C9"/>
  </w:footnote>
  <w:footnote w:type="continuationSeparator" w:id="0">
    <w:p w:rsidR="00E233C9" w:rsidRDefault="00E233C9">
      <w:r>
        <w:continuationSeparator/>
      </w:r>
    </w:p>
    <w:p w:rsidR="00E233C9" w:rsidRDefault="00E233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0C090017"/>
    <w:lvl w:ilvl="0">
      <w:start w:val="1"/>
      <w:numFmt w:val="lowerLetter"/>
      <w:lvlText w:val="%1)"/>
      <w:lvlJc w:val="left"/>
      <w:pPr>
        <w:ind w:left="720" w:hanging="360"/>
      </w:pPr>
      <w:rPr>
        <w:rFonts w:hint="default"/>
        <w:i w:val="0"/>
      </w:rPr>
    </w:lvl>
  </w:abstractNum>
  <w:abstractNum w:abstractNumId="5"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4A14F59"/>
    <w:multiLevelType w:val="hybridMultilevel"/>
    <w:tmpl w:val="31C23302"/>
    <w:lvl w:ilvl="0" w:tplc="F17A57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BF32562"/>
    <w:multiLevelType w:val="hybridMultilevel"/>
    <w:tmpl w:val="11509938"/>
    <w:lvl w:ilvl="0" w:tplc="E562996A">
      <w:start w:val="1"/>
      <w:numFmt w:val="decimal"/>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EC4DC0"/>
    <w:multiLevelType w:val="hybridMultilevel"/>
    <w:tmpl w:val="17DC98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3333F33"/>
    <w:multiLevelType w:val="hybridMultilevel"/>
    <w:tmpl w:val="E80A5792"/>
    <w:lvl w:ilvl="0" w:tplc="E56299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D1464E"/>
    <w:multiLevelType w:val="hybridMultilevel"/>
    <w:tmpl w:val="5BF06D36"/>
    <w:lvl w:ilvl="0" w:tplc="F17A5714">
      <w:start w:val="1"/>
      <w:numFmt w:val="lowerRoman"/>
      <w:lvlText w:val="(%1)"/>
      <w:lvlJc w:val="left"/>
      <w:pPr>
        <w:ind w:left="1140" w:hanging="360"/>
      </w:pPr>
      <w:rPr>
        <w:rFonts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F077F6B"/>
    <w:multiLevelType w:val="hybridMultilevel"/>
    <w:tmpl w:val="608A2AFA"/>
    <w:lvl w:ilvl="0" w:tplc="DC2891DC">
      <w:start w:val="1"/>
      <w:numFmt w:val="lowerLetter"/>
      <w:pStyle w:val="ListABC"/>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967CF3"/>
    <w:multiLevelType w:val="hybridMultilevel"/>
    <w:tmpl w:val="8BA838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1143BD"/>
    <w:multiLevelType w:val="hybridMultilevel"/>
    <w:tmpl w:val="DC0EB6F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FDB439F"/>
    <w:multiLevelType w:val="hybridMultilevel"/>
    <w:tmpl w:val="42E6EEB6"/>
    <w:lvl w:ilvl="0" w:tplc="DC2891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0F6E22"/>
    <w:multiLevelType w:val="hybridMultilevel"/>
    <w:tmpl w:val="CA084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5110A6"/>
    <w:multiLevelType w:val="hybridMultilevel"/>
    <w:tmpl w:val="D60E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F4715E"/>
    <w:multiLevelType w:val="hybridMultilevel"/>
    <w:tmpl w:val="9712057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5C5D1D48"/>
    <w:multiLevelType w:val="hybridMultilevel"/>
    <w:tmpl w:val="20AE1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246FFB"/>
    <w:multiLevelType w:val="hybridMultilevel"/>
    <w:tmpl w:val="CA0A72A0"/>
    <w:lvl w:ilvl="0" w:tplc="F17A5714">
      <w:start w:val="1"/>
      <w:numFmt w:val="lowerRoman"/>
      <w:lvlText w:val="(%1)"/>
      <w:lvlJc w:val="left"/>
      <w:pPr>
        <w:ind w:left="464" w:hanging="180"/>
      </w:pPr>
      <w:rPr>
        <w:rFonts w:hint="default"/>
      </w:rPr>
    </w:lvl>
    <w:lvl w:ilvl="1" w:tplc="0C090019">
      <w:start w:val="1"/>
      <w:numFmt w:val="lowerLetter"/>
      <w:lvlText w:val="%2."/>
      <w:lvlJc w:val="left"/>
      <w:pPr>
        <w:ind w:left="-256" w:hanging="360"/>
      </w:pPr>
    </w:lvl>
    <w:lvl w:ilvl="2" w:tplc="0C09001B" w:tentative="1">
      <w:start w:val="1"/>
      <w:numFmt w:val="lowerRoman"/>
      <w:lvlText w:val="%3."/>
      <w:lvlJc w:val="right"/>
      <w:pPr>
        <w:ind w:left="464" w:hanging="180"/>
      </w:pPr>
    </w:lvl>
    <w:lvl w:ilvl="3" w:tplc="0C09000F" w:tentative="1">
      <w:start w:val="1"/>
      <w:numFmt w:val="decimal"/>
      <w:lvlText w:val="%4."/>
      <w:lvlJc w:val="left"/>
      <w:pPr>
        <w:ind w:left="1184" w:hanging="360"/>
      </w:pPr>
    </w:lvl>
    <w:lvl w:ilvl="4" w:tplc="0C090019" w:tentative="1">
      <w:start w:val="1"/>
      <w:numFmt w:val="lowerLetter"/>
      <w:lvlText w:val="%5."/>
      <w:lvlJc w:val="left"/>
      <w:pPr>
        <w:ind w:left="1904" w:hanging="360"/>
      </w:pPr>
    </w:lvl>
    <w:lvl w:ilvl="5" w:tplc="0C09001B" w:tentative="1">
      <w:start w:val="1"/>
      <w:numFmt w:val="lowerRoman"/>
      <w:lvlText w:val="%6."/>
      <w:lvlJc w:val="right"/>
      <w:pPr>
        <w:ind w:left="2624" w:hanging="180"/>
      </w:pPr>
    </w:lvl>
    <w:lvl w:ilvl="6" w:tplc="0C09000F" w:tentative="1">
      <w:start w:val="1"/>
      <w:numFmt w:val="decimal"/>
      <w:lvlText w:val="%7."/>
      <w:lvlJc w:val="left"/>
      <w:pPr>
        <w:ind w:left="3344" w:hanging="360"/>
      </w:pPr>
    </w:lvl>
    <w:lvl w:ilvl="7" w:tplc="0C090019" w:tentative="1">
      <w:start w:val="1"/>
      <w:numFmt w:val="lowerLetter"/>
      <w:lvlText w:val="%8."/>
      <w:lvlJc w:val="left"/>
      <w:pPr>
        <w:ind w:left="4064" w:hanging="360"/>
      </w:pPr>
    </w:lvl>
    <w:lvl w:ilvl="8" w:tplc="0C09001B" w:tentative="1">
      <w:start w:val="1"/>
      <w:numFmt w:val="lowerRoman"/>
      <w:lvlText w:val="%9."/>
      <w:lvlJc w:val="right"/>
      <w:pPr>
        <w:ind w:left="4784" w:hanging="180"/>
      </w:pPr>
    </w:lvl>
  </w:abstractNum>
  <w:abstractNum w:abstractNumId="20" w15:restartNumberingAfterBreak="0">
    <w:nsid w:val="673B10D3"/>
    <w:multiLevelType w:val="hybridMultilevel"/>
    <w:tmpl w:val="53DC8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F4FD1"/>
    <w:multiLevelType w:val="hybridMultilevel"/>
    <w:tmpl w:val="695A0D4A"/>
    <w:lvl w:ilvl="0" w:tplc="DFF2EC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F17A5714">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1"/>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8"/>
  </w:num>
  <w:num w:numId="12">
    <w:abstractNumId w:val="10"/>
  </w:num>
  <w:num w:numId="13">
    <w:abstractNumId w:val="14"/>
  </w:num>
  <w:num w:numId="14">
    <w:abstractNumId w:val="6"/>
  </w:num>
  <w:num w:numId="15">
    <w:abstractNumId w:val="17"/>
  </w:num>
  <w:num w:numId="16">
    <w:abstractNumId w:val="20"/>
  </w:num>
  <w:num w:numId="17">
    <w:abstractNumId w:val="13"/>
  </w:num>
  <w:num w:numId="18">
    <w:abstractNumId w:val="16"/>
  </w:num>
  <w:num w:numId="19">
    <w:abstractNumId w:val="15"/>
  </w:num>
  <w:num w:numId="20">
    <w:abstractNumId w:val="23"/>
  </w:num>
  <w:num w:numId="21">
    <w:abstractNumId w:val="11"/>
  </w:num>
  <w:num w:numId="22">
    <w:abstractNumId w:val="12"/>
  </w:num>
  <w:num w:numId="23">
    <w:abstractNumId w:val="11"/>
    <w:lvlOverride w:ilvl="0">
      <w:startOverride w:val="1"/>
    </w:lvlOverride>
  </w:num>
  <w:num w:numId="24">
    <w:abstractNumId w:val="19"/>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SortMethod w:val="00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59BB"/>
    <w:rsid w:val="000168A1"/>
    <w:rsid w:val="000171AD"/>
    <w:rsid w:val="000220CA"/>
    <w:rsid w:val="000355C2"/>
    <w:rsid w:val="000366EF"/>
    <w:rsid w:val="00037895"/>
    <w:rsid w:val="000422C4"/>
    <w:rsid w:val="00043557"/>
    <w:rsid w:val="00046307"/>
    <w:rsid w:val="0005581F"/>
    <w:rsid w:val="00056795"/>
    <w:rsid w:val="00056A2B"/>
    <w:rsid w:val="00056F69"/>
    <w:rsid w:val="0006239C"/>
    <w:rsid w:val="0006318E"/>
    <w:rsid w:val="00066F81"/>
    <w:rsid w:val="000675C5"/>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448C"/>
    <w:rsid w:val="00106914"/>
    <w:rsid w:val="0011355C"/>
    <w:rsid w:val="00114E10"/>
    <w:rsid w:val="00117EB9"/>
    <w:rsid w:val="0012093B"/>
    <w:rsid w:val="00121599"/>
    <w:rsid w:val="001230D2"/>
    <w:rsid w:val="0012684E"/>
    <w:rsid w:val="00126958"/>
    <w:rsid w:val="0013188A"/>
    <w:rsid w:val="00134668"/>
    <w:rsid w:val="00140FC8"/>
    <w:rsid w:val="001424CD"/>
    <w:rsid w:val="00151CDA"/>
    <w:rsid w:val="00151FFF"/>
    <w:rsid w:val="001530A6"/>
    <w:rsid w:val="0016060A"/>
    <w:rsid w:val="0016458D"/>
    <w:rsid w:val="00165E75"/>
    <w:rsid w:val="00167AA0"/>
    <w:rsid w:val="0017595D"/>
    <w:rsid w:val="00175B1C"/>
    <w:rsid w:val="00176A29"/>
    <w:rsid w:val="0018396A"/>
    <w:rsid w:val="00185BEB"/>
    <w:rsid w:val="0019320B"/>
    <w:rsid w:val="00193C70"/>
    <w:rsid w:val="0019654D"/>
    <w:rsid w:val="001A277F"/>
    <w:rsid w:val="001B44A6"/>
    <w:rsid w:val="001B47B8"/>
    <w:rsid w:val="001B5F47"/>
    <w:rsid w:val="001C0C14"/>
    <w:rsid w:val="001D2FE7"/>
    <w:rsid w:val="001D5AC2"/>
    <w:rsid w:val="001D5E1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1A4D"/>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62BAB"/>
    <w:rsid w:val="00375E18"/>
    <w:rsid w:val="0037704E"/>
    <w:rsid w:val="00383817"/>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681D"/>
    <w:rsid w:val="00417260"/>
    <w:rsid w:val="00432BFC"/>
    <w:rsid w:val="00436138"/>
    <w:rsid w:val="00443192"/>
    <w:rsid w:val="00443AE0"/>
    <w:rsid w:val="00444B3D"/>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594E"/>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6BB2"/>
    <w:rsid w:val="004E7B70"/>
    <w:rsid w:val="004F1C98"/>
    <w:rsid w:val="004F2160"/>
    <w:rsid w:val="004F5654"/>
    <w:rsid w:val="005009E7"/>
    <w:rsid w:val="00501F1A"/>
    <w:rsid w:val="00503C5C"/>
    <w:rsid w:val="00503E7C"/>
    <w:rsid w:val="005055F8"/>
    <w:rsid w:val="00505DF7"/>
    <w:rsid w:val="005076EB"/>
    <w:rsid w:val="00510F74"/>
    <w:rsid w:val="00512239"/>
    <w:rsid w:val="00517A0A"/>
    <w:rsid w:val="00517F6B"/>
    <w:rsid w:val="0052285C"/>
    <w:rsid w:val="005268B2"/>
    <w:rsid w:val="005308C8"/>
    <w:rsid w:val="00537FF8"/>
    <w:rsid w:val="00543073"/>
    <w:rsid w:val="00547023"/>
    <w:rsid w:val="0054782B"/>
    <w:rsid w:val="00552BA8"/>
    <w:rsid w:val="00554168"/>
    <w:rsid w:val="005545CA"/>
    <w:rsid w:val="00562A61"/>
    <w:rsid w:val="00562BA1"/>
    <w:rsid w:val="0056301B"/>
    <w:rsid w:val="00564978"/>
    <w:rsid w:val="00564F67"/>
    <w:rsid w:val="00574FF7"/>
    <w:rsid w:val="005755C6"/>
    <w:rsid w:val="005768A4"/>
    <w:rsid w:val="00577013"/>
    <w:rsid w:val="00580C9E"/>
    <w:rsid w:val="00581D61"/>
    <w:rsid w:val="00583950"/>
    <w:rsid w:val="00587D1A"/>
    <w:rsid w:val="0059064C"/>
    <w:rsid w:val="00590DE7"/>
    <w:rsid w:val="00591D58"/>
    <w:rsid w:val="00595524"/>
    <w:rsid w:val="005A1056"/>
    <w:rsid w:val="005A2426"/>
    <w:rsid w:val="005A4BDE"/>
    <w:rsid w:val="005B02D1"/>
    <w:rsid w:val="005B6073"/>
    <w:rsid w:val="005B7F0A"/>
    <w:rsid w:val="005C26AA"/>
    <w:rsid w:val="005C3CF5"/>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7CE"/>
    <w:rsid w:val="00613C8D"/>
    <w:rsid w:val="00613CAC"/>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A2206"/>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0D4D"/>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77B1"/>
    <w:rsid w:val="008C705F"/>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4BD4"/>
    <w:rsid w:val="009268B0"/>
    <w:rsid w:val="00933E5F"/>
    <w:rsid w:val="00934008"/>
    <w:rsid w:val="00934545"/>
    <w:rsid w:val="009426B2"/>
    <w:rsid w:val="009432AE"/>
    <w:rsid w:val="00944F23"/>
    <w:rsid w:val="009478AE"/>
    <w:rsid w:val="00947B6C"/>
    <w:rsid w:val="00951678"/>
    <w:rsid w:val="0095237A"/>
    <w:rsid w:val="0095498C"/>
    <w:rsid w:val="00961E71"/>
    <w:rsid w:val="00962391"/>
    <w:rsid w:val="0096256C"/>
    <w:rsid w:val="00963A6C"/>
    <w:rsid w:val="009646FE"/>
    <w:rsid w:val="0096497D"/>
    <w:rsid w:val="0097720D"/>
    <w:rsid w:val="00997F5A"/>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25F69"/>
    <w:rsid w:val="00A30BDB"/>
    <w:rsid w:val="00A31FC9"/>
    <w:rsid w:val="00A32C77"/>
    <w:rsid w:val="00A345B8"/>
    <w:rsid w:val="00A376E9"/>
    <w:rsid w:val="00A4335A"/>
    <w:rsid w:val="00A525EA"/>
    <w:rsid w:val="00A62E3F"/>
    <w:rsid w:val="00A63F13"/>
    <w:rsid w:val="00A66A43"/>
    <w:rsid w:val="00A776E7"/>
    <w:rsid w:val="00A778FF"/>
    <w:rsid w:val="00A82530"/>
    <w:rsid w:val="00A82629"/>
    <w:rsid w:val="00A84243"/>
    <w:rsid w:val="00A8471E"/>
    <w:rsid w:val="00A86594"/>
    <w:rsid w:val="00AA0AF0"/>
    <w:rsid w:val="00AA16A6"/>
    <w:rsid w:val="00AA2964"/>
    <w:rsid w:val="00AA43C3"/>
    <w:rsid w:val="00AA5826"/>
    <w:rsid w:val="00AB2728"/>
    <w:rsid w:val="00AB75A4"/>
    <w:rsid w:val="00AB7CB3"/>
    <w:rsid w:val="00AB7E0D"/>
    <w:rsid w:val="00AC0B36"/>
    <w:rsid w:val="00AC12F3"/>
    <w:rsid w:val="00AC6F1E"/>
    <w:rsid w:val="00AE7802"/>
    <w:rsid w:val="00B05649"/>
    <w:rsid w:val="00B05DC6"/>
    <w:rsid w:val="00B07793"/>
    <w:rsid w:val="00B10317"/>
    <w:rsid w:val="00B13355"/>
    <w:rsid w:val="00B13AF4"/>
    <w:rsid w:val="00B17450"/>
    <w:rsid w:val="00B201D8"/>
    <w:rsid w:val="00B21294"/>
    <w:rsid w:val="00B35212"/>
    <w:rsid w:val="00B452FA"/>
    <w:rsid w:val="00B54B0C"/>
    <w:rsid w:val="00B57F9A"/>
    <w:rsid w:val="00B751DB"/>
    <w:rsid w:val="00B80008"/>
    <w:rsid w:val="00B8378D"/>
    <w:rsid w:val="00B86F12"/>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BF63BB"/>
    <w:rsid w:val="00C03AD7"/>
    <w:rsid w:val="00C10DA5"/>
    <w:rsid w:val="00C11A0F"/>
    <w:rsid w:val="00C20885"/>
    <w:rsid w:val="00C226AA"/>
    <w:rsid w:val="00C2270A"/>
    <w:rsid w:val="00C233B8"/>
    <w:rsid w:val="00C24ACF"/>
    <w:rsid w:val="00C27C2C"/>
    <w:rsid w:val="00C3028D"/>
    <w:rsid w:val="00C3368F"/>
    <w:rsid w:val="00C4111B"/>
    <w:rsid w:val="00C50CBD"/>
    <w:rsid w:val="00C527FB"/>
    <w:rsid w:val="00C54CD1"/>
    <w:rsid w:val="00C5544C"/>
    <w:rsid w:val="00C619B4"/>
    <w:rsid w:val="00C62D6C"/>
    <w:rsid w:val="00C633A4"/>
    <w:rsid w:val="00C63CFD"/>
    <w:rsid w:val="00C64C5E"/>
    <w:rsid w:val="00C65A30"/>
    <w:rsid w:val="00C70279"/>
    <w:rsid w:val="00C7114D"/>
    <w:rsid w:val="00C72F8F"/>
    <w:rsid w:val="00C77624"/>
    <w:rsid w:val="00C7789B"/>
    <w:rsid w:val="00C818E9"/>
    <w:rsid w:val="00C93913"/>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56751"/>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C6AA2"/>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6D29"/>
    <w:rsid w:val="00E072F0"/>
    <w:rsid w:val="00E107B6"/>
    <w:rsid w:val="00E12CE7"/>
    <w:rsid w:val="00E17DA9"/>
    <w:rsid w:val="00E218AC"/>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74CF1"/>
    <w:rsid w:val="00E81AAF"/>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078DA"/>
    <w:rsid w:val="00F10E04"/>
    <w:rsid w:val="00F16A8F"/>
    <w:rsid w:val="00F30BF8"/>
    <w:rsid w:val="00F3148B"/>
    <w:rsid w:val="00F33875"/>
    <w:rsid w:val="00F34AA1"/>
    <w:rsid w:val="00F371B4"/>
    <w:rsid w:val="00F4266E"/>
    <w:rsid w:val="00F47858"/>
    <w:rsid w:val="00F50C7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20EA"/>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5B40A72"/>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lsdException w:name="heading 1" w:uiPriority="0" w:qFormat="1"/>
    <w:lsdException w:name="heading 2" w:uiPriority="0" w:qFormat="1"/>
    <w:lsdException w:name="heading 3" w:uiPriority="2"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3"/>
    <w:lsdException w:name="List 2" w:semiHidden="1"/>
    <w:lsdException w:name="List 3" w:semiHidden="1"/>
    <w:lsdException w:name="List 4" w:semiHidden="1"/>
    <w:lsdException w:name="List 5" w:semiHidden="1"/>
    <w:lsdException w:name="List Bullet 2" w:uiPriority="3" w:qFormat="1"/>
    <w:lsdException w:name="List Bullet 3" w:uiPriority="0"/>
    <w:lsdException w:name="List Bullet 4" w:semiHidden="1"/>
    <w:lsdException w:name="List Bullet 5" w:semiHidden="1"/>
    <w:lsdException w:name="List Number 2" w:uiPriority="5"/>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4"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5"/>
      </w:numPr>
      <w:suppressAutoHyphens/>
      <w:spacing w:before="40" w:after="40" w:line="264" w:lineRule="auto"/>
    </w:pPr>
    <w:rPr>
      <w:rFonts w:ascii="Arial" w:hAnsi="Arial"/>
      <w:szCs w:val="24"/>
    </w:rPr>
  </w:style>
  <w:style w:type="paragraph" w:styleId="ListNumber">
    <w:name w:val="List Number"/>
    <w:link w:val="ListNumberChar"/>
    <w:uiPriority w:val="3"/>
    <w:rsid w:val="004D4603"/>
    <w:pPr>
      <w:spacing w:before="40" w:after="40" w:line="264" w:lineRule="auto"/>
    </w:pPr>
    <w:rPr>
      <w:rFonts w:ascii="Arial" w:hAnsi="Arial"/>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DJRbody">
    <w:name w:val="DJR body"/>
    <w:qFormat/>
    <w:rsid w:val="008C705F"/>
    <w:pPr>
      <w:spacing w:after="120" w:line="270" w:lineRule="atLeast"/>
    </w:pPr>
    <w:rPr>
      <w:rFonts w:ascii="Arial" w:eastAsia="Times" w:hAnsi="Arial"/>
      <w:sz w:val="22"/>
      <w:lang w:eastAsia="en-US"/>
    </w:rPr>
  </w:style>
  <w:style w:type="paragraph" w:styleId="ListParagraph">
    <w:name w:val="List Paragraph"/>
    <w:basedOn w:val="Normal"/>
    <w:uiPriority w:val="34"/>
    <w:qFormat/>
    <w:rsid w:val="008C705F"/>
    <w:pPr>
      <w:spacing w:before="0" w:after="0"/>
      <w:ind w:left="720"/>
    </w:pPr>
    <w:rPr>
      <w:rFonts w:ascii="Calibri" w:eastAsiaTheme="minorHAnsi" w:hAnsi="Calibri" w:cs="Calibri"/>
      <w:sz w:val="22"/>
      <w:szCs w:val="22"/>
      <w:lang w:eastAsia="en-US"/>
    </w:rPr>
  </w:style>
  <w:style w:type="paragraph" w:customStyle="1" w:styleId="ListABC">
    <w:name w:val="List ABC"/>
    <w:basedOn w:val="ListNumber"/>
    <w:uiPriority w:val="14"/>
    <w:rsid w:val="006137CE"/>
    <w:pPr>
      <w:numPr>
        <w:numId w:val="21"/>
      </w:num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sources-and-tools/legislation/public-consultations-and-reviews/consumer-property-law-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v.consultations@justice.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8CA3-D90F-4DA7-8E93-04678748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1136</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7236</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Malcolm D McDonough (DJCS)</cp:lastModifiedBy>
  <cp:revision>7</cp:revision>
  <cp:lastPrinted>2016-05-23T03:42:00Z</cp:lastPrinted>
  <dcterms:created xsi:type="dcterms:W3CDTF">2019-10-10T23:43:00Z</dcterms:created>
  <dcterms:modified xsi:type="dcterms:W3CDTF">2019-10-11T03:54:00Z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